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BE" w:rsidP="00084EBE" w:rsidRDefault="00084EBE">
      <w:pPr>
        <w:rPr>
          <w:rFonts w:ascii="Verdana" w:hAnsi="Verdana"/>
          <w:sz w:val="18"/>
          <w:szCs w:val="18"/>
        </w:rPr>
      </w:pPr>
      <w:r>
        <w:rPr>
          <w:rFonts w:ascii="Verdana" w:hAnsi="Verdana"/>
          <w:sz w:val="18"/>
          <w:szCs w:val="18"/>
        </w:rPr>
        <w:t>Geachte (</w:t>
      </w:r>
      <w:proofErr w:type="spellStart"/>
      <w:r>
        <w:rPr>
          <w:rFonts w:ascii="Verdana" w:hAnsi="Verdana"/>
          <w:sz w:val="18"/>
          <w:szCs w:val="18"/>
        </w:rPr>
        <w:t>plv</w:t>
      </w:r>
      <w:proofErr w:type="spellEnd"/>
      <w:r>
        <w:rPr>
          <w:rFonts w:ascii="Verdana" w:hAnsi="Verdana"/>
          <w:sz w:val="18"/>
          <w:szCs w:val="18"/>
        </w:rPr>
        <w:t>.) leden van de vaste commissie voor OCW,</w:t>
      </w:r>
    </w:p>
    <w:p w:rsidR="00084EBE" w:rsidP="00084EBE" w:rsidRDefault="00084EBE">
      <w:pPr>
        <w:rPr>
          <w:rFonts w:ascii="Verdana" w:hAnsi="Verdana"/>
          <w:sz w:val="18"/>
          <w:szCs w:val="18"/>
        </w:rPr>
      </w:pPr>
    </w:p>
    <w:p w:rsidR="00084EBE" w:rsidP="00084EBE" w:rsidRDefault="00084EBE">
      <w:pPr>
        <w:rPr>
          <w:rFonts w:ascii="Verdana" w:hAnsi="Verdana"/>
          <w:b/>
          <w:bCs/>
          <w:sz w:val="18"/>
          <w:szCs w:val="18"/>
        </w:rPr>
      </w:pPr>
      <w:r>
        <w:rPr>
          <w:rFonts w:ascii="Verdana" w:hAnsi="Verdana"/>
          <w:b/>
          <w:bCs/>
          <w:sz w:val="18"/>
          <w:szCs w:val="18"/>
        </w:rPr>
        <w:t>Prioriteringsexercitie EU-voorstellen 2022</w:t>
      </w:r>
    </w:p>
    <w:p w:rsidR="00084EBE" w:rsidP="00084EBE" w:rsidRDefault="00084EBE">
      <w:pPr>
        <w:rPr>
          <w:rFonts w:ascii="Verdana" w:hAnsi="Verdana"/>
          <w:b/>
          <w:bCs/>
          <w:sz w:val="18"/>
          <w:szCs w:val="18"/>
        </w:rPr>
      </w:pPr>
      <w:r>
        <w:rPr>
          <w:rFonts w:ascii="Verdana" w:hAnsi="Verdana"/>
          <w:sz w:val="18"/>
          <w:szCs w:val="18"/>
        </w:rPr>
        <w:t xml:space="preserve">Tijdens de procedurevergadering op 4 november jl. heeft uw commissie besloten om per e-mail te inventariseren welke </w:t>
      </w:r>
      <w:r>
        <w:rPr>
          <w:rFonts w:ascii="Verdana" w:hAnsi="Verdana"/>
          <w:color w:val="000000"/>
          <w:sz w:val="18"/>
          <w:szCs w:val="18"/>
        </w:rPr>
        <w:t xml:space="preserve">voor 2022 aangekondigde </w:t>
      </w:r>
      <w:r>
        <w:rPr>
          <w:rFonts w:ascii="Verdana" w:hAnsi="Verdana"/>
          <w:sz w:val="18"/>
          <w:szCs w:val="18"/>
        </w:rPr>
        <w:t>nieuwe Europese initiatieven met als voortouw OCW</w:t>
      </w:r>
      <w:r>
        <w:rPr>
          <w:rFonts w:ascii="Verdana" w:hAnsi="Verdana"/>
          <w:b/>
          <w:bCs/>
          <w:sz w:val="18"/>
          <w:szCs w:val="18"/>
        </w:rPr>
        <w:t xml:space="preserve"> </w:t>
      </w:r>
      <w:r>
        <w:rPr>
          <w:rFonts w:ascii="Verdana" w:hAnsi="Verdana"/>
          <w:sz w:val="18"/>
          <w:szCs w:val="18"/>
        </w:rPr>
        <w:t>prioritair dienen te worden verklaard, na ommekomst van de kabinetsappreciatie (</w:t>
      </w:r>
      <w:hyperlink w:history="1" r:id="rId5">
        <w:r>
          <w:rPr>
            <w:rStyle w:val="Hyperlink"/>
            <w:rFonts w:ascii="Verdana" w:hAnsi="Verdana"/>
            <w:sz w:val="18"/>
            <w:szCs w:val="18"/>
          </w:rPr>
          <w:t>link</w:t>
        </w:r>
      </w:hyperlink>
      <w:r>
        <w:rPr>
          <w:rFonts w:ascii="Verdana" w:hAnsi="Verdana"/>
          <w:sz w:val="18"/>
          <w:szCs w:val="18"/>
        </w:rPr>
        <w:t xml:space="preserve">) (verschenen op 26 november 2021, zie bijlage). Zie </w:t>
      </w:r>
      <w:hyperlink w:history="1" r:id="rId6">
        <w:r>
          <w:rPr>
            <w:rStyle w:val="Hyperlink"/>
            <w:rFonts w:ascii="Verdana" w:hAnsi="Verdana"/>
            <w:sz w:val="18"/>
            <w:szCs w:val="18"/>
          </w:rPr>
          <w:t>link</w:t>
        </w:r>
      </w:hyperlink>
      <w:r>
        <w:rPr>
          <w:rFonts w:ascii="Verdana" w:hAnsi="Verdana"/>
          <w:sz w:val="18"/>
          <w:szCs w:val="18"/>
        </w:rPr>
        <w:t xml:space="preserve"> voor de bijbehorende stafnotitie. </w:t>
      </w:r>
      <w:r>
        <w:rPr>
          <w:rFonts w:ascii="Verdana" w:hAnsi="Verdana"/>
          <w:b/>
          <w:bCs/>
          <w:sz w:val="18"/>
          <w:szCs w:val="18"/>
        </w:rPr>
        <w:t xml:space="preserve">U wordt verzocht uw voorkeuren </w:t>
      </w:r>
      <w:r>
        <w:rPr>
          <w:rFonts w:ascii="Verdana" w:hAnsi="Verdana"/>
          <w:b/>
          <w:bCs/>
          <w:sz w:val="18"/>
          <w:szCs w:val="18"/>
          <w:highlight w:val="yellow"/>
        </w:rPr>
        <w:t>uiterlijk maandag 13 december 2021 om 12.00u</w:t>
      </w:r>
      <w:r>
        <w:rPr>
          <w:rFonts w:ascii="Verdana" w:hAnsi="Verdana"/>
          <w:b/>
          <w:bCs/>
          <w:sz w:val="18"/>
          <w:szCs w:val="18"/>
        </w:rPr>
        <w:t xml:space="preserve"> naar </w:t>
      </w:r>
      <w:hyperlink w:history="1" r:id="rId7">
        <w:r>
          <w:rPr>
            <w:rStyle w:val="Hyperlink"/>
            <w:rFonts w:ascii="Verdana" w:hAnsi="Verdana"/>
            <w:b/>
            <w:bCs/>
            <w:sz w:val="18"/>
            <w:szCs w:val="18"/>
          </w:rPr>
          <w:t>cie.ocw@tweedekamer.nl</w:t>
        </w:r>
      </w:hyperlink>
      <w:r>
        <w:rPr>
          <w:rFonts w:ascii="Verdana" w:hAnsi="Verdana"/>
          <w:b/>
          <w:bCs/>
          <w:sz w:val="18"/>
          <w:szCs w:val="18"/>
        </w:rPr>
        <w:t xml:space="preserve"> te sturen. </w:t>
      </w:r>
    </w:p>
    <w:p w:rsidR="00084EBE" w:rsidP="00084EBE" w:rsidRDefault="00084EBE">
      <w:pPr>
        <w:rPr>
          <w:rFonts w:ascii="Verdana" w:hAnsi="Verdana"/>
          <w:sz w:val="18"/>
          <w:szCs w:val="18"/>
        </w:rPr>
      </w:pPr>
      <w:r>
        <w:rPr>
          <w:rFonts w:ascii="Verdana" w:hAnsi="Verdana"/>
          <w:sz w:val="18"/>
          <w:szCs w:val="18"/>
          <w:highlight w:val="yellow"/>
        </w:rPr>
        <w:t>Tijdens de procedurevergadering van 16 december aanstaande</w:t>
      </w:r>
      <w:r>
        <w:rPr>
          <w:rFonts w:ascii="Verdana" w:hAnsi="Verdana"/>
          <w:sz w:val="18"/>
          <w:szCs w:val="18"/>
        </w:rPr>
        <w:t xml:space="preserve"> zullen de EU-prioriteiten en de gewenste EU-instrumenten </w:t>
      </w:r>
      <w:r>
        <w:rPr>
          <w:rFonts w:ascii="Verdana" w:hAnsi="Verdana"/>
          <w:color w:val="000000"/>
          <w:sz w:val="18"/>
          <w:szCs w:val="18"/>
        </w:rPr>
        <w:t xml:space="preserve">worden </w:t>
      </w:r>
      <w:r>
        <w:rPr>
          <w:rFonts w:ascii="Verdana" w:hAnsi="Verdana"/>
          <w:sz w:val="18"/>
          <w:szCs w:val="18"/>
        </w:rPr>
        <w:t xml:space="preserve">vastgesteld. </w:t>
      </w:r>
    </w:p>
    <w:p w:rsidR="00084EBE" w:rsidP="00084EBE" w:rsidRDefault="00084EBE">
      <w:pPr>
        <w:rPr>
          <w:rFonts w:ascii="Verdana" w:hAnsi="Verdana"/>
          <w:sz w:val="18"/>
          <w:szCs w:val="18"/>
        </w:rPr>
      </w:pPr>
      <w:r>
        <w:rPr>
          <w:rFonts w:ascii="Verdana" w:hAnsi="Verdana"/>
          <w:b/>
          <w:bCs/>
          <w:sz w:val="18"/>
          <w:szCs w:val="18"/>
        </w:rPr>
        <w:t> </w:t>
      </w:r>
    </w:p>
    <w:p w:rsidR="00084EBE" w:rsidP="00084EBE" w:rsidRDefault="00084EBE">
      <w:pPr>
        <w:rPr>
          <w:rFonts w:ascii="Verdana" w:hAnsi="Verdana"/>
          <w:sz w:val="18"/>
          <w:szCs w:val="18"/>
        </w:rPr>
      </w:pPr>
      <w:r>
        <w:rPr>
          <w:rFonts w:ascii="Verdana" w:hAnsi="Verdana"/>
          <w:b/>
          <w:bCs/>
          <w:sz w:val="18"/>
          <w:szCs w:val="18"/>
        </w:rPr>
        <w:t>Doel EU-prioritering</w:t>
      </w:r>
    </w:p>
    <w:p w:rsidR="00084EBE" w:rsidP="00084EBE" w:rsidRDefault="00084EBE">
      <w:pPr>
        <w:rPr>
          <w:rFonts w:ascii="Verdana" w:hAnsi="Verdana"/>
          <w:sz w:val="18"/>
          <w:szCs w:val="18"/>
        </w:rPr>
      </w:pPr>
      <w:r>
        <w:rPr>
          <w:rFonts w:ascii="Verdana" w:hAnsi="Verdana"/>
          <w:sz w:val="18"/>
          <w:szCs w:val="18"/>
        </w:rPr>
        <w:t xml:space="preserve">Om focus aan te brengen in de wijze waarop de Kamer nieuwe EU-voorstellen behandelt, schrijft het Reglement van Orde voor dat Kamercommissies jaarlijks voornemens voor wetgeving en beleid uit het werkprogramma van de Europese Commissie selecteren waar zij prioriteit aan willen geven en speciale EU-instrumenten bij wil inzetten. </w:t>
      </w:r>
    </w:p>
    <w:p w:rsidR="00084EBE" w:rsidP="00084EBE" w:rsidRDefault="00084EBE">
      <w:pPr>
        <w:rPr>
          <w:rFonts w:ascii="Verdana" w:hAnsi="Verdana"/>
          <w:sz w:val="18"/>
          <w:szCs w:val="18"/>
        </w:rPr>
      </w:pPr>
      <w:r>
        <w:rPr>
          <w:rFonts w:ascii="Verdana" w:hAnsi="Verdana"/>
          <w:b/>
          <w:bCs/>
          <w:sz w:val="18"/>
          <w:szCs w:val="18"/>
        </w:rPr>
        <w:t> </w:t>
      </w:r>
    </w:p>
    <w:p w:rsidR="00084EBE" w:rsidP="00084EBE" w:rsidRDefault="00084EBE">
      <w:pPr>
        <w:rPr>
          <w:rFonts w:ascii="Verdana" w:hAnsi="Verdana"/>
          <w:sz w:val="18"/>
          <w:szCs w:val="18"/>
        </w:rPr>
      </w:pPr>
      <w:r>
        <w:rPr>
          <w:rFonts w:ascii="Verdana" w:hAnsi="Verdana"/>
          <w:b/>
          <w:bCs/>
          <w:sz w:val="18"/>
          <w:szCs w:val="18"/>
          <w:u w:val="single"/>
        </w:rPr>
        <w:t>Te maken keuzes</w:t>
      </w:r>
    </w:p>
    <w:p w:rsidR="00084EBE" w:rsidP="00084EBE" w:rsidRDefault="00084EBE">
      <w:pPr>
        <w:rPr>
          <w:rFonts w:ascii="Verdana" w:hAnsi="Verdana"/>
          <w:sz w:val="18"/>
          <w:szCs w:val="18"/>
        </w:rPr>
      </w:pPr>
      <w:r>
        <w:rPr>
          <w:rFonts w:ascii="Verdana" w:hAnsi="Verdana"/>
          <w:sz w:val="18"/>
          <w:szCs w:val="18"/>
        </w:rPr>
        <w:t xml:space="preserve">U kunt uw keuzes aanvinken met een </w:t>
      </w:r>
      <w:r>
        <w:rPr>
          <w:rFonts w:ascii="Verdana" w:hAnsi="Verdana"/>
          <w:b/>
          <w:bCs/>
          <w:sz w:val="18"/>
          <w:szCs w:val="18"/>
        </w:rPr>
        <w:t>X</w:t>
      </w:r>
      <w:r>
        <w:rPr>
          <w:rFonts w:ascii="Verdana" w:hAnsi="Verdana"/>
          <w:sz w:val="18"/>
          <w:szCs w:val="18"/>
        </w:rPr>
        <w:t xml:space="preserve"> in onderstaande tabel.  </w:t>
      </w:r>
    </w:p>
    <w:p w:rsidR="00084EBE" w:rsidP="00084EBE" w:rsidRDefault="00084EBE">
      <w:pPr>
        <w:rPr>
          <w:rFonts w:ascii="Verdana" w:hAnsi="Verdana"/>
          <w:sz w:val="18"/>
          <w:szCs w:val="18"/>
        </w:rPr>
      </w:pPr>
    </w:p>
    <w:tbl>
      <w:tblPr>
        <w:tblW w:w="9918" w:type="dxa"/>
        <w:tblCellMar>
          <w:left w:w="0" w:type="dxa"/>
          <w:right w:w="0" w:type="dxa"/>
        </w:tblCellMar>
        <w:tblLook w:val="04A0" w:firstRow="1" w:lastRow="0" w:firstColumn="1" w:lastColumn="0" w:noHBand="0" w:noVBand="1"/>
      </w:tblPr>
      <w:tblGrid>
        <w:gridCol w:w="2846"/>
        <w:gridCol w:w="1061"/>
        <w:gridCol w:w="2121"/>
        <w:gridCol w:w="1947"/>
        <w:gridCol w:w="1943"/>
      </w:tblGrid>
      <w:tr w:rsidR="00084EBE" w:rsidTr="00084EBE">
        <w:tc>
          <w:tcPr>
            <w:tcW w:w="28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Voorstel</w:t>
            </w:r>
          </w:p>
        </w:tc>
        <w:tc>
          <w:tcPr>
            <w:tcW w:w="106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Prioritair</w:t>
            </w:r>
          </w:p>
          <w:p w:rsidR="00084EBE" w:rsidRDefault="00084EBE">
            <w:r>
              <w:t xml:space="preserve">verklaren </w:t>
            </w:r>
          </w:p>
        </w:tc>
        <w:tc>
          <w:tcPr>
            <w:tcW w:w="212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color w:val="000000"/>
                <w:sz w:val="18"/>
                <w:szCs w:val="18"/>
              </w:rPr>
              <w:t>Voornemen plaatsen b</w:t>
            </w:r>
            <w:r>
              <w:rPr>
                <w:rFonts w:ascii="Verdana" w:hAnsi="Verdana"/>
                <w:sz w:val="18"/>
                <w:szCs w:val="18"/>
              </w:rPr>
              <w:t>ehandelvoorbehoud</w:t>
            </w:r>
          </w:p>
        </w:tc>
        <w:tc>
          <w:tcPr>
            <w:tcW w:w="194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color w:val="000000"/>
                <w:sz w:val="18"/>
                <w:szCs w:val="18"/>
              </w:rPr>
              <w:t>Voornemen tot uitvoeren s</w:t>
            </w:r>
            <w:r>
              <w:rPr>
                <w:rFonts w:ascii="Verdana" w:hAnsi="Verdana"/>
                <w:sz w:val="18"/>
                <w:szCs w:val="18"/>
              </w:rPr>
              <w:t>ubsidiariteitstoets</w:t>
            </w:r>
          </w:p>
        </w:tc>
        <w:tc>
          <w:tcPr>
            <w:tcW w:w="194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Rapporteur</w:t>
            </w:r>
            <w:r>
              <w:rPr>
                <w:rFonts w:ascii="Verdana" w:hAnsi="Verdana"/>
                <w:color w:val="000000"/>
                <w:sz w:val="18"/>
                <w:szCs w:val="18"/>
              </w:rPr>
              <w:t xml:space="preserve"> aanwijzen naar de commissie</w:t>
            </w:r>
          </w:p>
        </w:tc>
      </w:tr>
      <w:tr w:rsidR="00084EBE" w:rsidTr="00084EBE">
        <w:tc>
          <w:tcPr>
            <w:tcW w:w="9918"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i/>
                <w:iCs/>
                <w:sz w:val="18"/>
                <w:szCs w:val="18"/>
              </w:rPr>
            </w:pPr>
            <w:r>
              <w:rPr>
                <w:rFonts w:ascii="Verdana" w:hAnsi="Verdana"/>
                <w:i/>
                <w:iCs/>
                <w:color w:val="000000"/>
                <w:sz w:val="18"/>
                <w:szCs w:val="18"/>
              </w:rPr>
              <w:t>Aangekondigde</w:t>
            </w:r>
            <w:r>
              <w:rPr>
                <w:rFonts w:ascii="Verdana" w:hAnsi="Verdana"/>
                <w:i/>
                <w:iCs/>
                <w:sz w:val="18"/>
                <w:szCs w:val="18"/>
              </w:rPr>
              <w:t xml:space="preserve"> voorstellen</w:t>
            </w:r>
          </w:p>
        </w:tc>
      </w:tr>
      <w:tr w:rsidR="00084EBE" w:rsidTr="00084EBE">
        <w:tc>
          <w:tcPr>
            <w:tcW w:w="284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color w:val="000000"/>
                <w:sz w:val="18"/>
                <w:szCs w:val="18"/>
              </w:rPr>
            </w:pPr>
            <w:r>
              <w:rPr>
                <w:rFonts w:ascii="Verdana" w:hAnsi="Verdana"/>
                <w:b/>
                <w:bCs/>
                <w:color w:val="000000"/>
                <w:sz w:val="18"/>
                <w:szCs w:val="18"/>
              </w:rPr>
              <w:t>1.</w:t>
            </w:r>
            <w:r>
              <w:rPr>
                <w:rFonts w:ascii="Verdana" w:hAnsi="Verdana"/>
                <w:color w:val="000000"/>
                <w:sz w:val="18"/>
                <w:szCs w:val="18"/>
              </w:rPr>
              <w:t xml:space="preserve"> </w:t>
            </w:r>
            <w:r>
              <w:rPr>
                <w:rFonts w:ascii="Verdana" w:hAnsi="Verdana"/>
                <w:b/>
                <w:bCs/>
                <w:color w:val="000000"/>
                <w:sz w:val="18"/>
                <w:szCs w:val="18"/>
              </w:rPr>
              <w:t>Europese strategie voor universiteiten</w:t>
            </w:r>
            <w:r>
              <w:rPr>
                <w:rFonts w:ascii="Verdana" w:hAnsi="Verdana"/>
                <w:color w:val="000000"/>
                <w:sz w:val="18"/>
                <w:szCs w:val="18"/>
              </w:rPr>
              <w:t xml:space="preserve"> (onderdeel aangekondigd Onderwijspakket, niet-wetgevend, Q1 2022);</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rsidR="00084EBE" w:rsidRDefault="00084EBE">
            <w:pPr>
              <w:rPr>
                <w:rFonts w:ascii="Verdana" w:hAnsi="Verdana"/>
                <w:sz w:val="18"/>
                <w:szCs w:val="18"/>
              </w:rPr>
            </w:pPr>
          </w:p>
        </w:tc>
        <w:tc>
          <w:tcPr>
            <w:tcW w:w="2121" w:type="dxa"/>
            <w:tcBorders>
              <w:top w:val="nil"/>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n.v.t.</w:t>
            </w:r>
          </w:p>
        </w:tc>
        <w:tc>
          <w:tcPr>
            <w:tcW w:w="1947" w:type="dxa"/>
            <w:tcBorders>
              <w:top w:val="nil"/>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n.v.t.</w:t>
            </w:r>
          </w:p>
        </w:tc>
        <w:tc>
          <w:tcPr>
            <w:tcW w:w="1943" w:type="dxa"/>
            <w:tcBorders>
              <w:top w:val="nil"/>
              <w:left w:val="nil"/>
              <w:bottom w:val="single" w:color="auto" w:sz="8" w:space="0"/>
              <w:right w:val="single" w:color="auto" w:sz="8" w:space="0"/>
            </w:tcBorders>
            <w:tcMar>
              <w:top w:w="0" w:type="dxa"/>
              <w:left w:w="108" w:type="dxa"/>
              <w:bottom w:w="0" w:type="dxa"/>
              <w:right w:w="108" w:type="dxa"/>
            </w:tcMar>
          </w:tcPr>
          <w:p w:rsidR="00084EBE" w:rsidRDefault="00084EBE">
            <w:pPr>
              <w:rPr>
                <w:rFonts w:ascii="Verdana" w:hAnsi="Verdana"/>
                <w:sz w:val="18"/>
                <w:szCs w:val="18"/>
              </w:rPr>
            </w:pPr>
          </w:p>
        </w:tc>
      </w:tr>
      <w:tr w:rsidR="00084EBE" w:rsidTr="00084EBE">
        <w:tc>
          <w:tcPr>
            <w:tcW w:w="284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color w:val="000000"/>
                <w:sz w:val="18"/>
                <w:szCs w:val="18"/>
              </w:rPr>
            </w:pPr>
            <w:r>
              <w:rPr>
                <w:rFonts w:ascii="Verdana" w:hAnsi="Verdana"/>
                <w:b/>
                <w:bCs/>
                <w:color w:val="000000"/>
                <w:sz w:val="18"/>
                <w:szCs w:val="18"/>
              </w:rPr>
              <w:t>2. Bruggen bouwen voor effectieve Europese samenwerking in het hoger onderwijs-initiatief</w:t>
            </w:r>
            <w:r>
              <w:rPr>
                <w:rFonts w:ascii="Verdana" w:hAnsi="Verdana"/>
                <w:color w:val="000000"/>
                <w:sz w:val="18"/>
                <w:szCs w:val="18"/>
              </w:rPr>
              <w:t xml:space="preserve"> (onderdeel aangekondigd Onderwijspakket, niet-wetgevend, Q1 2022);</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rsidR="00084EBE" w:rsidRDefault="00084EBE">
            <w:pPr>
              <w:rPr>
                <w:rFonts w:ascii="Verdana" w:hAnsi="Verdana"/>
                <w:sz w:val="18"/>
                <w:szCs w:val="18"/>
              </w:rPr>
            </w:pPr>
          </w:p>
        </w:tc>
        <w:tc>
          <w:tcPr>
            <w:tcW w:w="2121" w:type="dxa"/>
            <w:tcBorders>
              <w:top w:val="nil"/>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n.v.t.</w:t>
            </w:r>
          </w:p>
        </w:tc>
        <w:tc>
          <w:tcPr>
            <w:tcW w:w="1947" w:type="dxa"/>
            <w:tcBorders>
              <w:top w:val="nil"/>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n.v.t.</w:t>
            </w:r>
          </w:p>
        </w:tc>
        <w:tc>
          <w:tcPr>
            <w:tcW w:w="1943" w:type="dxa"/>
            <w:tcBorders>
              <w:top w:val="nil"/>
              <w:left w:val="nil"/>
              <w:bottom w:val="single" w:color="auto" w:sz="8" w:space="0"/>
              <w:right w:val="single" w:color="auto" w:sz="8" w:space="0"/>
            </w:tcBorders>
            <w:tcMar>
              <w:top w:w="0" w:type="dxa"/>
              <w:left w:w="108" w:type="dxa"/>
              <w:bottom w:w="0" w:type="dxa"/>
              <w:right w:w="108" w:type="dxa"/>
            </w:tcMar>
          </w:tcPr>
          <w:p w:rsidR="00084EBE" w:rsidRDefault="00084EBE">
            <w:pPr>
              <w:rPr>
                <w:rFonts w:ascii="Verdana" w:hAnsi="Verdana"/>
                <w:sz w:val="18"/>
                <w:szCs w:val="18"/>
              </w:rPr>
            </w:pPr>
          </w:p>
        </w:tc>
      </w:tr>
      <w:tr w:rsidR="00084EBE" w:rsidTr="00084EBE">
        <w:tc>
          <w:tcPr>
            <w:tcW w:w="284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color w:val="000000"/>
                <w:sz w:val="18"/>
                <w:szCs w:val="18"/>
              </w:rPr>
            </w:pPr>
            <w:r>
              <w:rPr>
                <w:rFonts w:ascii="Verdana" w:hAnsi="Verdana"/>
                <w:b/>
                <w:bCs/>
                <w:color w:val="000000"/>
                <w:sz w:val="18"/>
                <w:szCs w:val="18"/>
              </w:rPr>
              <w:t>3.</w:t>
            </w:r>
            <w:r>
              <w:rPr>
                <w:rFonts w:ascii="Verdana" w:hAnsi="Verdana"/>
                <w:color w:val="000000"/>
                <w:sz w:val="18"/>
                <w:szCs w:val="18"/>
              </w:rPr>
              <w:t xml:space="preserve"> </w:t>
            </w:r>
            <w:r>
              <w:rPr>
                <w:rFonts w:ascii="Verdana" w:hAnsi="Verdana"/>
                <w:b/>
                <w:bCs/>
                <w:color w:val="000000"/>
                <w:sz w:val="18"/>
                <w:szCs w:val="18"/>
              </w:rPr>
              <w:t>Digitaal in onderwijs en vaardigheden: aanbeveling inzake verbetering aanbieden van digitale vaardigheden in onderwijs en trainingen</w:t>
            </w:r>
            <w:r>
              <w:rPr>
                <w:rFonts w:ascii="Verdana" w:hAnsi="Verdana"/>
                <w:color w:val="000000"/>
                <w:sz w:val="18"/>
                <w:szCs w:val="18"/>
              </w:rPr>
              <w:t xml:space="preserve"> (niet-wetgevend, Q3 2022);</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rsidR="00084EBE" w:rsidRDefault="00084EBE">
            <w:pPr>
              <w:rPr>
                <w:rFonts w:ascii="Verdana" w:hAnsi="Verdana"/>
                <w:sz w:val="18"/>
                <w:szCs w:val="18"/>
              </w:rPr>
            </w:pPr>
          </w:p>
        </w:tc>
        <w:tc>
          <w:tcPr>
            <w:tcW w:w="2121" w:type="dxa"/>
            <w:tcBorders>
              <w:top w:val="nil"/>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n.v.t.</w:t>
            </w:r>
          </w:p>
        </w:tc>
        <w:tc>
          <w:tcPr>
            <w:tcW w:w="1947" w:type="dxa"/>
            <w:tcBorders>
              <w:top w:val="nil"/>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n.v.t.</w:t>
            </w:r>
          </w:p>
        </w:tc>
        <w:tc>
          <w:tcPr>
            <w:tcW w:w="1943" w:type="dxa"/>
            <w:tcBorders>
              <w:top w:val="nil"/>
              <w:left w:val="nil"/>
              <w:bottom w:val="single" w:color="auto" w:sz="8" w:space="0"/>
              <w:right w:val="single" w:color="auto" w:sz="8" w:space="0"/>
            </w:tcBorders>
            <w:tcMar>
              <w:top w:w="0" w:type="dxa"/>
              <w:left w:w="108" w:type="dxa"/>
              <w:bottom w:w="0" w:type="dxa"/>
              <w:right w:w="108" w:type="dxa"/>
            </w:tcMar>
          </w:tcPr>
          <w:p w:rsidR="00084EBE" w:rsidRDefault="00084EBE">
            <w:pPr>
              <w:rPr>
                <w:rFonts w:ascii="Verdana" w:hAnsi="Verdana"/>
                <w:sz w:val="18"/>
                <w:szCs w:val="18"/>
              </w:rPr>
            </w:pPr>
          </w:p>
        </w:tc>
      </w:tr>
      <w:tr w:rsidR="00084EBE" w:rsidTr="00084EBE">
        <w:tc>
          <w:tcPr>
            <w:tcW w:w="284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color w:val="000000"/>
                <w:sz w:val="18"/>
                <w:szCs w:val="18"/>
              </w:rPr>
            </w:pPr>
            <w:r>
              <w:rPr>
                <w:rFonts w:ascii="Verdana" w:hAnsi="Verdana"/>
                <w:b/>
                <w:bCs/>
                <w:color w:val="000000"/>
                <w:sz w:val="18"/>
                <w:szCs w:val="18"/>
              </w:rPr>
              <w:t>4. Digitaal in onderwijs en vaardigheden: aanbeveling inzake faciliterende factoren voor digitaal onderwijs</w:t>
            </w:r>
            <w:r>
              <w:rPr>
                <w:rFonts w:ascii="Verdana" w:hAnsi="Verdana"/>
                <w:color w:val="000000"/>
                <w:sz w:val="18"/>
                <w:szCs w:val="18"/>
              </w:rPr>
              <w:t xml:space="preserve"> (niet-wetgevend, Q3 2022).</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rsidR="00084EBE" w:rsidRDefault="00084EBE">
            <w:pPr>
              <w:rPr>
                <w:rFonts w:ascii="Verdana" w:hAnsi="Verdana"/>
                <w:sz w:val="18"/>
                <w:szCs w:val="18"/>
              </w:rPr>
            </w:pPr>
          </w:p>
        </w:tc>
        <w:tc>
          <w:tcPr>
            <w:tcW w:w="2121" w:type="dxa"/>
            <w:tcBorders>
              <w:top w:val="nil"/>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n.v.t.</w:t>
            </w:r>
          </w:p>
        </w:tc>
        <w:tc>
          <w:tcPr>
            <w:tcW w:w="1947" w:type="dxa"/>
            <w:tcBorders>
              <w:top w:val="nil"/>
              <w:left w:val="nil"/>
              <w:bottom w:val="single" w:color="auto" w:sz="8" w:space="0"/>
              <w:right w:val="single" w:color="auto" w:sz="8" w:space="0"/>
            </w:tcBorders>
            <w:tcMar>
              <w:top w:w="0" w:type="dxa"/>
              <w:left w:w="108" w:type="dxa"/>
              <w:bottom w:w="0" w:type="dxa"/>
              <w:right w:w="108" w:type="dxa"/>
            </w:tcMar>
            <w:hideMark/>
          </w:tcPr>
          <w:p w:rsidR="00084EBE" w:rsidRDefault="00084EBE">
            <w:pPr>
              <w:rPr>
                <w:rFonts w:ascii="Verdana" w:hAnsi="Verdana"/>
                <w:sz w:val="18"/>
                <w:szCs w:val="18"/>
              </w:rPr>
            </w:pPr>
            <w:r>
              <w:rPr>
                <w:rFonts w:ascii="Verdana" w:hAnsi="Verdana"/>
                <w:sz w:val="18"/>
                <w:szCs w:val="18"/>
              </w:rPr>
              <w:t>n.v.t.</w:t>
            </w:r>
          </w:p>
        </w:tc>
        <w:tc>
          <w:tcPr>
            <w:tcW w:w="1943" w:type="dxa"/>
            <w:tcBorders>
              <w:top w:val="nil"/>
              <w:left w:val="nil"/>
              <w:bottom w:val="single" w:color="auto" w:sz="8" w:space="0"/>
              <w:right w:val="single" w:color="auto" w:sz="8" w:space="0"/>
            </w:tcBorders>
            <w:tcMar>
              <w:top w:w="0" w:type="dxa"/>
              <w:left w:w="108" w:type="dxa"/>
              <w:bottom w:w="0" w:type="dxa"/>
              <w:right w:w="108" w:type="dxa"/>
            </w:tcMar>
          </w:tcPr>
          <w:p w:rsidR="00084EBE" w:rsidRDefault="00084EBE">
            <w:pPr>
              <w:rPr>
                <w:rFonts w:ascii="Verdana" w:hAnsi="Verdana"/>
                <w:sz w:val="18"/>
                <w:szCs w:val="18"/>
              </w:rPr>
            </w:pPr>
          </w:p>
        </w:tc>
      </w:tr>
    </w:tbl>
    <w:p w:rsidR="00084EBE" w:rsidP="00084EBE" w:rsidRDefault="00084EBE">
      <w:pPr>
        <w:rPr>
          <w:rFonts w:ascii="Verdana" w:hAnsi="Verdana"/>
          <w:sz w:val="18"/>
          <w:szCs w:val="18"/>
        </w:rPr>
      </w:pPr>
    </w:p>
    <w:p w:rsidR="00084EBE" w:rsidP="00084EBE" w:rsidRDefault="00084EBE">
      <w:pPr>
        <w:rPr>
          <w:rFonts w:ascii="Verdana" w:hAnsi="Verdana"/>
          <w:b/>
          <w:bCs/>
          <w:sz w:val="18"/>
          <w:szCs w:val="18"/>
        </w:rPr>
      </w:pPr>
    </w:p>
    <w:p w:rsidR="00084EBE" w:rsidP="00084EBE" w:rsidRDefault="00084EBE">
      <w:pPr>
        <w:rPr>
          <w:rFonts w:ascii="Verdana" w:hAnsi="Verdana"/>
          <w:b/>
          <w:bCs/>
          <w:sz w:val="18"/>
          <w:szCs w:val="18"/>
        </w:rPr>
      </w:pPr>
      <w:r>
        <w:rPr>
          <w:rFonts w:ascii="Verdana" w:hAnsi="Verdana"/>
          <w:b/>
          <w:bCs/>
          <w:sz w:val="18"/>
          <w:szCs w:val="18"/>
        </w:rPr>
        <w:t>Toelichting inhoud voorstellen</w:t>
      </w:r>
    </w:p>
    <w:p w:rsidR="00084EBE" w:rsidP="00084EBE" w:rsidRDefault="00084EBE">
      <w:pPr>
        <w:rPr>
          <w:rFonts w:ascii="Verdana" w:hAnsi="Verdana"/>
          <w:sz w:val="18"/>
          <w:szCs w:val="18"/>
        </w:rPr>
      </w:pPr>
      <w:r>
        <w:rPr>
          <w:rFonts w:ascii="Verdana" w:hAnsi="Verdana"/>
          <w:sz w:val="18"/>
          <w:szCs w:val="18"/>
        </w:rPr>
        <w:t xml:space="preserve">Zie bijgevoegd document voor de relevante passages uit de kabinetsappreciatie. </w:t>
      </w:r>
    </w:p>
    <w:p w:rsidR="00084EBE" w:rsidP="00084EBE" w:rsidRDefault="00084EBE">
      <w:pPr>
        <w:rPr>
          <w:rFonts w:ascii="Verdana" w:hAnsi="Verdana"/>
          <w:b/>
          <w:bCs/>
          <w:sz w:val="18"/>
          <w:szCs w:val="18"/>
        </w:rPr>
      </w:pPr>
    </w:p>
    <w:p w:rsidR="00084EBE" w:rsidP="00084EBE" w:rsidRDefault="00084EBE">
      <w:pPr>
        <w:rPr>
          <w:rFonts w:ascii="Verdana" w:hAnsi="Verdana"/>
          <w:sz w:val="18"/>
          <w:szCs w:val="18"/>
        </w:rPr>
      </w:pPr>
      <w:r>
        <w:rPr>
          <w:rFonts w:ascii="Verdana" w:hAnsi="Verdana"/>
          <w:b/>
          <w:bCs/>
          <w:sz w:val="18"/>
          <w:szCs w:val="18"/>
        </w:rPr>
        <w:t>Toelichting op de te maken keuzes</w:t>
      </w:r>
    </w:p>
    <w:p w:rsidR="00084EBE" w:rsidP="00084EBE" w:rsidRDefault="00084EBE">
      <w:pPr>
        <w:numPr>
          <w:ilvl w:val="0"/>
          <w:numId w:val="1"/>
        </w:numPr>
        <w:rPr>
          <w:rFonts w:ascii="Verdana" w:hAnsi="Verdana"/>
          <w:sz w:val="18"/>
          <w:szCs w:val="18"/>
        </w:rPr>
      </w:pPr>
      <w:r>
        <w:rPr>
          <w:rFonts w:ascii="Verdana" w:hAnsi="Verdana"/>
          <w:sz w:val="18"/>
          <w:szCs w:val="18"/>
          <w:u w:val="single"/>
        </w:rPr>
        <w:t>Algemeen prioritair verklaren:</w:t>
      </w:r>
      <w:r>
        <w:rPr>
          <w:rFonts w:ascii="Verdana" w:hAnsi="Verdana"/>
          <w:sz w:val="18"/>
          <w:szCs w:val="18"/>
        </w:rPr>
        <w:t xml:space="preserve"> de Kamer geeft aan een te verschijnen EU-voorstel van bijzonder politiek belang te achten. Met name richtinggevende voorstellen, waaronder ook niet-wetgevende initiatieven zoals mededelingen, aanbevelingen, Groenboeken, actieplannen en pakketten. </w:t>
      </w:r>
    </w:p>
    <w:p w:rsidR="00084EBE" w:rsidP="00084EBE" w:rsidRDefault="00084EBE">
      <w:pPr>
        <w:numPr>
          <w:ilvl w:val="0"/>
          <w:numId w:val="1"/>
        </w:numPr>
        <w:rPr>
          <w:rFonts w:ascii="Verdana" w:hAnsi="Verdana"/>
          <w:sz w:val="18"/>
          <w:szCs w:val="18"/>
        </w:rPr>
      </w:pPr>
      <w:r>
        <w:rPr>
          <w:rFonts w:ascii="Verdana" w:hAnsi="Verdana"/>
          <w:sz w:val="18"/>
          <w:szCs w:val="18"/>
          <w:u w:val="single"/>
        </w:rPr>
        <w:t>Voornemen een behandelvoorbehoud te plaatsen:</w:t>
      </w:r>
      <w:r>
        <w:rPr>
          <w:rFonts w:ascii="Verdana" w:hAnsi="Verdana"/>
          <w:sz w:val="18"/>
          <w:szCs w:val="18"/>
        </w:rPr>
        <w:t xml:space="preserve"> de Kamer spreekt het voornemen uit om op te verschijnen wetgevende EU-voorstellen van bijzonder politiek belang een </w:t>
      </w:r>
      <w:r>
        <w:rPr>
          <w:rFonts w:ascii="Verdana" w:hAnsi="Verdana"/>
          <w:sz w:val="18"/>
          <w:szCs w:val="18"/>
        </w:rPr>
        <w:lastRenderedPageBreak/>
        <w:t xml:space="preserve">behandelvoorbehoud te plaatsen, waarbij de Kamer 1) vroegtijdig het Nederlandse standpunt wil beïnvloeden en 2) door de regering op bijzondere wijze geïnformeerd wil blijven gedurende het behandeltraject. Hiervoor kan bijvoorbeeld in de betreffende </w:t>
      </w:r>
      <w:proofErr w:type="spellStart"/>
      <w:r>
        <w:rPr>
          <w:rFonts w:ascii="Verdana" w:hAnsi="Verdana"/>
          <w:sz w:val="18"/>
          <w:szCs w:val="18"/>
        </w:rPr>
        <w:t>vakcommissie</w:t>
      </w:r>
      <w:proofErr w:type="spellEnd"/>
      <w:r>
        <w:rPr>
          <w:rFonts w:ascii="Verdana" w:hAnsi="Verdana"/>
          <w:sz w:val="18"/>
          <w:szCs w:val="18"/>
        </w:rPr>
        <w:t xml:space="preserve"> een commissiedebat dat geheel gewijd is aan dit EU-voorstel (‘thematisch CD’) worden gehouden, waarbij tevens informatieafspraken worden gemaakt met het kabinet over het verloop van de onderhandelingen. </w:t>
      </w:r>
    </w:p>
    <w:p w:rsidR="00084EBE" w:rsidP="00084EBE" w:rsidRDefault="00084EBE">
      <w:pPr>
        <w:numPr>
          <w:ilvl w:val="0"/>
          <w:numId w:val="1"/>
        </w:numPr>
        <w:rPr>
          <w:rFonts w:ascii="Verdana" w:hAnsi="Verdana"/>
          <w:sz w:val="18"/>
          <w:szCs w:val="18"/>
        </w:rPr>
      </w:pPr>
      <w:r>
        <w:rPr>
          <w:rFonts w:ascii="Verdana" w:hAnsi="Verdana"/>
          <w:sz w:val="18"/>
          <w:szCs w:val="18"/>
          <w:u w:val="single"/>
        </w:rPr>
        <w:t>Voornemen een subsidiariteitstoets uit te voeren:</w:t>
      </w:r>
      <w:r>
        <w:rPr>
          <w:rFonts w:ascii="Verdana" w:hAnsi="Verdana"/>
          <w:sz w:val="18"/>
          <w:szCs w:val="18"/>
        </w:rPr>
        <w:t xml:space="preserve"> de Kamer spreekt het voornemen uit bij te verschijnen wetgevende EU-voorstellen na te gaan of deze materie beter op Europees niveau of op nationaal niveau geregeld kan worden. Een negatieve subsidiariteitsoordeel zal worden verstuurd aan de Europese Commissie. Indien 1/3 van de nationale parlementen ook een negatief oordeel uitspreekt is de Europese Commissie verplicht het EU-voorstel te heroverwegen (‘gele kaart’). </w:t>
      </w:r>
    </w:p>
    <w:p w:rsidR="00084EBE" w:rsidP="00084EBE" w:rsidRDefault="00084EBE">
      <w:pPr>
        <w:numPr>
          <w:ilvl w:val="0"/>
          <w:numId w:val="1"/>
        </w:numPr>
        <w:rPr>
          <w:rFonts w:ascii="Verdana" w:hAnsi="Verdana"/>
          <w:b/>
          <w:bCs/>
          <w:i/>
          <w:iCs/>
          <w:sz w:val="18"/>
          <w:szCs w:val="18"/>
          <w:u w:val="single"/>
        </w:rPr>
      </w:pPr>
      <w:r>
        <w:rPr>
          <w:rFonts w:ascii="Verdana" w:hAnsi="Verdana"/>
          <w:sz w:val="18"/>
          <w:szCs w:val="18"/>
          <w:u w:val="single"/>
        </w:rPr>
        <w:t>Benoemen rapporteur:</w:t>
      </w:r>
      <w:r>
        <w:rPr>
          <w:rFonts w:ascii="Verdana" w:hAnsi="Verdana"/>
          <w:sz w:val="18"/>
          <w:szCs w:val="18"/>
        </w:rPr>
        <w:t xml:space="preserve"> een commissie wijst een Kamerlid aan dat voor de commissie extra informatie verzamelt over het EU-voorstel en/of bij de Europese instellingen en andere parlementen een standpunt uitdraagt.</w:t>
      </w:r>
      <w:r>
        <w:rPr>
          <w:rFonts w:ascii="Verdana" w:hAnsi="Verdana"/>
          <w:b/>
          <w:bCs/>
          <w:i/>
          <w:iCs/>
          <w:sz w:val="18"/>
          <w:szCs w:val="18"/>
          <w:u w:val="single"/>
        </w:rPr>
        <w:t xml:space="preserve"> </w:t>
      </w:r>
    </w:p>
    <w:p w:rsidR="00084EBE" w:rsidP="00084EBE" w:rsidRDefault="00084EBE">
      <w:pPr>
        <w:rPr>
          <w:rFonts w:ascii="Verdana" w:hAnsi="Verdana"/>
          <w:b/>
          <w:bCs/>
          <w:sz w:val="18"/>
          <w:szCs w:val="18"/>
        </w:rPr>
      </w:pPr>
    </w:p>
    <w:p w:rsidR="00084EBE" w:rsidP="00084EBE" w:rsidRDefault="00084EBE">
      <w:pPr>
        <w:rPr>
          <w:rFonts w:ascii="Verdana" w:hAnsi="Verdana"/>
          <w:sz w:val="18"/>
          <w:szCs w:val="18"/>
        </w:rPr>
      </w:pPr>
      <w:r>
        <w:rPr>
          <w:rFonts w:ascii="Verdana" w:hAnsi="Verdana"/>
          <w:sz w:val="18"/>
          <w:szCs w:val="18"/>
        </w:rPr>
        <w:t>Voor een verdere toelichting kunt u contact opnemen met de EU-adviseur voor de commi</w:t>
      </w:r>
      <w:r>
        <w:rPr>
          <w:rFonts w:ascii="Verdana" w:hAnsi="Verdana"/>
          <w:sz w:val="18"/>
          <w:szCs w:val="18"/>
        </w:rPr>
        <w:t>ssie OCW, Kasper van der Gugten.</w:t>
      </w:r>
      <w:bookmarkStart w:name="_GoBack" w:id="0"/>
      <w:bookmarkEnd w:id="0"/>
    </w:p>
    <w:p w:rsidR="00084EBE" w:rsidP="00084EBE" w:rsidRDefault="00084EBE">
      <w:pPr>
        <w:rPr>
          <w:color w:val="1F497D"/>
        </w:rPr>
      </w:pPr>
    </w:p>
    <w:p w:rsidR="00084EBE" w:rsidP="00084EBE" w:rsidRDefault="00084EBE">
      <w:r>
        <w:t>Met vriendelijke groet,</w:t>
      </w:r>
    </w:p>
    <w:p w:rsidR="00084EBE" w:rsidP="00084EBE" w:rsidRDefault="00084EBE"/>
    <w:p w:rsidR="00084EBE" w:rsidP="00084EBE" w:rsidRDefault="00084EBE">
      <w:r>
        <w:t>Kasper van der Gugten</w:t>
      </w:r>
    </w:p>
    <w:p w:rsidR="00084EBE" w:rsidP="00084EBE" w:rsidRDefault="00084EBE">
      <w:r>
        <w:rPr>
          <w:rFonts w:ascii="Verdana" w:hAnsi="Verdana"/>
          <w:sz w:val="18"/>
          <w:szCs w:val="18"/>
        </w:rPr>
        <w:t>EU-adviseur voor de commissie OCW</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6418"/>
    <w:multiLevelType w:val="hybridMultilevel"/>
    <w:tmpl w:val="D2C8FE3C"/>
    <w:lvl w:ilvl="0" w:tplc="0F06C90E">
      <w:start w:val="1"/>
      <w:numFmt w:val="decimal"/>
      <w:lvlText w:val="%1."/>
      <w:lvlJc w:val="left"/>
      <w:pPr>
        <w:ind w:left="720" w:hanging="360"/>
      </w:pPr>
      <w:rPr>
        <w:rFonts w:eastAsia="Times New Roman"/>
        <w:b w:val="0"/>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BE"/>
    <w:rsid w:val="00084EBE"/>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646D"/>
  <w15:chartTrackingRefBased/>
  <w15:docId w15:val="{7796E358-F032-4239-8F55-A63EA2E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4EB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84E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2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e.ocw@tweedekam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lisweb/parlis/zaak.aspx?id=b8bb1b43-2a4d-497a-b8ca-d159ac840551" TargetMode="External"/><Relationship Id="rId5" Type="http://schemas.openxmlformats.org/officeDocument/2006/relationships/hyperlink" Target="https://parlisweb/parlis/document.aspx?Id=52abeafb-df63-4804-9609-78eb192d85e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636</ap:Words>
  <ap:Characters>3499</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2021-12-08T12:42:00.0000000Z</dcterms:created>
  <dcterms:modified xsi:type="dcterms:W3CDTF">2021-12-08T12:43:00.0000000Z</dcterms:modified>
  <version/>
  <category/>
</coreProperties>
</file>