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276" w:rsidP="005A3276" w:rsidRDefault="005A3276">
      <w:pPr>
        <w:rPr>
          <w:rFonts w:ascii="Calibri" w:hAnsi="Calibri" w:eastAsia="Times New Roman" w:cs="Calibri"/>
          <w:sz w:val="22"/>
          <w:szCs w:val="22"/>
        </w:rPr>
      </w:pPr>
      <w:r>
        <w:rPr>
          <w:rFonts w:ascii="Calibri" w:hAnsi="Calibri" w:eastAsia="Times New Roman" w:cs="Calibri"/>
          <w:b/>
          <w:bCs/>
          <w:sz w:val="22"/>
          <w:szCs w:val="22"/>
        </w:rPr>
        <w:t>Van:</w:t>
      </w:r>
      <w:r>
        <w:rPr>
          <w:rFonts w:ascii="Calibri" w:hAnsi="Calibri" w:eastAsia="Times New Roman" w:cs="Calibri"/>
          <w:sz w:val="22"/>
          <w:szCs w:val="22"/>
        </w:rPr>
        <w:t xml:space="preserve"> Commissie VWS </w:t>
      </w:r>
      <w:r>
        <w:rPr>
          <w:rFonts w:ascii="Calibri" w:hAnsi="Calibri" w:eastAsia="Times New Roman" w:cs="Calibri"/>
          <w:sz w:val="22"/>
          <w:szCs w:val="22"/>
        </w:rPr>
        <w:t xml:space="preserve">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zaterdag 4 december 2021 10:46</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GC-Commissie-</w:t>
      </w:r>
      <w:r>
        <w:rPr>
          <w:rFonts w:ascii="Calibri" w:hAnsi="Calibri" w:eastAsia="Times New Roman" w:cs="Calibri"/>
          <w:sz w:val="22"/>
          <w:szCs w:val="22"/>
        </w:rPr>
        <w:t xml:space="preserve">VWS </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[EMAILPROCEDURE}: verzoek van het lid Agema om een zo spoedig mogelijke reactie te ontvangen van de minister van VWS inzake fase 3a: uw reactie graag uiterlijk maandag a.s. om 11.00 uur</w:t>
      </w:r>
    </w:p>
    <w:p w:rsidR="005A3276" w:rsidP="005A3276" w:rsidRDefault="005A3276"/>
    <w:p w:rsidR="005A3276" w:rsidP="005A3276" w:rsidRDefault="005A3276">
      <w:pPr>
        <w:rPr>
          <w:lang w:eastAsia="en-US"/>
        </w:rPr>
      </w:pPr>
      <w:r>
        <w:rPr>
          <w:lang w:eastAsia="en-US"/>
        </w:rPr>
        <w:t>Geachte (</w:t>
      </w:r>
      <w:proofErr w:type="spellStart"/>
      <w:r>
        <w:rPr>
          <w:lang w:eastAsia="en-US"/>
        </w:rPr>
        <w:t>plv</w:t>
      </w:r>
      <w:proofErr w:type="spellEnd"/>
      <w:r>
        <w:rPr>
          <w:lang w:eastAsia="en-US"/>
        </w:rPr>
        <w:t>) leden van de vaste commissie voor Volksgezondheid, Welzijn en Sport,</w:t>
      </w:r>
    </w:p>
    <w:p w:rsidR="005A3276" w:rsidP="005A3276" w:rsidRDefault="005A3276">
      <w:pPr>
        <w:rPr>
          <w:lang w:eastAsia="en-US"/>
        </w:rPr>
      </w:pPr>
    </w:p>
    <w:p w:rsidR="005A3276" w:rsidP="005A3276" w:rsidRDefault="005A3276">
      <w:r>
        <w:rPr>
          <w:lang w:eastAsia="en-US"/>
        </w:rPr>
        <w:t>Onderstaand treft u aan een verzoek van het lid Agema (PVV) om een zo spoedige mogelijke reactie van de minister van VWS te ontvangen inzake de stelling van IC-hoofd de heer Van der Voort (in het televisieprogramma Beau) da</w:t>
      </w:r>
      <w:r>
        <w:t>t nu al sprake is van meer selectie dan normaal voor de IC en dat je kunt zeggen dat we in fase 3a van het draaiboek triage (code zwart) terecht gekomen zijn.</w:t>
      </w:r>
    </w:p>
    <w:p w:rsidR="005A3276" w:rsidP="005A3276" w:rsidRDefault="005A3276">
      <w:pPr>
        <w:rPr>
          <w:lang w:eastAsia="en-US"/>
        </w:rPr>
      </w:pPr>
      <w:r>
        <w:t xml:space="preserve">Graag verneem ik </w:t>
      </w:r>
      <w:r>
        <w:rPr>
          <w:b/>
          <w:bCs/>
          <w:u w:val="single"/>
        </w:rPr>
        <w:t>uiterlijk maandag 6 december om 11.00 uur</w:t>
      </w:r>
      <w:r>
        <w:t xml:space="preserve"> of u het verzoek steunt*. Spoedig daarna zal ik u informeren over de uitkomst.</w:t>
      </w:r>
    </w:p>
    <w:p w:rsidR="005A3276" w:rsidP="005A3276" w:rsidRDefault="005A3276">
      <w:pPr>
        <w:rPr>
          <w:lang w:eastAsia="en-US"/>
        </w:rPr>
      </w:pPr>
    </w:p>
    <w:p w:rsidR="005A3276" w:rsidP="005A3276" w:rsidRDefault="005A3276">
      <w:pPr>
        <w:spacing w:before="180" w:after="100" w:afterAutospacing="1"/>
        <w:textAlignment w:val="top"/>
        <w:rPr>
          <w:rFonts w:ascii="Calibri" w:hAnsi="Calibri" w:cs="Calibri"/>
          <w:sz w:val="22"/>
          <w:szCs w:val="22"/>
        </w:rPr>
      </w:pPr>
      <w:bookmarkStart w:name="_GoBack" w:id="0"/>
      <w:r>
        <w:rPr>
          <w:rFonts w:ascii="Calibri" w:hAnsi="Calibri" w:cs="Calibri"/>
          <w:sz w:val="22"/>
          <w:szCs w:val="22"/>
        </w:rPr>
        <w:t>Met vriendelijke groet,</w:t>
      </w:r>
    </w:p>
    <w:p w:rsidR="005A3276" w:rsidP="005A3276" w:rsidRDefault="005A3276">
      <w:pPr>
        <w:spacing w:before="180" w:after="100" w:afterAutospacing="1"/>
        <w:textAlignment w:val="top"/>
        <w:rPr>
          <w:rFonts w:ascii="Calibri" w:hAnsi="Calibri" w:cs="Calibri"/>
          <w:sz w:val="22"/>
          <w:szCs w:val="22"/>
        </w:rPr>
      </w:pPr>
      <w:r>
        <w:rPr>
          <w:rFonts w:ascii="Calibri" w:hAnsi="Calibri" w:cs="Calibri"/>
          <w:sz w:val="22"/>
          <w:szCs w:val="22"/>
        </w:rPr>
        <w:t>Esmeijer, M.E.</w:t>
      </w:r>
    </w:p>
    <w:p w:rsidRPr="005A3276" w:rsidR="005A3276" w:rsidP="005A3276" w:rsidRDefault="005A3276">
      <w:pPr>
        <w:spacing w:before="180" w:after="100" w:afterAutospacing="1"/>
        <w:textAlignment w:val="top"/>
        <w:rPr>
          <w:rFonts w:ascii="Calibri" w:hAnsi="Calibri" w:cs="Calibri"/>
          <w:sz w:val="22"/>
          <w:szCs w:val="22"/>
        </w:rPr>
      </w:pPr>
      <w:r>
        <w:rPr>
          <w:rFonts w:ascii="Calibri" w:hAnsi="Calibri" w:cs="Calibri"/>
          <w:sz w:val="22"/>
          <w:szCs w:val="22"/>
        </w:rPr>
        <w:t>plaatsvervangend griffier</w:t>
      </w:r>
      <w:r>
        <w:rPr>
          <w:rFonts w:ascii="Calibri" w:hAnsi="Calibri" w:cs="Calibri"/>
          <w:sz w:val="22"/>
          <w:szCs w:val="22"/>
        </w:rPr>
        <w:br/>
        <w:t>GC Sociaal en Financieel</w:t>
      </w:r>
      <w:r>
        <w:rPr>
          <w:rFonts w:ascii="Calibri" w:hAnsi="Calibri" w:cs="Calibri"/>
          <w:sz w:val="22"/>
          <w:szCs w:val="22"/>
        </w:rPr>
        <w:br/>
        <w:t>Tweede Kamer der Staten-Generaal</w:t>
      </w:r>
    </w:p>
    <w:p w:rsidR="005A3276" w:rsidP="005A3276" w:rsidRDefault="005A3276">
      <w:pPr>
        <w:rPr>
          <w:rFonts w:ascii="Calibri" w:hAnsi="Calibri" w:cs="Calibri"/>
          <w:sz w:val="22"/>
          <w:szCs w:val="22"/>
        </w:rPr>
      </w:pPr>
      <w:r>
        <w:rPr>
          <w:rFonts w:ascii="Calibri" w:hAnsi="Calibri" w:cs="Calibri"/>
          <w:sz w:val="18"/>
          <w:szCs w:val="18"/>
        </w:rPr>
        <w:t>*Toelichting</w:t>
      </w:r>
    </w:p>
    <w:p w:rsidR="005A3276" w:rsidP="005A3276" w:rsidRDefault="005A3276">
      <w:pPr>
        <w:rPr>
          <w:rFonts w:ascii="Calibri" w:hAnsi="Calibri" w:cs="Calibri"/>
          <w:sz w:val="22"/>
          <w:szCs w:val="22"/>
        </w:rPr>
      </w:pPr>
      <w:r>
        <w:rPr>
          <w:rFonts w:ascii="Calibri" w:hAnsi="Calibri" w:cs="Calibri"/>
          <w:sz w:val="18"/>
          <w:szCs w:val="18"/>
        </w:rPr>
        <w:t xml:space="preserve">De e-mailprocedure is geregeld in artikel 7.20, tweede lid: </w:t>
      </w:r>
    </w:p>
    <w:p w:rsidR="005A3276" w:rsidP="005A3276" w:rsidRDefault="005A3276">
      <w:pPr>
        <w:rPr>
          <w:rFonts w:ascii="Calibri" w:hAnsi="Calibri" w:cs="Calibri"/>
          <w:color w:val="323296"/>
          <w:sz w:val="22"/>
          <w:szCs w:val="22"/>
        </w:rPr>
      </w:pPr>
      <w:r>
        <w:rPr>
          <w:rFonts w:ascii="Calibri" w:hAnsi="Calibri" w:cs="Calibri"/>
          <w:sz w:val="18"/>
          <w:szCs w:val="18"/>
        </w:rPr>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 Dit betekent dat in een e-mailprocedure een voorstel is aangenomen indien het door een absolute Kamermeerderheid wordt gesteund</w:t>
      </w:r>
    </w:p>
    <w:bookmarkEnd w:id="0"/>
    <w:p w:rsidR="005A3276" w:rsidP="005A3276" w:rsidRDefault="005A3276">
      <w:pPr>
        <w:rPr>
          <w:rFonts w:ascii="Calibri" w:hAnsi="Calibri" w:cs="Calibri"/>
          <w:color w:val="323296"/>
          <w:sz w:val="22"/>
          <w:szCs w:val="22"/>
        </w:rPr>
      </w:pPr>
    </w:p>
    <w:p w:rsidR="005A3276" w:rsidP="005A3276" w:rsidRDefault="005A3276">
      <w:pPr>
        <w:rPr>
          <w:rFonts w:ascii="Calibri" w:hAnsi="Calibri" w:cs="Calibri"/>
          <w:color w:val="1F497D"/>
          <w:sz w:val="22"/>
          <w:szCs w:val="22"/>
          <w:lang w:eastAsia="en-US"/>
        </w:rPr>
      </w:pPr>
    </w:p>
    <w:p w:rsidR="005A3276" w:rsidP="005A3276" w:rsidRDefault="005A3276">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Agema, F.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vrijdag 3 december 2021 21:00</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Esmeijer, M.E.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Emailprocedure fase 3a</w:t>
      </w:r>
    </w:p>
    <w:p w:rsidR="005A3276" w:rsidP="005A3276" w:rsidRDefault="005A3276"/>
    <w:p w:rsidR="005A3276" w:rsidP="005A3276" w:rsidRDefault="005A3276">
      <w:r>
        <w:t>Beste griffie, </w:t>
      </w:r>
    </w:p>
    <w:p w:rsidR="005A3276" w:rsidP="005A3276" w:rsidRDefault="005A3276"/>
    <w:p w:rsidR="005A3276" w:rsidP="005A3276" w:rsidRDefault="005A3276">
      <w:r>
        <w:t>Mijn excuses voor de late avond. Maar vanavond was IC-hoofd dhr. Van der Voort te gast in het televisieprogramma BEAU. Hij stelt dat er nu al sprake is van meer selectie dan normaal voor de IC en stelt dat je kunt zeggen dat we in fase 3a van het draaiboek triage (code zwart) terecht gekomen zijn.  Ik zou graag middels wen emailprocedure een zo spoedig mogelijke reactie van de minister van VWS willen vragen. </w:t>
      </w:r>
    </w:p>
    <w:p w:rsidR="005A3276" w:rsidP="005A3276" w:rsidRDefault="005A3276"/>
    <w:p w:rsidR="005A3276" w:rsidP="005A3276" w:rsidRDefault="005A3276">
      <w:r>
        <w:t>Vriendelijke groeten,</w:t>
      </w:r>
    </w:p>
    <w:p w:rsidR="005A3276" w:rsidP="005A3276" w:rsidRDefault="005A3276">
      <w:pPr>
        <w:spacing w:after="240"/>
      </w:pPr>
      <w:r>
        <w:t>Fleur</w:t>
      </w:r>
      <w:r>
        <w:t xml:space="preserve"> Agema</w:t>
      </w:r>
    </w:p>
    <w:p w:rsidR="005A3276" w:rsidP="005A3276" w:rsidRDefault="005A3276">
      <w:pPr>
        <w:spacing w:after="240"/>
      </w:pPr>
      <w:r>
        <w:t>PVV</w:t>
      </w:r>
    </w:p>
    <w:tbl>
      <w:tblPr>
        <w:tblW w:w="7500" w:type="dxa"/>
        <w:tblCellSpacing w:w="0" w:type="dxa"/>
        <w:tblBorders>
          <w:top w:val="single" w:color="CCD6DD" w:sz="8" w:space="0"/>
          <w:left w:val="single" w:color="CCD6DD" w:sz="8" w:space="0"/>
          <w:bottom w:val="single" w:color="CCD6DD" w:sz="8" w:space="0"/>
          <w:right w:val="single" w:color="CCD6DD" w:sz="8" w:space="0"/>
        </w:tblBorders>
        <w:shd w:val="clear" w:color="auto" w:fill="FFFFFF"/>
        <w:tblCellMar>
          <w:left w:w="0" w:type="dxa"/>
          <w:right w:w="0" w:type="dxa"/>
        </w:tblCellMar>
        <w:tblLook w:val="04A0" w:firstRow="1" w:lastRow="0" w:firstColumn="1" w:lastColumn="0" w:noHBand="0" w:noVBand="1"/>
      </w:tblPr>
      <w:tblGrid>
        <w:gridCol w:w="240"/>
        <w:gridCol w:w="7020"/>
        <w:gridCol w:w="240"/>
      </w:tblGrid>
      <w:tr w:rsidR="005A3276" w:rsidTr="005A3276">
        <w:trPr>
          <w:trHeight w:val="180"/>
          <w:tblCellSpacing w:w="0" w:type="dxa"/>
        </w:trPr>
        <w:tc>
          <w:tcPr>
            <w:tcW w:w="0" w:type="auto"/>
            <w:gridSpan w:val="3"/>
            <w:tcBorders>
              <w:top w:val="nil"/>
              <w:left w:val="nil"/>
              <w:bottom w:val="nil"/>
              <w:right w:val="nil"/>
            </w:tcBorders>
            <w:shd w:val="clear" w:color="auto" w:fill="FFFFFF"/>
            <w:vAlign w:val="center"/>
            <w:hideMark/>
          </w:tcPr>
          <w:p w:rsidR="005A3276" w:rsidRDefault="005A3276">
            <w:pPr>
              <w:spacing w:line="0" w:lineRule="atLeast"/>
              <w:rPr>
                <w:sz w:val="2"/>
                <w:szCs w:val="2"/>
              </w:rPr>
            </w:pPr>
            <w:r>
              <w:rPr>
                <w:sz w:val="2"/>
                <w:szCs w:val="2"/>
              </w:rPr>
              <w:t> </w:t>
            </w:r>
          </w:p>
        </w:tc>
      </w:tr>
      <w:tr w:rsidR="005A3276" w:rsidTr="005A3276">
        <w:trPr>
          <w:tblCellSpacing w:w="0" w:type="dxa"/>
        </w:trPr>
        <w:tc>
          <w:tcPr>
            <w:tcW w:w="270" w:type="dxa"/>
            <w:tcBorders>
              <w:top w:val="nil"/>
              <w:left w:val="nil"/>
              <w:bottom w:val="nil"/>
              <w:right w:val="nil"/>
            </w:tcBorders>
            <w:shd w:val="clear" w:color="auto" w:fill="FFFFFF"/>
            <w:vAlign w:val="center"/>
            <w:hideMark/>
          </w:tcPr>
          <w:p w:rsidR="005A3276" w:rsidRDefault="005A3276">
            <w:pPr>
              <w:spacing w:line="0" w:lineRule="atLeast"/>
              <w:rPr>
                <w:sz w:val="2"/>
                <w:szCs w:val="2"/>
              </w:rPr>
            </w:pPr>
            <w:r>
              <w:rPr>
                <w:sz w:val="2"/>
                <w:szCs w:val="2"/>
              </w:rPr>
              <w:lastRenderedPageBreak/>
              <w:t> </w:t>
            </w:r>
          </w:p>
        </w:tc>
        <w:tc>
          <w:tcPr>
            <w:tcW w:w="0" w:type="auto"/>
            <w:tcBorders>
              <w:top w:val="nil"/>
              <w:left w:val="nil"/>
              <w:bottom w:val="nil"/>
              <w:right w:val="nil"/>
            </w:tcBorders>
            <w:shd w:val="clear" w:color="auto" w:fill="FFFFFF"/>
            <w:vAlign w:val="center"/>
            <w:hideMark/>
          </w:tcPr>
          <w:tbl>
            <w:tblPr>
              <w:tblpPr w:leftFromText="45" w:rightFromText="45" w:vertAnchor="text"/>
              <w:tblW w:w="6960" w:type="dxa"/>
              <w:tblCellSpacing w:w="0" w:type="dxa"/>
              <w:tblCellMar>
                <w:left w:w="0" w:type="dxa"/>
                <w:right w:w="0" w:type="dxa"/>
              </w:tblCellMar>
              <w:tblLook w:val="04A0" w:firstRow="1" w:lastRow="0" w:firstColumn="1" w:lastColumn="0" w:noHBand="0" w:noVBand="1"/>
            </w:tblPr>
            <w:tblGrid>
              <w:gridCol w:w="720"/>
              <w:gridCol w:w="120"/>
              <w:gridCol w:w="5820"/>
              <w:gridCol w:w="360"/>
            </w:tblGrid>
            <w:tr w:rsidR="005A3276">
              <w:trPr>
                <w:tblCellSpacing w:w="0" w:type="dxa"/>
              </w:trPr>
              <w:tc>
                <w:tcPr>
                  <w:tcW w:w="720" w:type="dxa"/>
                  <w:hideMark/>
                </w:tcPr>
                <w:p w:rsidR="005A3276" w:rsidRDefault="005A3276">
                  <w:r>
                    <w:rPr>
                      <w:noProof/>
                      <w:color w:val="0000FF"/>
                    </w:rPr>
                    <w:drawing>
                      <wp:inline distT="0" distB="0" distL="0" distR="0">
                        <wp:extent cx="457200" cy="457200"/>
                        <wp:effectExtent l="0" t="0" r="0" b="0"/>
                        <wp:docPr id="4" name="Afbeelding 4" descr="https://pbs.twimg.com/profile_images/1396565535723343876/5IkMk58y_normal.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1396565535723343876/5IkMk58y_norm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120" w:type="dxa"/>
                  <w:hideMark/>
                </w:tcPr>
                <w:p w:rsidR="005A3276" w:rsidRDefault="005A3276">
                  <w:pPr>
                    <w:spacing w:line="0" w:lineRule="atLeast"/>
                    <w:rPr>
                      <w:sz w:val="2"/>
                      <w:szCs w:val="2"/>
                    </w:rPr>
                  </w:pPr>
                  <w:r>
                    <w:rPr>
                      <w:noProof/>
                      <w:sz w:val="2"/>
                      <w:szCs w:val="2"/>
                    </w:rPr>
                    <w:drawing>
                      <wp:inline distT="0" distB="0" distL="0" distR="0">
                        <wp:extent cx="76200" cy="76200"/>
                        <wp:effectExtent l="0" t="0" r="0" b="0"/>
                        <wp:docPr id="3" name="Afbeelding 3" descr="https://ea.twimg.com/email/self_serve/media/spa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twimg.com/email/self_serve/media/spac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tc>
              <w:tc>
                <w:tcPr>
                  <w:tcW w:w="5820" w:type="dxa"/>
                  <w:vAlign w:val="center"/>
                  <w:hideMark/>
                </w:tcPr>
                <w:tbl>
                  <w:tblPr>
                    <w:tblpPr w:leftFromText="45" w:rightFromText="45" w:vertAnchor="text"/>
                    <w:tblW w:w="5820" w:type="dxa"/>
                    <w:tblCellSpacing w:w="0" w:type="dxa"/>
                    <w:tblCellMar>
                      <w:left w:w="0" w:type="dxa"/>
                      <w:right w:w="0" w:type="dxa"/>
                    </w:tblCellMar>
                    <w:tblLook w:val="04A0" w:firstRow="1" w:lastRow="0" w:firstColumn="1" w:lastColumn="0" w:noHBand="0" w:noVBand="1"/>
                  </w:tblPr>
                  <w:tblGrid>
                    <w:gridCol w:w="5820"/>
                  </w:tblGrid>
                  <w:tr w:rsidR="005A3276">
                    <w:trPr>
                      <w:tblCellSpacing w:w="0" w:type="dxa"/>
                    </w:trPr>
                    <w:tc>
                      <w:tcPr>
                        <w:tcW w:w="5820" w:type="dxa"/>
                        <w:vAlign w:val="center"/>
                        <w:hideMark/>
                      </w:tcPr>
                      <w:p w:rsidR="005A3276" w:rsidRDefault="005A3276">
                        <w:hyperlink w:history="1" r:id="rId7">
                          <w:r>
                            <w:rPr>
                              <w:rStyle w:val="Hyperlink"/>
                              <w:rFonts w:ascii="Helvetica" w:hAnsi="Helvetica" w:cs="Helvetica"/>
                              <w:b/>
                              <w:bCs/>
                              <w:color w:val="292C2F"/>
                              <w:sz w:val="21"/>
                              <w:szCs w:val="21"/>
                              <w:u w:val="none"/>
                            </w:rPr>
                            <w:t>BEAU</w:t>
                          </w:r>
                        </w:hyperlink>
                      </w:p>
                    </w:tc>
                  </w:tr>
                  <w:tr w:rsidR="005A3276">
                    <w:trPr>
                      <w:tblCellSpacing w:w="0" w:type="dxa"/>
                    </w:trPr>
                    <w:tc>
                      <w:tcPr>
                        <w:tcW w:w="0" w:type="auto"/>
                        <w:vAlign w:val="center"/>
                        <w:hideMark/>
                      </w:tcPr>
                      <w:p w:rsidR="005A3276" w:rsidRDefault="005A3276">
                        <w:hyperlink w:history="1" r:id="rId8">
                          <w:r>
                            <w:rPr>
                              <w:rStyle w:val="Hyperlink"/>
                              <w:rFonts w:ascii="Tahoma" w:hAnsi="Tahoma" w:cs="Tahoma"/>
                              <w:color w:val="7E8C98"/>
                              <w:sz w:val="21"/>
                              <w:szCs w:val="21"/>
                              <w:u w:val="none"/>
                            </w:rPr>
                            <w:t>⁦</w:t>
                          </w:r>
                          <w:dir w:val="ltr">
                            <w:r>
                              <w:rPr>
                                <w:rStyle w:val="Hyperlink"/>
                                <w:rFonts w:ascii="Helvetica" w:hAnsi="Helvetica" w:cs="Helvetica"/>
                                <w:color w:val="7E8C98"/>
                                <w:sz w:val="21"/>
                                <w:szCs w:val="21"/>
                                <w:u w:val="none"/>
                              </w:rPr>
                              <w:t>@</w:t>
                            </w:r>
                            <w:proofErr w:type="spellStart"/>
                            <w:r>
                              <w:rPr>
                                <w:rStyle w:val="Hyperlink"/>
                                <w:rFonts w:ascii="Helvetica" w:hAnsi="Helvetica" w:cs="Helvetica"/>
                                <w:color w:val="7E8C98"/>
                                <w:sz w:val="21"/>
                                <w:szCs w:val="21"/>
                                <w:u w:val="none"/>
                              </w:rPr>
                              <w:t>BeauRTL</w:t>
                            </w:r>
                            <w:proofErr w:type="spellEnd"/>
                            <w:r>
                              <w:rPr>
                                <w:rStyle w:val="Hyperlink"/>
                                <w:rFonts w:ascii="Tahoma" w:hAnsi="Tahoma" w:cs="Tahoma"/>
                                <w:color w:val="7E8C98"/>
                                <w:sz w:val="21"/>
                                <w:szCs w:val="21"/>
                                <w:u w:val="none"/>
                              </w:rPr>
                              <w:t>⁩</w:t>
                            </w:r>
                          </w:dir>
                        </w:hyperlink>
                      </w:p>
                    </w:tc>
                  </w:tr>
                </w:tbl>
                <w:p w:rsidR="005A3276" w:rsidRDefault="005A3276">
                  <w:pPr>
                    <w:rPr>
                      <w:rFonts w:eastAsia="Times New Roman"/>
                      <w:sz w:val="20"/>
                      <w:szCs w:val="20"/>
                    </w:rPr>
                  </w:pPr>
                </w:p>
              </w:tc>
              <w:tc>
                <w:tcPr>
                  <w:tcW w:w="300" w:type="dxa"/>
                  <w:hideMark/>
                </w:tcPr>
                <w:p w:rsidR="005A3276" w:rsidRDefault="005A3276">
                  <w:r>
                    <w:rPr>
                      <w:noProof/>
                    </w:rPr>
                    <w:drawing>
                      <wp:inline distT="0" distB="0" distL="0" distR="0">
                        <wp:extent cx="228600" cy="190500"/>
                        <wp:effectExtent l="0" t="0" r="0" b="0"/>
                        <wp:docPr id="2" name="Afbeelding 2" descr="https://ea.twimg.com/email/self_serve/media/logo_twitter-14973837213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a.twimg.com/email/self_serve/media/logo_twitter-149738372136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p>
              </w:tc>
            </w:tr>
            <w:tr w:rsidR="005A3276">
              <w:trPr>
                <w:trHeight w:val="135"/>
                <w:tblCellSpacing w:w="0" w:type="dxa"/>
              </w:trPr>
              <w:tc>
                <w:tcPr>
                  <w:tcW w:w="0" w:type="auto"/>
                  <w:gridSpan w:val="4"/>
                  <w:vAlign w:val="center"/>
                  <w:hideMark/>
                </w:tcPr>
                <w:p w:rsidR="005A3276" w:rsidRDefault="005A3276">
                  <w:pPr>
                    <w:spacing w:line="0" w:lineRule="atLeast"/>
                    <w:rPr>
                      <w:sz w:val="2"/>
                      <w:szCs w:val="2"/>
                    </w:rPr>
                  </w:pPr>
                  <w:r>
                    <w:rPr>
                      <w:noProof/>
                      <w:sz w:val="2"/>
                      <w:szCs w:val="2"/>
                    </w:rPr>
                    <w:drawing>
                      <wp:inline distT="0" distB="0" distL="0" distR="0">
                        <wp:extent cx="4419600" cy="9525"/>
                        <wp:effectExtent l="0" t="0" r="0" b="0"/>
                        <wp:docPr id="1" name="Afbeelding 1" descr="https://ea.twimg.com/self_serve/media/spacer_464x1-15828295981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a.twimg.com/self_serve/media/spacer_464x1-158282959816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9600" cy="9525"/>
                                </a:xfrm>
                                <a:prstGeom prst="rect">
                                  <a:avLst/>
                                </a:prstGeom>
                                <a:noFill/>
                                <a:ln>
                                  <a:noFill/>
                                </a:ln>
                              </pic:spPr>
                            </pic:pic>
                          </a:graphicData>
                        </a:graphic>
                      </wp:inline>
                    </w:drawing>
                  </w:r>
                </w:p>
              </w:tc>
            </w:tr>
            <w:tr w:rsidR="005A3276">
              <w:trPr>
                <w:tblCellSpacing w:w="0" w:type="dxa"/>
              </w:trPr>
              <w:tc>
                <w:tcPr>
                  <w:tcW w:w="0" w:type="auto"/>
                  <w:gridSpan w:val="4"/>
                  <w:vAlign w:val="center"/>
                  <w:hideMark/>
                </w:tcPr>
                <w:p w:rsidR="005A3276" w:rsidRDefault="005A3276">
                  <w:pPr>
                    <w:spacing w:line="360" w:lineRule="atLeast"/>
                    <w:rPr>
                      <w:rFonts w:ascii="Helvetica" w:hAnsi="Helvetica" w:cs="Helvetica"/>
                      <w:color w:val="292C2F"/>
                      <w:sz w:val="27"/>
                      <w:szCs w:val="27"/>
                    </w:rPr>
                  </w:pPr>
                  <w:r>
                    <w:rPr>
                      <w:rFonts w:ascii="Helvetica" w:hAnsi="Helvetica" w:cs="Helvetica"/>
                      <w:color w:val="292C2F"/>
                      <w:sz w:val="27"/>
                      <w:szCs w:val="27"/>
                    </w:rPr>
                    <w:t xml:space="preserve">IC-baas </w:t>
                  </w:r>
                  <w:hyperlink w:history="1" r:id="rId11">
                    <w:r>
                      <w:rPr>
                        <w:rStyle w:val="Hyperlink"/>
                        <w:rFonts w:ascii="Tahoma" w:hAnsi="Tahoma" w:cs="Tahoma"/>
                        <w:sz w:val="27"/>
                        <w:szCs w:val="27"/>
                      </w:rPr>
                      <w:t>⁦</w:t>
                    </w:r>
                    <w:dir w:val="ltr">
                      <w:r>
                        <w:rPr>
                          <w:rStyle w:val="Hyperlink"/>
                          <w:rFonts w:ascii="Helvetica" w:hAnsi="Helvetica" w:cs="Helvetica"/>
                          <w:sz w:val="27"/>
                          <w:szCs w:val="27"/>
                        </w:rPr>
                        <w:t>@</w:t>
                      </w:r>
                      <w:proofErr w:type="spellStart"/>
                      <w:r>
                        <w:rPr>
                          <w:rStyle w:val="Hyperlink"/>
                          <w:rFonts w:ascii="Helvetica" w:hAnsi="Helvetica" w:cs="Helvetica"/>
                          <w:sz w:val="27"/>
                          <w:szCs w:val="27"/>
                        </w:rPr>
                        <w:t>Peter_vd_Voort</w:t>
                      </w:r>
                      <w:proofErr w:type="spellEnd"/>
                      <w:r>
                        <w:rPr>
                          <w:rStyle w:val="Hyperlink"/>
                          <w:rFonts w:ascii="Tahoma" w:hAnsi="Tahoma" w:cs="Tahoma"/>
                          <w:sz w:val="27"/>
                          <w:szCs w:val="27"/>
                        </w:rPr>
                        <w:t>⁩</w:t>
                      </w:r>
                    </w:dir>
                  </w:hyperlink>
                  <w:r>
                    <w:rPr>
                      <w:rFonts w:ascii="Helvetica" w:hAnsi="Helvetica" w:cs="Helvetica"/>
                      <w:color w:val="292C2F"/>
                      <w:sz w:val="27"/>
                      <w:szCs w:val="27"/>
                    </w:rPr>
                    <w:t xml:space="preserve"> van het UMC Groningen over de huidige coronasituatie in zijn ziekenhuis: "Feitelijk zou je kunnen zeggen dat we nu in de eerste fase van code zwart zitten." </w:t>
                  </w:r>
                  <w:hyperlink w:history="1" r:id="rId12">
                    <w:r>
                      <w:rPr>
                        <w:rStyle w:val="Hyperlink"/>
                        <w:rFonts w:ascii="Helvetica" w:hAnsi="Helvetica" w:cs="Helvetica"/>
                        <w:sz w:val="27"/>
                        <w:szCs w:val="27"/>
                      </w:rPr>
                      <w:t>#beau</w:t>
                    </w:r>
                  </w:hyperlink>
                  <w:r>
                    <w:rPr>
                      <w:rFonts w:ascii="Helvetica" w:hAnsi="Helvetica" w:cs="Helvetica"/>
                      <w:color w:val="292C2F"/>
                      <w:sz w:val="27"/>
                      <w:szCs w:val="27"/>
                    </w:rPr>
                    <w:t xml:space="preserve"> </w:t>
                  </w:r>
                  <w:hyperlink w:history="1" r:id="rId13">
                    <w:r>
                      <w:rPr>
                        <w:rStyle w:val="Hyperlink"/>
                        <w:rFonts w:ascii="Helvetica" w:hAnsi="Helvetica" w:cs="Helvetica"/>
                        <w:sz w:val="27"/>
                        <w:szCs w:val="27"/>
                      </w:rPr>
                      <w:t>pic.twitter.com/1gEDNASW5G</w:t>
                    </w:r>
                  </w:hyperlink>
                </w:p>
              </w:tc>
            </w:tr>
            <w:tr w:rsidR="005A3276">
              <w:trPr>
                <w:trHeight w:val="45"/>
                <w:tblCellSpacing w:w="0" w:type="dxa"/>
              </w:trPr>
              <w:tc>
                <w:tcPr>
                  <w:tcW w:w="0" w:type="auto"/>
                  <w:gridSpan w:val="4"/>
                  <w:vAlign w:val="center"/>
                  <w:hideMark/>
                </w:tcPr>
                <w:p w:rsidR="005A3276" w:rsidRDefault="005A3276">
                  <w:pPr>
                    <w:spacing w:line="0" w:lineRule="atLeast"/>
                    <w:rPr>
                      <w:sz w:val="2"/>
                      <w:szCs w:val="2"/>
                    </w:rPr>
                  </w:pPr>
                  <w:r>
                    <w:rPr>
                      <w:sz w:val="2"/>
                      <w:szCs w:val="2"/>
                    </w:rPr>
                    <w:t> </w:t>
                  </w:r>
                </w:p>
              </w:tc>
            </w:tr>
            <w:tr w:rsidR="005A3276">
              <w:trPr>
                <w:tblCellSpacing w:w="0" w:type="dxa"/>
              </w:trPr>
              <w:tc>
                <w:tcPr>
                  <w:tcW w:w="0" w:type="auto"/>
                  <w:gridSpan w:val="4"/>
                  <w:vAlign w:val="center"/>
                  <w:hideMark/>
                </w:tcPr>
                <w:p w:rsidR="005A3276" w:rsidRDefault="005A3276">
                  <w:hyperlink w:history="1" r:id="rId14">
                    <w:r>
                      <w:rPr>
                        <w:rStyle w:val="Hyperlink"/>
                        <w:rFonts w:ascii="Helvetica" w:hAnsi="Helvetica" w:cs="Helvetica"/>
                        <w:color w:val="667785"/>
                        <w:sz w:val="21"/>
                        <w:szCs w:val="21"/>
                        <w:u w:val="none"/>
                      </w:rPr>
                      <w:t>02-12-2021 23:18</w:t>
                    </w:r>
                  </w:hyperlink>
                </w:p>
              </w:tc>
            </w:tr>
          </w:tbl>
          <w:p w:rsidR="005A3276" w:rsidRDefault="005A3276">
            <w:pPr>
              <w:rPr>
                <w:rFonts w:eastAsia="Times New Roman"/>
                <w:sz w:val="20"/>
                <w:szCs w:val="20"/>
              </w:rPr>
            </w:pPr>
          </w:p>
        </w:tc>
        <w:tc>
          <w:tcPr>
            <w:tcW w:w="270" w:type="dxa"/>
            <w:tcBorders>
              <w:top w:val="nil"/>
              <w:left w:val="nil"/>
              <w:bottom w:val="nil"/>
              <w:right w:val="nil"/>
            </w:tcBorders>
            <w:shd w:val="clear" w:color="auto" w:fill="FFFFFF"/>
            <w:vAlign w:val="center"/>
            <w:hideMark/>
          </w:tcPr>
          <w:p w:rsidR="005A3276" w:rsidRDefault="005A3276">
            <w:pPr>
              <w:spacing w:line="0" w:lineRule="atLeast"/>
              <w:rPr>
                <w:sz w:val="2"/>
                <w:szCs w:val="2"/>
              </w:rPr>
            </w:pPr>
            <w:r>
              <w:rPr>
                <w:sz w:val="2"/>
                <w:szCs w:val="2"/>
              </w:rPr>
              <w:t> </w:t>
            </w:r>
          </w:p>
        </w:tc>
      </w:tr>
    </w:tbl>
    <w:p w:rsidR="0008421B" w:rsidRDefault="005A3276"/>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276"/>
    <w:rsid w:val="003554FE"/>
    <w:rsid w:val="005A3276"/>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BC51"/>
  <w15:chartTrackingRefBased/>
  <w15:docId w15:val="{C303AF72-6765-4AD6-AD86-047E38D1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A3276"/>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A32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68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beaurtl?s=11" TargetMode="External"/><Relationship Id="rId13" Type="http://schemas.openxmlformats.org/officeDocument/2006/relationships/hyperlink" Target="https://t.co/1gEDNASW5G" TargetMode="External"/><Relationship Id="rId3" Type="http://schemas.openxmlformats.org/officeDocument/2006/relationships/webSettings" Target="webSettings.xml"/><Relationship Id="rId7" Type="http://schemas.openxmlformats.org/officeDocument/2006/relationships/hyperlink" Target="https://twitter.com/beaurtl?s=11" TargetMode="External"/><Relationship Id="rId12" Type="http://schemas.openxmlformats.org/officeDocument/2006/relationships/hyperlink" Target="https://twitter.com/search?q=%23beau&amp;src=has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twitter.com/Peter_vd_Voort"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hyperlink" Target="https://twitter.com/beaurtl?s=11" TargetMode="External"/><Relationship Id="rId9" Type="http://schemas.openxmlformats.org/officeDocument/2006/relationships/image" Target="media/image3.png"/><Relationship Id="rId14" Type="http://schemas.openxmlformats.org/officeDocument/2006/relationships/hyperlink" Target="https://twitter.com/beaurtl/status/1466532239567687680?s=1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417</ap:Words>
  <ap:Characters>2298</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2021-12-04T10:34:00.0000000Z</dcterms:created>
  <dcterms:modified xsi:type="dcterms:W3CDTF">2021-12-04T10:39:00.0000000Z</dcterms:modified>
  <version/>
  <category/>
</coreProperties>
</file>