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036E5" w:rsidR="003036E5" w:rsidP="000D0DF5" w:rsidRDefault="003036E5">
            <w:pPr>
              <w:tabs>
                <w:tab w:val="left" w:pos="-1440"/>
                <w:tab w:val="left" w:pos="-720"/>
              </w:tabs>
              <w:suppressAutoHyphens/>
              <w:rPr>
                <w:rFonts w:ascii="Times New Roman" w:hAnsi="Times New Roman"/>
                <w:szCs w:val="20"/>
              </w:rPr>
            </w:pPr>
            <w:r w:rsidRPr="003036E5">
              <w:rPr>
                <w:rFonts w:ascii="Times New Roman" w:hAnsi="Times New Roman"/>
                <w:szCs w:val="20"/>
              </w:rPr>
              <w:t>De Tweede Kamer der Staten-</w:t>
            </w:r>
            <w:r w:rsidRPr="003036E5">
              <w:rPr>
                <w:rFonts w:ascii="Times New Roman" w:hAnsi="Times New Roman"/>
                <w:szCs w:val="20"/>
              </w:rPr>
              <w:fldChar w:fldCharType="begin"/>
            </w:r>
            <w:r w:rsidRPr="003036E5">
              <w:rPr>
                <w:rFonts w:ascii="Times New Roman" w:hAnsi="Times New Roman"/>
                <w:szCs w:val="20"/>
              </w:rPr>
              <w:instrText xml:space="preserve">PRIVATE </w:instrText>
            </w:r>
            <w:r w:rsidRPr="003036E5">
              <w:rPr>
                <w:rFonts w:ascii="Times New Roman" w:hAnsi="Times New Roman"/>
                <w:szCs w:val="20"/>
              </w:rPr>
              <w:fldChar w:fldCharType="end"/>
            </w:r>
          </w:p>
          <w:p w:rsidRPr="003036E5" w:rsidR="003036E5" w:rsidP="000D0DF5" w:rsidRDefault="003036E5">
            <w:pPr>
              <w:tabs>
                <w:tab w:val="left" w:pos="-1440"/>
                <w:tab w:val="left" w:pos="-720"/>
              </w:tabs>
              <w:suppressAutoHyphens/>
              <w:rPr>
                <w:rFonts w:ascii="Times New Roman" w:hAnsi="Times New Roman"/>
                <w:szCs w:val="20"/>
              </w:rPr>
            </w:pPr>
            <w:r w:rsidRPr="003036E5">
              <w:rPr>
                <w:rFonts w:ascii="Times New Roman" w:hAnsi="Times New Roman"/>
                <w:szCs w:val="20"/>
              </w:rPr>
              <w:t>Generaal zendt bijgaand door</w:t>
            </w:r>
          </w:p>
          <w:p w:rsidRPr="003036E5" w:rsidR="003036E5" w:rsidP="000D0DF5" w:rsidRDefault="003036E5">
            <w:pPr>
              <w:tabs>
                <w:tab w:val="left" w:pos="-1440"/>
                <w:tab w:val="left" w:pos="-720"/>
              </w:tabs>
              <w:suppressAutoHyphens/>
              <w:rPr>
                <w:rFonts w:ascii="Times New Roman" w:hAnsi="Times New Roman"/>
                <w:szCs w:val="20"/>
              </w:rPr>
            </w:pPr>
            <w:r w:rsidRPr="003036E5">
              <w:rPr>
                <w:rFonts w:ascii="Times New Roman" w:hAnsi="Times New Roman"/>
                <w:szCs w:val="20"/>
              </w:rPr>
              <w:t>haar aangenomen wetsvoorstel</w:t>
            </w:r>
          </w:p>
          <w:p w:rsidRPr="003036E5" w:rsidR="003036E5" w:rsidP="000D0DF5" w:rsidRDefault="003036E5">
            <w:pPr>
              <w:tabs>
                <w:tab w:val="left" w:pos="-1440"/>
                <w:tab w:val="left" w:pos="-720"/>
              </w:tabs>
              <w:suppressAutoHyphens/>
              <w:rPr>
                <w:rFonts w:ascii="Times New Roman" w:hAnsi="Times New Roman"/>
                <w:szCs w:val="20"/>
              </w:rPr>
            </w:pPr>
            <w:r w:rsidRPr="003036E5">
              <w:rPr>
                <w:rFonts w:ascii="Times New Roman" w:hAnsi="Times New Roman"/>
                <w:szCs w:val="20"/>
              </w:rPr>
              <w:t>aan de Eerste Kamer.</w:t>
            </w:r>
          </w:p>
          <w:p w:rsidRPr="003036E5" w:rsidR="003036E5" w:rsidP="000D0DF5" w:rsidRDefault="003036E5">
            <w:pPr>
              <w:tabs>
                <w:tab w:val="left" w:pos="-1440"/>
                <w:tab w:val="left" w:pos="-720"/>
              </w:tabs>
              <w:suppressAutoHyphens/>
              <w:rPr>
                <w:rFonts w:ascii="Times New Roman" w:hAnsi="Times New Roman"/>
                <w:szCs w:val="20"/>
              </w:rPr>
            </w:pPr>
          </w:p>
          <w:p w:rsidRPr="003036E5" w:rsidR="003036E5" w:rsidP="000D0DF5" w:rsidRDefault="003036E5">
            <w:pPr>
              <w:tabs>
                <w:tab w:val="left" w:pos="-1440"/>
                <w:tab w:val="left" w:pos="-720"/>
              </w:tabs>
              <w:suppressAutoHyphens/>
              <w:rPr>
                <w:rFonts w:ascii="Times New Roman" w:hAnsi="Times New Roman"/>
                <w:szCs w:val="20"/>
              </w:rPr>
            </w:pPr>
            <w:r w:rsidRPr="003036E5">
              <w:rPr>
                <w:rFonts w:ascii="Times New Roman" w:hAnsi="Times New Roman"/>
                <w:szCs w:val="20"/>
              </w:rPr>
              <w:t>De Voorzitter,</w:t>
            </w:r>
          </w:p>
          <w:p w:rsidRPr="003036E5" w:rsidR="003036E5" w:rsidP="000D0DF5" w:rsidRDefault="003036E5">
            <w:pPr>
              <w:tabs>
                <w:tab w:val="left" w:pos="-1440"/>
                <w:tab w:val="left" w:pos="-720"/>
              </w:tabs>
              <w:suppressAutoHyphens/>
              <w:rPr>
                <w:rFonts w:ascii="Times New Roman" w:hAnsi="Times New Roman"/>
                <w:szCs w:val="20"/>
              </w:rPr>
            </w:pPr>
          </w:p>
          <w:p w:rsidRPr="003036E5" w:rsidR="003036E5" w:rsidP="000D0DF5" w:rsidRDefault="003036E5">
            <w:pPr>
              <w:tabs>
                <w:tab w:val="left" w:pos="-1440"/>
                <w:tab w:val="left" w:pos="-720"/>
              </w:tabs>
              <w:suppressAutoHyphens/>
              <w:rPr>
                <w:rFonts w:ascii="Times New Roman" w:hAnsi="Times New Roman"/>
                <w:szCs w:val="20"/>
              </w:rPr>
            </w:pPr>
          </w:p>
          <w:p w:rsidRPr="003036E5" w:rsidR="003036E5" w:rsidP="000D0DF5" w:rsidRDefault="003036E5">
            <w:pPr>
              <w:tabs>
                <w:tab w:val="left" w:pos="-1440"/>
                <w:tab w:val="left" w:pos="-720"/>
              </w:tabs>
              <w:suppressAutoHyphens/>
              <w:rPr>
                <w:rFonts w:ascii="Times New Roman" w:hAnsi="Times New Roman"/>
                <w:szCs w:val="20"/>
              </w:rPr>
            </w:pPr>
          </w:p>
          <w:p w:rsidRPr="003036E5" w:rsidR="003036E5" w:rsidP="000D0DF5" w:rsidRDefault="003036E5">
            <w:pPr>
              <w:tabs>
                <w:tab w:val="left" w:pos="-1440"/>
                <w:tab w:val="left" w:pos="-720"/>
              </w:tabs>
              <w:suppressAutoHyphens/>
              <w:rPr>
                <w:rFonts w:ascii="Times New Roman" w:hAnsi="Times New Roman"/>
                <w:szCs w:val="20"/>
              </w:rPr>
            </w:pPr>
          </w:p>
          <w:p w:rsidRPr="003036E5" w:rsidR="003036E5" w:rsidP="000D0DF5" w:rsidRDefault="003036E5">
            <w:pPr>
              <w:tabs>
                <w:tab w:val="left" w:pos="-1440"/>
                <w:tab w:val="left" w:pos="-720"/>
              </w:tabs>
              <w:suppressAutoHyphens/>
              <w:rPr>
                <w:rFonts w:ascii="Times New Roman" w:hAnsi="Times New Roman"/>
                <w:szCs w:val="20"/>
              </w:rPr>
            </w:pPr>
          </w:p>
          <w:p w:rsidRPr="003036E5" w:rsidR="003036E5" w:rsidP="000D0DF5" w:rsidRDefault="003036E5">
            <w:pPr>
              <w:tabs>
                <w:tab w:val="left" w:pos="-1440"/>
                <w:tab w:val="left" w:pos="-720"/>
              </w:tabs>
              <w:suppressAutoHyphens/>
              <w:rPr>
                <w:rFonts w:ascii="Times New Roman" w:hAnsi="Times New Roman"/>
                <w:szCs w:val="20"/>
              </w:rPr>
            </w:pPr>
          </w:p>
          <w:p w:rsidRPr="003036E5" w:rsidR="003036E5" w:rsidP="000D0DF5" w:rsidRDefault="003036E5">
            <w:pPr>
              <w:tabs>
                <w:tab w:val="left" w:pos="-1440"/>
                <w:tab w:val="left" w:pos="-720"/>
              </w:tabs>
              <w:suppressAutoHyphens/>
              <w:rPr>
                <w:rFonts w:ascii="Times New Roman" w:hAnsi="Times New Roman"/>
                <w:szCs w:val="20"/>
              </w:rPr>
            </w:pPr>
          </w:p>
          <w:p w:rsidRPr="003036E5" w:rsidR="003036E5" w:rsidP="000D0DF5" w:rsidRDefault="003036E5">
            <w:pPr>
              <w:tabs>
                <w:tab w:val="left" w:pos="-1440"/>
                <w:tab w:val="left" w:pos="-720"/>
              </w:tabs>
              <w:suppressAutoHyphens/>
              <w:rPr>
                <w:rFonts w:ascii="Times New Roman" w:hAnsi="Times New Roman"/>
                <w:szCs w:val="20"/>
              </w:rPr>
            </w:pPr>
          </w:p>
          <w:p w:rsidRPr="003036E5" w:rsidR="003036E5" w:rsidP="000D0DF5" w:rsidRDefault="003036E5">
            <w:pPr>
              <w:rPr>
                <w:rFonts w:ascii="Times New Roman" w:hAnsi="Times New Roman"/>
                <w:szCs w:val="20"/>
              </w:rPr>
            </w:pPr>
          </w:p>
          <w:p w:rsidRPr="003036E5" w:rsidR="00CB3578" w:rsidP="003036E5" w:rsidRDefault="003036E5">
            <w:pPr>
              <w:pStyle w:val="Amendement"/>
              <w:rPr>
                <w:rFonts w:ascii="Times New Roman" w:hAnsi="Times New Roman" w:cs="Times New Roman"/>
                <w:b w:val="0"/>
              </w:rPr>
            </w:pPr>
            <w:r w:rsidRPr="003036E5">
              <w:rPr>
                <w:rFonts w:ascii="Times New Roman" w:hAnsi="Times New Roman" w:cs="Times New Roman"/>
                <w:b w:val="0"/>
                <w:sz w:val="20"/>
                <w:szCs w:val="20"/>
              </w:rPr>
              <w:t>2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036E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3036E5" w:rsidRDefault="003036E5">
            <w:pPr>
              <w:pStyle w:val="Amendement"/>
              <w:rPr>
                <w:rFonts w:ascii="Times New Roman" w:hAnsi="Times New Roman" w:cs="Times New Roman"/>
              </w:rPr>
            </w:pPr>
          </w:p>
        </w:tc>
        <w:tc>
          <w:tcPr>
            <w:tcW w:w="6590" w:type="dxa"/>
            <w:tcBorders>
              <w:top w:val="nil"/>
              <w:left w:val="nil"/>
              <w:bottom w:val="nil"/>
              <w:right w:val="nil"/>
            </w:tcBorders>
          </w:tcPr>
          <w:p w:rsidRPr="002168F4" w:rsidR="003036E5" w:rsidRDefault="003036E5">
            <w:pPr>
              <w:tabs>
                <w:tab w:val="left" w:pos="-1440"/>
                <w:tab w:val="left" w:pos="-720"/>
              </w:tabs>
              <w:suppressAutoHyphens/>
              <w:rPr>
                <w:rFonts w:ascii="Times New Roman" w:hAnsi="Times New Roman"/>
                <w:b/>
                <w:bCs/>
              </w:rPr>
            </w:pPr>
          </w:p>
        </w:tc>
      </w:tr>
      <w:tr w:rsidRPr="002168F4" w:rsidR="003036E5" w:rsidTr="000F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7CD4" w:rsidR="003036E5" w:rsidP="000F7CD4" w:rsidRDefault="003036E5">
            <w:pPr>
              <w:rPr>
                <w:rFonts w:ascii="Times New Roman" w:hAnsi="Times New Roman"/>
                <w:b/>
                <w:sz w:val="24"/>
              </w:rPr>
            </w:pPr>
            <w:r w:rsidRPr="000F7CD4">
              <w:rPr>
                <w:rFonts w:ascii="Times New Roman" w:hAnsi="Times New Roman"/>
                <w:b/>
                <w:sz w:val="24"/>
              </w:rPr>
              <w:t>Wijziging van de Kernenergiewet (verruiming inspraak)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036E5" w:rsidTr="0091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036E5" w:rsidRDefault="003036E5">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0F7CD4" w:rsidP="000F7CD4" w:rsidRDefault="000F7CD4">
      <w:pPr>
        <w:ind w:firstLine="284"/>
        <w:rPr>
          <w:rFonts w:ascii="Times New Roman" w:hAnsi="Times New Roman"/>
          <w:sz w:val="24"/>
          <w:lang w:val="nl"/>
        </w:rPr>
      </w:pPr>
      <w:r w:rsidRPr="0083063A">
        <w:rPr>
          <w:rFonts w:ascii="Times New Roman" w:hAnsi="Times New Roman"/>
          <w:sz w:val="24"/>
          <w:szCs w:val="18"/>
          <w:lang w:val="nl"/>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Allen, die deze zullen zien of horen lezen, saluut! doen te weten:</w:t>
      </w:r>
      <w:r w:rsidRPr="000F7CD4">
        <w:rPr>
          <w:rFonts w:ascii="Times New Roman" w:hAnsi="Times New Roman"/>
          <w:sz w:val="24"/>
        </w:rPr>
        <w:br/>
      </w:r>
      <w:r>
        <w:rPr>
          <w:rFonts w:ascii="Times New Roman" w:hAnsi="Times New Roman"/>
          <w:sz w:val="24"/>
        </w:rPr>
        <w:tab/>
      </w:r>
      <w:r w:rsidRPr="000F7CD4">
        <w:rPr>
          <w:rFonts w:ascii="Times New Roman" w:hAnsi="Times New Roman"/>
          <w:sz w:val="24"/>
        </w:rPr>
        <w:t>Alzo Wij in overweging genomen hebben dat het wenselijk is om voor een wijziging van een vergunning op grond van artikel 15, onder b of c, van de Kernenergiewet betreffende een wijziging van de duur van nucleaire activiteiten, de inspraak te verruimen;</w:t>
      </w: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F7CD4" w:rsidR="000F7CD4" w:rsidP="000F7CD4" w:rsidRDefault="000F7CD4">
      <w:pPr>
        <w:rPr>
          <w:rFonts w:ascii="Times New Roman" w:hAnsi="Times New Roman"/>
          <w:sz w:val="24"/>
        </w:rPr>
      </w:pPr>
    </w:p>
    <w:p w:rsidR="000F7CD4" w:rsidP="000F7CD4" w:rsidRDefault="000F7CD4">
      <w:pPr>
        <w:rPr>
          <w:rFonts w:ascii="Times New Roman" w:hAnsi="Times New Roman"/>
          <w:b/>
          <w:sz w:val="24"/>
        </w:rPr>
      </w:pPr>
    </w:p>
    <w:p w:rsidRPr="000F7CD4" w:rsidR="000F7CD4" w:rsidP="000F7CD4" w:rsidRDefault="000F7CD4">
      <w:pPr>
        <w:rPr>
          <w:rFonts w:ascii="Times New Roman" w:hAnsi="Times New Roman"/>
          <w:b/>
          <w:sz w:val="24"/>
        </w:rPr>
      </w:pPr>
      <w:r w:rsidRPr="000F7CD4">
        <w:rPr>
          <w:rFonts w:ascii="Times New Roman" w:hAnsi="Times New Roman"/>
          <w:b/>
          <w:sz w:val="24"/>
        </w:rPr>
        <w:t>ARTIKEL I</w:t>
      </w: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Artikel 17 van de Kernenergiewet wordt als volgt gewijzigd:</w:t>
      </w: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1. In de slotzin van het tweede lid wordt “van de Dienstenwetparagraaf” vervangen door “van de Dienstenwet, paragraaf”.</w:t>
      </w: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2. Het vierde lid komt te luiden:</w:t>
      </w: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 xml:space="preserve">4. In afwijking van het eerste lid zijn de in dat lid genoemde onderdelen van de Algemene wet bestuursrecht, van de Wet algemene bepalingen omgevingsrecht en van de Wet milieubeheer niet van toepassing op de voorbereiding van beschikkingen op de aanvraag om een wijziging van een vergunning krachtens artikel 15, onder b of c: </w:t>
      </w:r>
    </w:p>
    <w:p w:rsidRPr="000F7CD4" w:rsidR="000F7CD4" w:rsidP="000F7CD4" w:rsidRDefault="000F7CD4">
      <w:pPr>
        <w:rPr>
          <w:rFonts w:ascii="Times New Roman" w:hAnsi="Times New Roman"/>
          <w:sz w:val="24"/>
        </w:rPr>
      </w:pPr>
      <w:r>
        <w:rPr>
          <w:rFonts w:ascii="Times New Roman" w:hAnsi="Times New Roman"/>
          <w:sz w:val="24"/>
        </w:rPr>
        <w:tab/>
        <w:t xml:space="preserve">a. </w:t>
      </w:r>
      <w:r w:rsidRPr="000F7CD4">
        <w:rPr>
          <w:rFonts w:ascii="Times New Roman" w:hAnsi="Times New Roman"/>
          <w:sz w:val="24"/>
        </w:rPr>
        <w:t xml:space="preserve">die niet leidt tot andere of grotere nadelige gevolgen voor het milieu dan volgens de geldende vergunning is toegestaan; </w:t>
      </w:r>
    </w:p>
    <w:p w:rsidRPr="000F7CD4" w:rsidR="000F7CD4" w:rsidP="000F7CD4" w:rsidRDefault="000F7CD4">
      <w:pPr>
        <w:rPr>
          <w:rFonts w:ascii="Times New Roman" w:hAnsi="Times New Roman"/>
          <w:sz w:val="24"/>
        </w:rPr>
      </w:pPr>
      <w:r>
        <w:rPr>
          <w:rFonts w:ascii="Times New Roman" w:hAnsi="Times New Roman"/>
          <w:sz w:val="24"/>
        </w:rPr>
        <w:tab/>
        <w:t xml:space="preserve">b. </w:t>
      </w:r>
      <w:r w:rsidRPr="000F7CD4">
        <w:rPr>
          <w:rFonts w:ascii="Times New Roman" w:hAnsi="Times New Roman"/>
          <w:sz w:val="24"/>
        </w:rPr>
        <w:t xml:space="preserve">waarvoor geen verplichting bestaat tot het maken van een milieueffectrapport als bedoeld in hoofdstuk 7 van de Wet milieubeheer; </w:t>
      </w:r>
    </w:p>
    <w:p w:rsidRPr="000F7CD4" w:rsidR="000F7CD4" w:rsidP="000F7CD4" w:rsidRDefault="000F7CD4">
      <w:pPr>
        <w:rPr>
          <w:rFonts w:ascii="Times New Roman" w:hAnsi="Times New Roman"/>
          <w:sz w:val="24"/>
        </w:rPr>
      </w:pPr>
      <w:r>
        <w:rPr>
          <w:rFonts w:ascii="Times New Roman" w:hAnsi="Times New Roman"/>
          <w:sz w:val="24"/>
        </w:rPr>
        <w:tab/>
        <w:t xml:space="preserve">c. </w:t>
      </w:r>
      <w:r w:rsidRPr="000F7CD4">
        <w:rPr>
          <w:rFonts w:ascii="Times New Roman" w:hAnsi="Times New Roman"/>
          <w:sz w:val="24"/>
        </w:rPr>
        <w:t>die niet leidt tot een wijziging van de ontwerpbedrijfsduur van de inrichting; en</w:t>
      </w:r>
    </w:p>
    <w:p w:rsidRPr="000F7CD4" w:rsidR="000F7CD4" w:rsidP="000F7CD4" w:rsidRDefault="000F7CD4">
      <w:pPr>
        <w:rPr>
          <w:rFonts w:ascii="Times New Roman" w:hAnsi="Times New Roman"/>
          <w:sz w:val="24"/>
        </w:rPr>
      </w:pPr>
      <w:r>
        <w:rPr>
          <w:rFonts w:ascii="Times New Roman" w:hAnsi="Times New Roman"/>
          <w:sz w:val="24"/>
        </w:rPr>
        <w:lastRenderedPageBreak/>
        <w:tab/>
        <w:t xml:space="preserve">d. </w:t>
      </w:r>
      <w:r w:rsidRPr="000F7CD4">
        <w:rPr>
          <w:rFonts w:ascii="Times New Roman" w:hAnsi="Times New Roman"/>
          <w:sz w:val="24"/>
        </w:rPr>
        <w:t>die niet leidt tot een andere inrichting dan waarvoor eerder een vergunning is verleend.</w:t>
      </w:r>
    </w:p>
    <w:p w:rsidRPr="000F7CD4" w:rsidR="000F7CD4" w:rsidP="000F7CD4" w:rsidRDefault="000F7CD4">
      <w:pPr>
        <w:rPr>
          <w:rFonts w:ascii="Times New Roman" w:hAnsi="Times New Roman"/>
          <w:sz w:val="24"/>
        </w:rPr>
      </w:pPr>
    </w:p>
    <w:p w:rsidR="000F7CD4" w:rsidP="000F7CD4" w:rsidRDefault="000F7CD4">
      <w:pPr>
        <w:rPr>
          <w:rFonts w:ascii="Times New Roman" w:hAnsi="Times New Roman"/>
          <w:b/>
          <w:sz w:val="24"/>
        </w:rPr>
      </w:pPr>
    </w:p>
    <w:p w:rsidRPr="000F7CD4" w:rsidR="000F7CD4" w:rsidP="000F7CD4" w:rsidRDefault="000F7CD4">
      <w:pPr>
        <w:rPr>
          <w:rFonts w:ascii="Times New Roman" w:hAnsi="Times New Roman"/>
          <w:b/>
          <w:sz w:val="24"/>
        </w:rPr>
      </w:pPr>
      <w:r w:rsidRPr="000F7CD4">
        <w:rPr>
          <w:rFonts w:ascii="Times New Roman" w:hAnsi="Times New Roman"/>
          <w:b/>
          <w:sz w:val="24"/>
        </w:rPr>
        <w:t>ARTIKEL II</w:t>
      </w:r>
    </w:p>
    <w:p w:rsidRPr="000F7CD4" w:rsidR="000F7CD4" w:rsidP="000F7CD4" w:rsidRDefault="000F7CD4">
      <w:pPr>
        <w:rPr>
          <w:rFonts w:ascii="Times New Roman" w:hAnsi="Times New Roman"/>
          <w:b/>
          <w:sz w:val="24"/>
        </w:rPr>
      </w:pP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Indien artikel 2.13, onderdeel C, van de Invoeringswet Omgevingswet eerder in werking is getreden of treedt dan artikel I van deze wet, komt artikel I, onderdeel 2, van deze wet, te luiden:</w:t>
      </w: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2. Het vierde lid komt te luiden:</w:t>
      </w: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 xml:space="preserve">4. In afwijking van het eerste lid zijn de in dat lid genoemde onderdelen van de Algemene wet bestuursrecht, van de Omgevingswet en van de Wet milieubeheer niet van toepassing op de voorbereiding van beschikkingen op de aanvraag om een wijziging van een vergunning krachtens artikel 15, onder b of c: </w:t>
      </w: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 xml:space="preserve">a. die niet leidt tot andere of grotere nadelige gevolgen voor het milieu dan volgens de geldende vergunning is toegestaan; </w:t>
      </w:r>
    </w:p>
    <w:p w:rsidRPr="000F7CD4" w:rsidR="000F7CD4" w:rsidP="000F7CD4" w:rsidRDefault="000F7CD4">
      <w:pPr>
        <w:rPr>
          <w:rFonts w:ascii="Times New Roman" w:hAnsi="Times New Roman"/>
          <w:sz w:val="24"/>
        </w:rPr>
      </w:pPr>
      <w:r>
        <w:rPr>
          <w:rFonts w:ascii="Times New Roman" w:hAnsi="Times New Roman"/>
          <w:sz w:val="24"/>
        </w:rPr>
        <w:tab/>
        <w:t xml:space="preserve">b. </w:t>
      </w:r>
      <w:r w:rsidRPr="000F7CD4">
        <w:rPr>
          <w:rFonts w:ascii="Times New Roman" w:hAnsi="Times New Roman"/>
          <w:sz w:val="24"/>
        </w:rPr>
        <w:t>waarvoor geen verplichting bestaat tot het maken van een milieueffectrapport als bedoeld in afdeling 16.4 van de Omgevingswet;</w:t>
      </w:r>
    </w:p>
    <w:p w:rsidRPr="000F7CD4" w:rsidR="000F7CD4" w:rsidP="000F7CD4" w:rsidRDefault="000F7CD4">
      <w:pPr>
        <w:rPr>
          <w:rFonts w:ascii="Times New Roman" w:hAnsi="Times New Roman"/>
          <w:sz w:val="24"/>
        </w:rPr>
      </w:pPr>
      <w:r>
        <w:rPr>
          <w:rFonts w:ascii="Times New Roman" w:hAnsi="Times New Roman"/>
          <w:sz w:val="24"/>
        </w:rPr>
        <w:tab/>
        <w:t xml:space="preserve">c. </w:t>
      </w:r>
      <w:r w:rsidRPr="000F7CD4">
        <w:rPr>
          <w:rFonts w:ascii="Times New Roman" w:hAnsi="Times New Roman"/>
          <w:sz w:val="24"/>
        </w:rPr>
        <w:t>die niet leidt tot een wijziging van de ontwerpbedrijfsduur van de inrichting; en</w:t>
      </w:r>
    </w:p>
    <w:p w:rsidRPr="000F7CD4" w:rsidR="000F7CD4" w:rsidP="000F7CD4" w:rsidRDefault="000F7CD4">
      <w:pPr>
        <w:rPr>
          <w:rFonts w:ascii="Times New Roman" w:hAnsi="Times New Roman"/>
          <w:sz w:val="24"/>
        </w:rPr>
      </w:pPr>
      <w:r>
        <w:rPr>
          <w:rFonts w:ascii="Times New Roman" w:hAnsi="Times New Roman"/>
          <w:sz w:val="24"/>
        </w:rPr>
        <w:tab/>
        <w:t xml:space="preserve">d. </w:t>
      </w:r>
      <w:r w:rsidRPr="000F7CD4">
        <w:rPr>
          <w:rFonts w:ascii="Times New Roman" w:hAnsi="Times New Roman"/>
          <w:sz w:val="24"/>
        </w:rPr>
        <w:t>die niet leidt tot een andere inrichting dan waarvoor eerder een vergunning is verleend.</w:t>
      </w:r>
    </w:p>
    <w:p w:rsidRPr="000F7CD4" w:rsidR="000F7CD4" w:rsidP="000F7CD4" w:rsidRDefault="000F7CD4">
      <w:pPr>
        <w:rPr>
          <w:rFonts w:ascii="Times New Roman" w:hAnsi="Times New Roman"/>
          <w:sz w:val="24"/>
        </w:rPr>
      </w:pPr>
    </w:p>
    <w:p w:rsidR="000F7CD4" w:rsidP="000F7CD4" w:rsidRDefault="000F7CD4">
      <w:pPr>
        <w:rPr>
          <w:rFonts w:ascii="Times New Roman" w:hAnsi="Times New Roman"/>
          <w:b/>
          <w:sz w:val="24"/>
        </w:rPr>
      </w:pPr>
    </w:p>
    <w:p w:rsidRPr="000F7CD4" w:rsidR="000F7CD4" w:rsidP="000F7CD4" w:rsidRDefault="000F7CD4">
      <w:pPr>
        <w:rPr>
          <w:rFonts w:ascii="Times New Roman" w:hAnsi="Times New Roman"/>
          <w:b/>
          <w:sz w:val="24"/>
        </w:rPr>
      </w:pPr>
      <w:r w:rsidRPr="000F7CD4">
        <w:rPr>
          <w:rFonts w:ascii="Times New Roman" w:hAnsi="Times New Roman"/>
          <w:b/>
          <w:sz w:val="24"/>
        </w:rPr>
        <w:t>ARTIKEL III</w:t>
      </w:r>
    </w:p>
    <w:p w:rsidRPr="000F7CD4" w:rsidR="000F7CD4" w:rsidP="000F7CD4" w:rsidRDefault="000F7CD4">
      <w:pPr>
        <w:rPr>
          <w:rFonts w:ascii="Times New Roman" w:hAnsi="Times New Roman"/>
          <w:b/>
          <w:sz w:val="24"/>
        </w:rPr>
      </w:pPr>
    </w:p>
    <w:p w:rsidRPr="000F7CD4" w:rsidR="000F7CD4" w:rsidP="000F7CD4" w:rsidRDefault="000F7CD4">
      <w:pPr>
        <w:rPr>
          <w:rFonts w:ascii="Times New Roman" w:hAnsi="Times New Roman"/>
          <w:sz w:val="24"/>
        </w:rPr>
      </w:pPr>
      <w:r>
        <w:rPr>
          <w:rFonts w:ascii="Times New Roman" w:hAnsi="Times New Roman"/>
          <w:sz w:val="24"/>
        </w:rPr>
        <w:tab/>
      </w:r>
      <w:r w:rsidRPr="000F7CD4">
        <w:rPr>
          <w:rFonts w:ascii="Times New Roman" w:hAnsi="Times New Roman"/>
          <w:sz w:val="24"/>
        </w:rPr>
        <w:t xml:space="preserve">Deze wet treedt in werking op een bij koninklijk besluit te bepalen tijdstip. </w:t>
      </w:r>
    </w:p>
    <w:p w:rsidRPr="000F7CD4" w:rsidR="000F7CD4" w:rsidP="000F7CD4" w:rsidRDefault="000F7CD4">
      <w:pPr>
        <w:rPr>
          <w:rFonts w:ascii="Times New Roman" w:hAnsi="Times New Roman"/>
          <w:sz w:val="24"/>
        </w:rPr>
      </w:pPr>
    </w:p>
    <w:p w:rsidR="000F7CD4" w:rsidP="000F7CD4" w:rsidRDefault="000F7CD4">
      <w:pPr>
        <w:rPr>
          <w:rFonts w:ascii="Times New Roman" w:hAnsi="Times New Roman"/>
          <w:sz w:val="24"/>
        </w:rPr>
      </w:pPr>
    </w:p>
    <w:p w:rsidR="003036E5" w:rsidP="000F7CD4" w:rsidRDefault="000F7CD4">
      <w:pPr>
        <w:rPr>
          <w:rFonts w:ascii="Times New Roman" w:hAnsi="Times New Roman"/>
          <w:sz w:val="24"/>
        </w:rPr>
      </w:pPr>
      <w:r>
        <w:rPr>
          <w:rFonts w:ascii="Times New Roman" w:hAnsi="Times New Roman"/>
          <w:sz w:val="24"/>
        </w:rPr>
        <w:tab/>
      </w:r>
    </w:p>
    <w:p w:rsidR="003036E5" w:rsidRDefault="003036E5">
      <w:pPr>
        <w:rPr>
          <w:rFonts w:ascii="Times New Roman" w:hAnsi="Times New Roman"/>
          <w:sz w:val="24"/>
        </w:rPr>
      </w:pPr>
      <w:r>
        <w:rPr>
          <w:rFonts w:ascii="Times New Roman" w:hAnsi="Times New Roman"/>
          <w:sz w:val="24"/>
        </w:rPr>
        <w:br w:type="page"/>
      </w:r>
    </w:p>
    <w:p w:rsidRPr="000F7CD4" w:rsidR="000F7CD4" w:rsidP="000F7CD4" w:rsidRDefault="000F7CD4">
      <w:pPr>
        <w:rPr>
          <w:rFonts w:ascii="Times New Roman" w:hAnsi="Times New Roman"/>
          <w:sz w:val="24"/>
        </w:rPr>
      </w:pPr>
      <w:r w:rsidRPr="000F7CD4">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r w:rsidRPr="000F7CD4">
        <w:rPr>
          <w:rFonts w:ascii="Times New Roman" w:hAnsi="Times New Roman"/>
          <w:sz w:val="24"/>
        </w:rPr>
        <w:t>Gegeven</w:t>
      </w: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p>
    <w:p w:rsidRPr="000F7CD4" w:rsidR="000F7CD4" w:rsidP="000F7CD4" w:rsidRDefault="000F7CD4">
      <w:pPr>
        <w:rPr>
          <w:rFonts w:ascii="Times New Roman" w:hAnsi="Times New Roman"/>
          <w:sz w:val="24"/>
        </w:rPr>
      </w:pPr>
    </w:p>
    <w:p w:rsidR="000F7CD4" w:rsidP="000F7CD4" w:rsidRDefault="000F7CD4">
      <w:pPr>
        <w:rPr>
          <w:rFonts w:ascii="Times New Roman" w:hAnsi="Times New Roman"/>
          <w:sz w:val="24"/>
        </w:rPr>
      </w:pPr>
      <w:r>
        <w:rPr>
          <w:rFonts w:ascii="Times New Roman" w:hAnsi="Times New Roman"/>
          <w:sz w:val="24"/>
        </w:rPr>
        <w:t>De Staatssecretaris van Infrastructuur en W</w:t>
      </w:r>
      <w:r w:rsidRPr="000F7CD4">
        <w:rPr>
          <w:rFonts w:ascii="Times New Roman" w:hAnsi="Times New Roman"/>
          <w:sz w:val="24"/>
        </w:rPr>
        <w:t>aterstaat,</w:t>
      </w:r>
      <w:bookmarkStart w:name="_GoBack" w:id="0"/>
      <w:bookmarkEnd w:id="0"/>
    </w:p>
    <w:sectPr w:rsidR="000F7CD4" w:rsidSect="003036E5">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CD4" w:rsidRDefault="000F7CD4">
      <w:pPr>
        <w:spacing w:line="20" w:lineRule="exact"/>
      </w:pPr>
    </w:p>
  </w:endnote>
  <w:endnote w:type="continuationSeparator" w:id="0">
    <w:p w:rsidR="000F7CD4" w:rsidRDefault="000F7CD4">
      <w:pPr>
        <w:pStyle w:val="Amendement"/>
      </w:pPr>
      <w:r>
        <w:rPr>
          <w:b w:val="0"/>
          <w:bCs w:val="0"/>
        </w:rPr>
        <w:t xml:space="preserve"> </w:t>
      </w:r>
    </w:p>
  </w:endnote>
  <w:endnote w:type="continuationNotice" w:id="1">
    <w:p w:rsidR="000F7CD4" w:rsidRDefault="000F7CD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036E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CD4" w:rsidRDefault="000F7CD4">
      <w:pPr>
        <w:pStyle w:val="Amendement"/>
      </w:pPr>
      <w:r>
        <w:rPr>
          <w:b w:val="0"/>
          <w:bCs w:val="0"/>
        </w:rPr>
        <w:separator/>
      </w:r>
    </w:p>
  </w:footnote>
  <w:footnote w:type="continuationSeparator" w:id="0">
    <w:p w:rsidR="000F7CD4" w:rsidRDefault="000F7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D4"/>
    <w:rsid w:val="00012DBE"/>
    <w:rsid w:val="000A1D81"/>
    <w:rsid w:val="000F7CD4"/>
    <w:rsid w:val="00111ED3"/>
    <w:rsid w:val="001C190E"/>
    <w:rsid w:val="002168F4"/>
    <w:rsid w:val="002A727C"/>
    <w:rsid w:val="003036E5"/>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D092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E0763"/>
  <w15:docId w15:val="{AF0546E6-6A8D-4ACD-98AE-73AF4CD6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0F7CD4"/>
    <w:pPr>
      <w:autoSpaceDN w:val="0"/>
      <w:spacing w:line="276" w:lineRule="exact"/>
      <w:textAlignment w:val="baseline"/>
    </w:pPr>
    <w:rPr>
      <w:rFonts w:eastAsia="DejaVu Sans" w:cs="Lohit Hindi"/>
      <w:color w:val="000000"/>
      <w:sz w:val="18"/>
      <w:szCs w:val="18"/>
    </w:rPr>
  </w:style>
  <w:style w:type="paragraph" w:customStyle="1" w:styleId="avmp">
    <w:name w:val="avmp"/>
    <w:rsid w:val="003036E5"/>
  </w:style>
  <w:style w:type="paragraph" w:styleId="Ballontekst">
    <w:name w:val="Balloon Text"/>
    <w:basedOn w:val="Standaard"/>
    <w:link w:val="BallontekstChar"/>
    <w:semiHidden/>
    <w:unhideWhenUsed/>
    <w:rsid w:val="003036E5"/>
    <w:rPr>
      <w:rFonts w:ascii="Segoe UI" w:hAnsi="Segoe UI" w:cs="Segoe UI"/>
      <w:sz w:val="18"/>
      <w:szCs w:val="18"/>
    </w:rPr>
  </w:style>
  <w:style w:type="character" w:customStyle="1" w:styleId="BallontekstChar">
    <w:name w:val="Ballontekst Char"/>
    <w:basedOn w:val="Standaardalinea-lettertype"/>
    <w:link w:val="Ballontekst"/>
    <w:semiHidden/>
    <w:rsid w:val="00303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501</ap:Words>
  <ap:Characters>2723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2021-12-02T10:00:00.0000000Z</lastPrinted>
  <dcterms:created xsi:type="dcterms:W3CDTF">2021-12-02T10:01:00.0000000Z</dcterms:created>
  <dcterms:modified xsi:type="dcterms:W3CDTF">2021-12-02T10:01:00.0000000Z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