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348" w:rsidP="00E77348" w:rsidRDefault="00E77348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Neijenhuis, S.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dinsdag 30 november 2021 13:31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VWS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</w:t>
      </w:r>
      <w:proofErr w:type="spellStart"/>
      <w:r>
        <w:rPr>
          <w:rFonts w:eastAsia="Times New Roman"/>
          <w:lang w:eastAsia="nl-NL"/>
        </w:rPr>
        <w:t>Sahla</w:t>
      </w:r>
      <w:proofErr w:type="spellEnd"/>
      <w:r>
        <w:rPr>
          <w:rFonts w:eastAsia="Times New Roman"/>
          <w:lang w:eastAsia="nl-NL"/>
        </w:rPr>
        <w:t xml:space="preserve">, F. </w:t>
      </w:r>
      <w:bookmarkStart w:name="_GoBack" w:id="0"/>
      <w:bookmarkEnd w:id="0"/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Commissie </w:t>
      </w:r>
      <w:proofErr w:type="spellStart"/>
      <w:r>
        <w:rPr>
          <w:rFonts w:eastAsia="Times New Roman"/>
          <w:lang w:eastAsia="nl-NL"/>
        </w:rPr>
        <w:t>RvW</w:t>
      </w:r>
      <w:proofErr w:type="spellEnd"/>
    </w:p>
    <w:p w:rsidR="00E77348" w:rsidP="00E77348" w:rsidRDefault="00E77348"/>
    <w:p w:rsidR="00E77348" w:rsidP="00E77348" w:rsidRDefault="00E77348">
      <w:r>
        <w:t>Beste griffie,</w:t>
      </w:r>
    </w:p>
    <w:p w:rsidR="00E77348" w:rsidP="00E77348" w:rsidRDefault="00E77348"/>
    <w:p w:rsidR="00E77348" w:rsidP="00E77348" w:rsidRDefault="00E77348">
      <w:r>
        <w:t xml:space="preserve">Graag zou ik namens het lid </w:t>
      </w:r>
      <w:proofErr w:type="spellStart"/>
      <w:r>
        <w:t>Sahla</w:t>
      </w:r>
      <w:proofErr w:type="spellEnd"/>
      <w:r>
        <w:t xml:space="preserve"> (D66) het volgende verzoek aanmelden voor de commissie-</w:t>
      </w:r>
      <w:proofErr w:type="spellStart"/>
      <w:r>
        <w:t>RvW</w:t>
      </w:r>
      <w:proofErr w:type="spellEnd"/>
      <w:r>
        <w:t xml:space="preserve"> van de procedurevergadering van aanstaande donderdag:</w:t>
      </w:r>
    </w:p>
    <w:p w:rsidR="00E77348" w:rsidP="00E77348" w:rsidRDefault="00E77348"/>
    <w:p w:rsidR="00E77348" w:rsidP="00E77348" w:rsidRDefault="00E77348">
      <w:pPr>
        <w:pStyle w:val="Lijstalinea"/>
        <w:numPr>
          <w:ilvl w:val="0"/>
          <w:numId w:val="1"/>
        </w:numPr>
      </w:pPr>
      <w:r>
        <w:t xml:space="preserve">Het lid </w:t>
      </w:r>
      <w:proofErr w:type="spellStart"/>
      <w:r>
        <w:t>Sahla</w:t>
      </w:r>
      <w:proofErr w:type="spellEnd"/>
      <w:r>
        <w:t xml:space="preserve"> (D66) verzoekt om een uitgebreide juridische analyse naar de Kamer te sturen over het besluit om de </w:t>
      </w:r>
      <w:proofErr w:type="spellStart"/>
      <w:r>
        <w:t>Wlz</w:t>
      </w:r>
      <w:proofErr w:type="spellEnd"/>
      <w:r>
        <w:t xml:space="preserve"> niet open te stellen voor jongeren met een psychische stoornis onder het amendement-Bergkamp c.s., alsmede een vergelijking van de juridische uitvoerbaarheid van het begrip “</w:t>
      </w:r>
      <w:proofErr w:type="spellStart"/>
      <w:r>
        <w:t>blijvendheid</w:t>
      </w:r>
      <w:proofErr w:type="spellEnd"/>
      <w:r>
        <w:t>” met andere wettelijke bepalingen</w:t>
      </w:r>
    </w:p>
    <w:p w:rsidR="00E77348" w:rsidP="00E77348" w:rsidRDefault="00E77348"/>
    <w:p w:rsidR="00E77348" w:rsidP="00E77348" w:rsidRDefault="00E77348">
      <w:r>
        <w:t>Met vriendelijke groet,</w:t>
      </w:r>
    </w:p>
    <w:p w:rsidR="00E77348" w:rsidP="00E77348" w:rsidRDefault="00E77348"/>
    <w:p w:rsidR="00E77348" w:rsidP="00E77348" w:rsidRDefault="00E77348">
      <w:r>
        <w:t>Stephan Neijenhuis</w:t>
      </w:r>
    </w:p>
    <w:p w:rsidR="00E77348" w:rsidP="00E77348" w:rsidRDefault="00E77348"/>
    <w:p w:rsidR="00E77348" w:rsidP="00E77348" w:rsidRDefault="00E77348">
      <w:pPr>
        <w:rPr>
          <w:rFonts w:ascii="Verdana" w:hAnsi="Verdana"/>
          <w:color w:val="808080"/>
          <w:sz w:val="20"/>
          <w:szCs w:val="20"/>
          <w:lang w:eastAsia="nl-NL"/>
        </w:rPr>
      </w:pPr>
      <w:r>
        <w:rPr>
          <w:rFonts w:ascii="Verdana" w:hAnsi="Verdana"/>
          <w:color w:val="808080"/>
          <w:sz w:val="20"/>
          <w:szCs w:val="20"/>
          <w:lang w:eastAsia="nl-NL"/>
        </w:rPr>
        <w:t>Beleidsmedewerker Tweede Kamerfractie D66</w:t>
      </w:r>
    </w:p>
    <w:p w:rsidR="00E77348" w:rsidP="00E77348" w:rsidRDefault="00E77348">
      <w:pPr>
        <w:rPr>
          <w:rFonts w:ascii="Verdana" w:hAnsi="Verdana"/>
          <w:color w:val="808080"/>
          <w:sz w:val="20"/>
          <w:szCs w:val="20"/>
          <w:lang w:eastAsia="nl-NL"/>
        </w:rPr>
      </w:pPr>
      <w:r>
        <w:rPr>
          <w:rFonts w:ascii="Verdana" w:hAnsi="Verdana"/>
          <w:color w:val="808080"/>
          <w:sz w:val="20"/>
          <w:szCs w:val="20"/>
          <w:lang w:eastAsia="nl-NL"/>
        </w:rPr>
        <w:t xml:space="preserve">Financiën | Jeugd </w:t>
      </w:r>
    </w:p>
    <w:p w:rsidR="0008421B" w:rsidRDefault="00E77348"/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6511C"/>
    <w:multiLevelType w:val="hybridMultilevel"/>
    <w:tmpl w:val="A176A21E"/>
    <w:lvl w:ilvl="0" w:tplc="65526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48"/>
    <w:rsid w:val="003554FE"/>
    <w:rsid w:val="00974CAD"/>
    <w:rsid w:val="00E7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3DD92"/>
  <w15:chartTrackingRefBased/>
  <w15:docId w15:val="{09C5D3A8-E326-44F9-A7B9-FA003F73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77348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7734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1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2021-11-30T13:02:00.0000000Z</dcterms:created>
  <dcterms:modified xsi:type="dcterms:W3CDTF">2021-11-30T13:02:00.0000000Z</dcterms:modified>
  <version/>
  <category/>
</coreProperties>
</file>