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15FF8" w:rsidR="00C8239D" w:rsidP="00234AFB" w:rsidRDefault="00EF4A27" w14:paraId="7EDD42D3" w14:textId="77777777">
      <w:pPr>
        <w:pStyle w:val="Kop1"/>
        <w:jc w:val="right"/>
        <w:rPr>
          <w:rFonts w:ascii="Trebuchet MS" w:hAnsi="Trebuchet MS"/>
        </w:rPr>
      </w:pPr>
      <w:r>
        <w:rPr>
          <w:noProof/>
          <w:lang w:val="en-US" w:eastAsia="en-US"/>
        </w:rPr>
        <w:drawing>
          <wp:anchor distT="0" distB="0" distL="114300" distR="114300" simplePos="0" relativeHeight="251658752" behindDoc="0" locked="0" layoutInCell="1" allowOverlap="1" wp14:editId="56B7DCF4" wp14:anchorId="5E1E97F1">
            <wp:simplePos x="0" y="0"/>
            <wp:positionH relativeFrom="column">
              <wp:posOffset>4792980</wp:posOffset>
            </wp:positionH>
            <wp:positionV relativeFrom="paragraph">
              <wp:posOffset>-97790</wp:posOffset>
            </wp:positionV>
            <wp:extent cx="1866900" cy="789940"/>
            <wp:effectExtent l="0" t="0" r="0" b="0"/>
            <wp:wrapSquare wrapText="bothSides"/>
            <wp:docPr id="5" name="Afbeelding 1" descr="Logo_CRM_rech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_CRM_recht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78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15FF8" w:rsidR="00234AFB" w:rsidP="00234AFB" w:rsidRDefault="00234AFB" w14:paraId="09598DD8" w14:textId="77777777">
      <w:pPr>
        <w:rPr>
          <w:rFonts w:ascii="Trebuchet MS" w:hAnsi="Trebuchet MS"/>
        </w:rPr>
      </w:pPr>
    </w:p>
    <w:p w:rsidR="00234AFB" w:rsidP="00234AFB" w:rsidRDefault="00234AFB" w14:paraId="4BA34E3E" w14:textId="77777777">
      <w:pPr>
        <w:rPr>
          <w:rFonts w:ascii="Trebuchet MS" w:hAnsi="Trebuchet MS"/>
        </w:rPr>
      </w:pPr>
    </w:p>
    <w:p w:rsidRPr="00F15FF8" w:rsidR="00725068" w:rsidP="00234AFB" w:rsidRDefault="00725068" w14:paraId="52FD71E5" w14:textId="77777777">
      <w:pPr>
        <w:rPr>
          <w:rFonts w:ascii="Trebuchet MS" w:hAnsi="Trebuchet MS"/>
        </w:rPr>
      </w:pPr>
    </w:p>
    <w:p w:rsidR="001130CD" w:rsidRDefault="001130CD" w14:paraId="60074212" w14:textId="77777777">
      <w:pPr>
        <w:rPr>
          <w:rFonts w:ascii="Trebuchet MS" w:hAnsi="Trebuchet MS"/>
          <w:b/>
          <w:sz w:val="40"/>
          <w:szCs w:val="40"/>
        </w:rPr>
      </w:pPr>
    </w:p>
    <w:p w:rsidR="001130CD" w:rsidRDefault="001130CD" w14:paraId="117E8B40" w14:textId="77777777">
      <w:pPr>
        <w:rPr>
          <w:rFonts w:ascii="Trebuchet MS" w:hAnsi="Trebuchet MS"/>
          <w:b/>
          <w:sz w:val="40"/>
          <w:szCs w:val="40"/>
        </w:rPr>
      </w:pPr>
    </w:p>
    <w:p w:rsidR="008471D6" w:rsidP="00C27550" w:rsidRDefault="008471D6" w14:paraId="3EB0E081" w14:textId="77777777">
      <w:pPr>
        <w:rPr>
          <w:rFonts w:ascii="Trebuchet MS" w:hAnsi="Trebuchet MS"/>
          <w:b/>
          <w:color w:val="C00000"/>
          <w:sz w:val="32"/>
          <w:szCs w:val="40"/>
          <w:u w:val="single"/>
        </w:rPr>
      </w:pPr>
    </w:p>
    <w:p w:rsidR="00B84107" w:rsidP="00C27550" w:rsidRDefault="00B84107" w14:paraId="22A18EEE" w14:textId="77777777">
      <w:pPr>
        <w:rPr>
          <w:rFonts w:ascii="Trebuchet MS" w:hAnsi="Trebuchet MS"/>
          <w:b/>
          <w:color w:val="C00000"/>
          <w:sz w:val="32"/>
          <w:szCs w:val="40"/>
          <w:u w:val="single"/>
        </w:rPr>
      </w:pPr>
    </w:p>
    <w:p w:rsidR="00B84107" w:rsidP="00C27550" w:rsidRDefault="00B84107" w14:paraId="2AF500AD" w14:textId="77777777">
      <w:pPr>
        <w:rPr>
          <w:rFonts w:ascii="Trebuchet MS" w:hAnsi="Trebuchet MS"/>
          <w:b/>
          <w:color w:val="C00000"/>
          <w:sz w:val="32"/>
          <w:szCs w:val="40"/>
          <w:u w:val="single"/>
        </w:rPr>
      </w:pPr>
    </w:p>
    <w:p w:rsidR="008471D6" w:rsidP="00C27550" w:rsidRDefault="008471D6" w14:paraId="1427B9E0" w14:textId="77777777">
      <w:pPr>
        <w:rPr>
          <w:rFonts w:ascii="Trebuchet MS" w:hAnsi="Trebuchet MS"/>
          <w:b/>
          <w:color w:val="C00000"/>
          <w:sz w:val="40"/>
          <w:szCs w:val="40"/>
        </w:rPr>
      </w:pPr>
    </w:p>
    <w:p w:rsidR="008471D6" w:rsidP="00C27550" w:rsidRDefault="008471D6" w14:paraId="531295B9" w14:textId="77777777">
      <w:pPr>
        <w:rPr>
          <w:rFonts w:ascii="Trebuchet MS" w:hAnsi="Trebuchet MS"/>
          <w:b/>
          <w:color w:val="C00000"/>
          <w:sz w:val="40"/>
          <w:szCs w:val="40"/>
        </w:rPr>
      </w:pPr>
    </w:p>
    <w:p w:rsidR="008471D6" w:rsidP="008471D6" w:rsidRDefault="008471D6" w14:paraId="0B06C1C3" w14:textId="77777777">
      <w:pPr>
        <w:rPr>
          <w:rFonts w:ascii="Trebuchet MS" w:hAnsi="Trebuchet MS"/>
          <w:b/>
          <w:color w:val="C00000"/>
          <w:sz w:val="40"/>
          <w:szCs w:val="40"/>
        </w:rPr>
      </w:pPr>
    </w:p>
    <w:p w:rsidRPr="008471D6" w:rsidR="00B84107" w:rsidP="00B84107" w:rsidRDefault="0026045C" w14:paraId="1D440A5E" w14:textId="51BFC7D7">
      <w:pPr>
        <w:ind w:left="2124" w:firstLine="708"/>
        <w:rPr>
          <w:rFonts w:ascii="Trebuchet MS" w:hAnsi="Trebuchet MS"/>
          <w:b/>
          <w:color w:val="C00000"/>
          <w:sz w:val="40"/>
          <w:szCs w:val="40"/>
        </w:rPr>
      </w:pPr>
      <w:r>
        <w:rPr>
          <w:rFonts w:ascii="Trebuchet MS" w:hAnsi="Trebuchet MS"/>
          <w:b/>
          <w:color w:val="C00000"/>
          <w:sz w:val="40"/>
          <w:szCs w:val="40"/>
        </w:rPr>
        <w:t>Gespreksnotitie</w:t>
      </w:r>
    </w:p>
    <w:p w:rsidR="00C27550" w:rsidP="001130CD" w:rsidRDefault="00C27550" w14:paraId="564E7849" w14:textId="77777777">
      <w:pPr>
        <w:ind w:left="2832"/>
        <w:rPr>
          <w:rFonts w:ascii="Trebuchet MS" w:hAnsi="Trebuchet MS"/>
          <w:b/>
          <w:color w:val="FF0000"/>
          <w:sz w:val="40"/>
          <w:szCs w:val="40"/>
        </w:rPr>
      </w:pPr>
    </w:p>
    <w:p w:rsidRPr="008471D6" w:rsidR="008471D6" w:rsidP="00EF4A27" w:rsidRDefault="00526B63" w14:paraId="37B81506" w14:textId="1EC75716">
      <w:pPr>
        <w:ind w:left="576" w:firstLine="708"/>
        <w:rPr>
          <w:rFonts w:ascii="Trebuchet MS" w:hAnsi="Trebuchet MS"/>
          <w:b/>
          <w:sz w:val="36"/>
          <w:szCs w:val="32"/>
        </w:rPr>
      </w:pPr>
      <w:r>
        <w:rPr>
          <w:rFonts w:ascii="Trebuchet MS" w:hAnsi="Trebuchet MS"/>
          <w:b/>
          <w:sz w:val="36"/>
          <w:szCs w:val="32"/>
        </w:rPr>
        <w:t>Etnisch profileren</w:t>
      </w:r>
      <w:r w:rsidR="0026045C">
        <w:rPr>
          <w:rFonts w:ascii="Trebuchet MS" w:hAnsi="Trebuchet MS"/>
          <w:b/>
          <w:sz w:val="36"/>
          <w:szCs w:val="32"/>
        </w:rPr>
        <w:t xml:space="preserve"> </w:t>
      </w:r>
      <w:r w:rsidR="00C11EF8">
        <w:rPr>
          <w:rFonts w:ascii="Trebuchet MS" w:hAnsi="Trebuchet MS"/>
          <w:b/>
          <w:sz w:val="36"/>
          <w:szCs w:val="32"/>
        </w:rPr>
        <w:t>en de KMar uitspraak</w:t>
      </w:r>
    </w:p>
    <w:p w:rsidR="00B84107" w:rsidP="008471D6" w:rsidRDefault="00B84107" w14:paraId="2C0B47FF" w14:textId="77777777">
      <w:pPr>
        <w:ind w:left="3024"/>
        <w:rPr>
          <w:rFonts w:ascii="Trebuchet MS" w:hAnsi="Trebuchet MS"/>
          <w:b/>
          <w:sz w:val="36"/>
          <w:szCs w:val="32"/>
        </w:rPr>
      </w:pPr>
    </w:p>
    <w:p w:rsidR="008471D6" w:rsidP="008471D6" w:rsidRDefault="008471D6" w14:paraId="47D5B9AF" w14:textId="77777777">
      <w:pPr>
        <w:ind w:left="3024"/>
        <w:rPr>
          <w:rFonts w:ascii="Trebuchet MS" w:hAnsi="Trebuchet MS"/>
          <w:b/>
          <w:sz w:val="36"/>
          <w:szCs w:val="32"/>
        </w:rPr>
      </w:pPr>
    </w:p>
    <w:p w:rsidRPr="00B84107" w:rsidR="008471D6" w:rsidP="00526B63" w:rsidRDefault="0026045C" w14:paraId="1EEE89B0" w14:textId="7DDE0DEF">
      <w:pPr>
        <w:ind w:left="1008"/>
        <w:rPr>
          <w:rFonts w:ascii="Trebuchet MS" w:hAnsi="Trebuchet MS"/>
          <w:i/>
          <w:iCs/>
          <w:sz w:val="24"/>
          <w:szCs w:val="22"/>
        </w:rPr>
      </w:pPr>
      <w:r>
        <w:rPr>
          <w:rFonts w:ascii="Trebuchet MS" w:hAnsi="Trebuchet MS"/>
          <w:i/>
          <w:iCs/>
          <w:sz w:val="24"/>
          <w:szCs w:val="22"/>
        </w:rPr>
        <w:t xml:space="preserve">Ten behoeve van het </w:t>
      </w:r>
      <w:r w:rsidRPr="00B84107" w:rsidR="00C27550">
        <w:rPr>
          <w:rFonts w:ascii="Trebuchet MS" w:hAnsi="Trebuchet MS"/>
          <w:i/>
          <w:iCs/>
          <w:sz w:val="24"/>
          <w:szCs w:val="22"/>
        </w:rPr>
        <w:t>Rondetafelgesprek</w:t>
      </w:r>
      <w:r>
        <w:rPr>
          <w:rFonts w:ascii="Trebuchet MS" w:hAnsi="Trebuchet MS"/>
          <w:i/>
          <w:iCs/>
          <w:sz w:val="24"/>
          <w:szCs w:val="22"/>
        </w:rPr>
        <w:t xml:space="preserve"> van</w:t>
      </w:r>
      <w:r w:rsidR="00526B63">
        <w:rPr>
          <w:rFonts w:ascii="Trebuchet MS" w:hAnsi="Trebuchet MS"/>
          <w:i/>
          <w:iCs/>
          <w:sz w:val="24"/>
          <w:szCs w:val="22"/>
        </w:rPr>
        <w:t xml:space="preserve"> De Vaste Commissie voor Binnenlandse Zaken </w:t>
      </w:r>
      <w:r w:rsidR="00C24D53">
        <w:rPr>
          <w:rFonts w:ascii="Trebuchet MS" w:hAnsi="Trebuchet MS"/>
          <w:i/>
          <w:iCs/>
          <w:sz w:val="24"/>
          <w:szCs w:val="22"/>
        </w:rPr>
        <w:t>op 24 november 2021</w:t>
      </w:r>
    </w:p>
    <w:p w:rsidR="008471D6" w:rsidP="008471D6" w:rsidRDefault="008471D6" w14:paraId="4024E7B3" w14:textId="77777777">
      <w:pPr>
        <w:rPr>
          <w:rFonts w:ascii="Trebuchet MS" w:hAnsi="Trebuchet MS"/>
          <w:i/>
          <w:iCs/>
          <w:szCs w:val="22"/>
        </w:rPr>
      </w:pPr>
    </w:p>
    <w:p w:rsidR="008471D6" w:rsidP="008471D6" w:rsidRDefault="008471D6" w14:paraId="62D991CC" w14:textId="77777777">
      <w:pPr>
        <w:rPr>
          <w:rFonts w:ascii="Trebuchet MS" w:hAnsi="Trebuchet MS"/>
          <w:i/>
          <w:iCs/>
          <w:szCs w:val="22"/>
        </w:rPr>
      </w:pPr>
    </w:p>
    <w:p w:rsidR="008471D6" w:rsidP="008471D6" w:rsidRDefault="008471D6" w14:paraId="4FBB1BCC" w14:textId="77777777">
      <w:pPr>
        <w:rPr>
          <w:rFonts w:ascii="Trebuchet MS" w:hAnsi="Trebuchet MS"/>
          <w:i/>
          <w:iCs/>
          <w:szCs w:val="22"/>
        </w:rPr>
      </w:pPr>
    </w:p>
    <w:p w:rsidR="008471D6" w:rsidP="008471D6" w:rsidRDefault="008471D6" w14:paraId="58262F09" w14:textId="77777777">
      <w:pPr>
        <w:rPr>
          <w:rFonts w:ascii="Trebuchet MS" w:hAnsi="Trebuchet MS"/>
          <w:i/>
          <w:iCs/>
          <w:szCs w:val="22"/>
        </w:rPr>
      </w:pPr>
    </w:p>
    <w:p w:rsidR="008471D6" w:rsidP="008471D6" w:rsidRDefault="008471D6" w14:paraId="4BE74283" w14:textId="77777777">
      <w:pPr>
        <w:rPr>
          <w:rFonts w:ascii="Trebuchet MS" w:hAnsi="Trebuchet MS"/>
          <w:iCs/>
          <w:szCs w:val="22"/>
        </w:rPr>
      </w:pPr>
    </w:p>
    <w:p w:rsidR="008471D6" w:rsidP="008471D6" w:rsidRDefault="008471D6" w14:paraId="01EF780E" w14:textId="77777777">
      <w:pPr>
        <w:rPr>
          <w:rFonts w:ascii="Trebuchet MS" w:hAnsi="Trebuchet MS"/>
          <w:iCs/>
          <w:szCs w:val="22"/>
        </w:rPr>
      </w:pPr>
    </w:p>
    <w:p w:rsidR="008471D6" w:rsidP="008471D6" w:rsidRDefault="008471D6" w14:paraId="5ADD6A1B" w14:textId="77777777">
      <w:pPr>
        <w:rPr>
          <w:rFonts w:ascii="Trebuchet MS" w:hAnsi="Trebuchet MS"/>
          <w:iCs/>
          <w:szCs w:val="22"/>
        </w:rPr>
      </w:pPr>
    </w:p>
    <w:p w:rsidR="008471D6" w:rsidP="008471D6" w:rsidRDefault="008471D6" w14:paraId="7B3C706A" w14:textId="77777777">
      <w:pPr>
        <w:rPr>
          <w:rFonts w:ascii="Trebuchet MS" w:hAnsi="Trebuchet MS"/>
          <w:iCs/>
          <w:szCs w:val="22"/>
        </w:rPr>
      </w:pPr>
    </w:p>
    <w:p w:rsidR="008471D6" w:rsidP="008471D6" w:rsidRDefault="008471D6" w14:paraId="58B184D9" w14:textId="77777777">
      <w:pPr>
        <w:rPr>
          <w:rFonts w:ascii="Trebuchet MS" w:hAnsi="Trebuchet MS"/>
          <w:iCs/>
          <w:szCs w:val="22"/>
        </w:rPr>
      </w:pPr>
    </w:p>
    <w:p w:rsidR="008471D6" w:rsidP="008471D6" w:rsidRDefault="008471D6" w14:paraId="2D4259DE" w14:textId="77777777">
      <w:pPr>
        <w:rPr>
          <w:rFonts w:ascii="Trebuchet MS" w:hAnsi="Trebuchet MS"/>
          <w:iCs/>
          <w:szCs w:val="22"/>
        </w:rPr>
      </w:pPr>
    </w:p>
    <w:p w:rsidR="008471D6" w:rsidP="008471D6" w:rsidRDefault="008471D6" w14:paraId="657E55BD" w14:textId="77777777">
      <w:pPr>
        <w:rPr>
          <w:rFonts w:ascii="Trebuchet MS" w:hAnsi="Trebuchet MS"/>
          <w:iCs/>
          <w:szCs w:val="22"/>
        </w:rPr>
      </w:pPr>
    </w:p>
    <w:p w:rsidR="008471D6" w:rsidP="008471D6" w:rsidRDefault="008471D6" w14:paraId="3AAC276D" w14:textId="77777777">
      <w:pPr>
        <w:rPr>
          <w:rFonts w:ascii="Trebuchet MS" w:hAnsi="Trebuchet MS"/>
          <w:iCs/>
          <w:szCs w:val="22"/>
        </w:rPr>
      </w:pPr>
    </w:p>
    <w:p w:rsidR="008471D6" w:rsidP="008471D6" w:rsidRDefault="008471D6" w14:paraId="79714C6C" w14:textId="77777777">
      <w:pPr>
        <w:rPr>
          <w:rFonts w:ascii="Trebuchet MS" w:hAnsi="Trebuchet MS"/>
          <w:iCs/>
          <w:szCs w:val="22"/>
        </w:rPr>
      </w:pPr>
    </w:p>
    <w:p w:rsidR="008471D6" w:rsidP="008471D6" w:rsidRDefault="008471D6" w14:paraId="0A8DC48C" w14:textId="77777777">
      <w:pPr>
        <w:rPr>
          <w:rFonts w:ascii="Trebuchet MS" w:hAnsi="Trebuchet MS"/>
          <w:iCs/>
          <w:szCs w:val="22"/>
        </w:rPr>
      </w:pPr>
    </w:p>
    <w:p w:rsidR="008471D6" w:rsidP="008471D6" w:rsidRDefault="008471D6" w14:paraId="7BB9E554" w14:textId="77777777">
      <w:pPr>
        <w:rPr>
          <w:rFonts w:ascii="Trebuchet MS" w:hAnsi="Trebuchet MS"/>
          <w:iCs/>
          <w:szCs w:val="22"/>
        </w:rPr>
      </w:pPr>
    </w:p>
    <w:p w:rsidR="008471D6" w:rsidP="008471D6" w:rsidRDefault="008471D6" w14:paraId="259FC9BE" w14:textId="77777777">
      <w:pPr>
        <w:rPr>
          <w:rFonts w:ascii="Trebuchet MS" w:hAnsi="Trebuchet MS"/>
          <w:iCs/>
          <w:szCs w:val="22"/>
        </w:rPr>
      </w:pPr>
    </w:p>
    <w:p w:rsidR="008471D6" w:rsidP="008471D6" w:rsidRDefault="008471D6" w14:paraId="7E0B4C2C" w14:textId="77777777">
      <w:pPr>
        <w:rPr>
          <w:rFonts w:ascii="Trebuchet MS" w:hAnsi="Trebuchet MS"/>
          <w:iCs/>
          <w:szCs w:val="22"/>
        </w:rPr>
      </w:pPr>
    </w:p>
    <w:p w:rsidR="008471D6" w:rsidP="008471D6" w:rsidRDefault="008471D6" w14:paraId="12761F23" w14:textId="77777777">
      <w:pPr>
        <w:rPr>
          <w:rFonts w:ascii="Trebuchet MS" w:hAnsi="Trebuchet MS"/>
          <w:iCs/>
          <w:szCs w:val="22"/>
        </w:rPr>
      </w:pPr>
    </w:p>
    <w:p w:rsidRPr="00FA4EC7" w:rsidR="00C27550" w:rsidP="00FA4EC7" w:rsidRDefault="00526B63" w14:paraId="58952B99" w14:textId="2BF03115">
      <w:pPr>
        <w:pStyle w:val="Lijstalinea"/>
        <w:numPr>
          <w:ilvl w:val="0"/>
          <w:numId w:val="4"/>
        </w:numPr>
        <w:rPr>
          <w:rFonts w:ascii="Trebuchet MS" w:hAnsi="Trebuchet MS"/>
          <w:iCs/>
          <w:sz w:val="24"/>
          <w:szCs w:val="22"/>
        </w:rPr>
      </w:pPr>
      <w:r w:rsidRPr="00FA4EC7">
        <w:rPr>
          <w:rFonts w:ascii="Trebuchet MS" w:hAnsi="Trebuchet MS"/>
          <w:iCs/>
          <w:sz w:val="24"/>
          <w:szCs w:val="22"/>
        </w:rPr>
        <w:t>november 2021</w:t>
      </w:r>
    </w:p>
    <w:p w:rsidR="00C27550" w:rsidP="00C27550" w:rsidRDefault="00C27550" w14:paraId="6DB67B06" w14:textId="77777777">
      <w:pPr>
        <w:rPr>
          <w:rFonts w:ascii="Trebuchet MS" w:hAnsi="Trebuchet MS"/>
          <w:iCs/>
          <w:sz w:val="24"/>
          <w:szCs w:val="22"/>
        </w:rPr>
      </w:pPr>
    </w:p>
    <w:p w:rsidR="00110DC1" w:rsidP="00C27550" w:rsidRDefault="008471D6" w14:paraId="01C55BA5" w14:textId="3FB40559">
      <w:pPr>
        <w:rPr>
          <w:rFonts w:ascii="Trebuchet MS" w:hAnsi="Trebuchet MS"/>
          <w:b/>
          <w:iCs/>
          <w:szCs w:val="22"/>
        </w:rPr>
      </w:pPr>
      <w:r>
        <w:rPr>
          <w:rFonts w:ascii="Trebuchet MS" w:hAnsi="Trebuchet MS"/>
          <w:b/>
          <w:iCs/>
          <w:szCs w:val="22"/>
        </w:rPr>
        <w:br w:type="page"/>
      </w:r>
    </w:p>
    <w:p w:rsidRPr="009B7555" w:rsidR="009B7555" w:rsidP="009B7555" w:rsidRDefault="009B7555" w14:paraId="17C65C98" w14:textId="43AF118E">
      <w:pPr>
        <w:rPr>
          <w:rFonts w:ascii="Trebuchet MS" w:hAnsi="Trebuchet MS"/>
          <w:b/>
          <w:bCs/>
          <w:iCs/>
          <w:szCs w:val="22"/>
        </w:rPr>
      </w:pPr>
      <w:r>
        <w:rPr>
          <w:rFonts w:ascii="Trebuchet MS" w:hAnsi="Trebuchet MS"/>
          <w:b/>
          <w:bCs/>
          <w:iCs/>
          <w:szCs w:val="22"/>
        </w:rPr>
        <w:lastRenderedPageBreak/>
        <w:t>Startpunt: het discriminatieverbod</w:t>
      </w:r>
    </w:p>
    <w:p w:rsidRPr="009B7555" w:rsidR="009B7555" w:rsidP="009B7555" w:rsidRDefault="009B7555" w14:paraId="2FDADEFB" w14:textId="05EC007D">
      <w:pPr>
        <w:pStyle w:val="Lijstalinea"/>
        <w:numPr>
          <w:ilvl w:val="0"/>
          <w:numId w:val="11"/>
        </w:numPr>
        <w:rPr>
          <w:rFonts w:ascii="Trebuchet MS" w:hAnsi="Trebuchet MS"/>
          <w:iCs/>
          <w:szCs w:val="22"/>
        </w:rPr>
      </w:pPr>
      <w:r w:rsidRPr="009B7555">
        <w:rPr>
          <w:rFonts w:ascii="Trebuchet MS" w:hAnsi="Trebuchet MS"/>
          <w:iCs/>
          <w:szCs w:val="22"/>
        </w:rPr>
        <w:t>Het startpunt van het gesprek over etnisch profileren is het discriminatieverbod zoals neergelegd in artikel 1 Grondwet, in de Algemene wet gelijke behandeling en in mensenrechtenverdragen. Kerngedachte achter dit discriminatieverbod is dat mensen moeten worden aangesproken en afgerekend op hun gedragingen en niet op persoonskenmerken of identificatie als lid van een bepaalde bevolkingsgroep.</w:t>
      </w:r>
    </w:p>
    <w:p w:rsidR="009B7555" w:rsidP="00723766" w:rsidRDefault="009B7555" w14:paraId="0125875B" w14:textId="77777777">
      <w:pPr>
        <w:rPr>
          <w:rFonts w:ascii="Trebuchet MS" w:hAnsi="Trebuchet MS"/>
          <w:b/>
          <w:iCs/>
          <w:szCs w:val="22"/>
        </w:rPr>
      </w:pPr>
    </w:p>
    <w:p w:rsidRPr="0026045C" w:rsidR="00BC009E" w:rsidP="00723766" w:rsidRDefault="000C05F9" w14:paraId="7A0880DE" w14:textId="64969D83">
      <w:pPr>
        <w:rPr>
          <w:rFonts w:ascii="Trebuchet MS" w:hAnsi="Trebuchet MS"/>
          <w:bCs/>
          <w:iCs/>
          <w:szCs w:val="22"/>
        </w:rPr>
      </w:pPr>
      <w:r>
        <w:rPr>
          <w:rFonts w:ascii="Trebuchet MS" w:hAnsi="Trebuchet MS"/>
          <w:b/>
          <w:iCs/>
          <w:szCs w:val="22"/>
        </w:rPr>
        <w:t>Toenemende aandacht voor etnisch profileren</w:t>
      </w:r>
    </w:p>
    <w:p w:rsidRPr="00D33A92" w:rsidR="00BC009E" w:rsidP="00D33A92" w:rsidRDefault="0026045C" w14:paraId="3E715E30" w14:textId="103FD3D7">
      <w:pPr>
        <w:pStyle w:val="Lijstalinea"/>
        <w:numPr>
          <w:ilvl w:val="0"/>
          <w:numId w:val="11"/>
        </w:numPr>
        <w:rPr>
          <w:rFonts w:ascii="Trebuchet MS" w:hAnsi="Trebuchet MS"/>
          <w:iCs/>
          <w:szCs w:val="22"/>
        </w:rPr>
      </w:pPr>
      <w:r>
        <w:rPr>
          <w:rFonts w:ascii="Trebuchet MS" w:hAnsi="Trebuchet MS"/>
          <w:iCs/>
          <w:szCs w:val="22"/>
        </w:rPr>
        <w:t xml:space="preserve">Er is momenteel in het Nederlandse publieke en politieke debat veel aandacht voor </w:t>
      </w:r>
      <w:r>
        <w:rPr>
          <w:rFonts w:ascii="Trebuchet MS" w:hAnsi="Trebuchet MS"/>
          <w:i/>
          <w:szCs w:val="22"/>
        </w:rPr>
        <w:t>etnisch</w:t>
      </w:r>
      <w:r w:rsidRPr="001A15E1">
        <w:rPr>
          <w:rFonts w:ascii="Trebuchet MS" w:hAnsi="Trebuchet MS"/>
          <w:i/>
          <w:szCs w:val="22"/>
        </w:rPr>
        <w:t xml:space="preserve"> profileren</w:t>
      </w:r>
      <w:r>
        <w:rPr>
          <w:rFonts w:ascii="Trebuchet MS" w:hAnsi="Trebuchet MS"/>
          <w:iCs/>
          <w:szCs w:val="22"/>
        </w:rPr>
        <w:t>.</w:t>
      </w:r>
      <w:r w:rsidR="00442963">
        <w:rPr>
          <w:rFonts w:ascii="Trebuchet MS" w:hAnsi="Trebuchet MS"/>
          <w:iCs/>
          <w:szCs w:val="22"/>
        </w:rPr>
        <w:t xml:space="preserve"> </w:t>
      </w:r>
      <w:r w:rsidRPr="00FA4EC7" w:rsidR="00BC009E">
        <w:rPr>
          <w:rFonts w:ascii="Trebuchet MS" w:hAnsi="Trebuchet MS"/>
          <w:iCs/>
          <w:szCs w:val="22"/>
        </w:rPr>
        <w:t>Aanleiding hiervoor is het gegeven dat uit verschillende onderzoeken naar voren komt dat personen die behoren tot of geassocieerd worden met een etnische minderheidsgroep ervaren dat zij sneller en vaker worden geselecteerd voor een nader onderzoek of staande worden gehouden door de politie.</w:t>
      </w:r>
      <w:r w:rsidRPr="00FA4EC7" w:rsidR="00BC009E">
        <w:rPr>
          <w:rFonts w:ascii="Trebuchet MS" w:hAnsi="Trebuchet MS"/>
          <w:iCs/>
          <w:szCs w:val="22"/>
          <w:vertAlign w:val="superscript"/>
          <w:lang w:val="en-US"/>
        </w:rPr>
        <w:footnoteReference w:id="1"/>
      </w:r>
      <w:r w:rsidRPr="00FA4EC7" w:rsidR="00BC009E">
        <w:rPr>
          <w:rFonts w:ascii="Trebuchet MS" w:hAnsi="Trebuchet MS"/>
          <w:iCs/>
          <w:szCs w:val="22"/>
        </w:rPr>
        <w:t xml:space="preserve"> </w:t>
      </w:r>
      <w:r w:rsidR="00D33A92">
        <w:rPr>
          <w:rFonts w:ascii="Trebuchet MS" w:hAnsi="Trebuchet MS"/>
          <w:iCs/>
          <w:szCs w:val="22"/>
        </w:rPr>
        <w:t xml:space="preserve">Bekend is bovendien dat </w:t>
      </w:r>
      <w:r w:rsidRPr="00D33A92" w:rsidR="00442963">
        <w:rPr>
          <w:rFonts w:ascii="Trebuchet MS" w:hAnsi="Trebuchet MS"/>
          <w:iCs/>
          <w:szCs w:val="22"/>
        </w:rPr>
        <w:t xml:space="preserve">ook in de uitvoeringspraktijk van verschillende overheidsdiensten </w:t>
      </w:r>
      <w:r w:rsidRPr="00D33A92" w:rsidR="007A7F35">
        <w:rPr>
          <w:rFonts w:ascii="Trebuchet MS" w:hAnsi="Trebuchet MS"/>
          <w:iCs/>
          <w:szCs w:val="22"/>
        </w:rPr>
        <w:t xml:space="preserve">burgers soms worden geselecteerd op basis van etnische kenmerken of afkomst. Dit gegeven stond onlangs centraal in de door Amnesty International c.s. aangespannen rechtszaak tegen de Koninklijke Marechaussee (KMar). </w:t>
      </w:r>
      <w:r w:rsidRPr="00D33A92" w:rsidR="009B7555">
        <w:rPr>
          <w:rFonts w:ascii="Trebuchet MS" w:hAnsi="Trebuchet MS"/>
          <w:iCs/>
          <w:szCs w:val="22"/>
        </w:rPr>
        <w:t xml:space="preserve">Deze rechtszaak bespreekt het College in </w:t>
      </w:r>
      <w:r w:rsidR="00BA0B00">
        <w:rPr>
          <w:rFonts w:ascii="Trebuchet MS" w:hAnsi="Trebuchet MS"/>
          <w:iCs/>
          <w:szCs w:val="22"/>
        </w:rPr>
        <w:t>§</w:t>
      </w:r>
      <w:r w:rsidRPr="00D33A92" w:rsidR="009B7555">
        <w:rPr>
          <w:rFonts w:ascii="Trebuchet MS" w:hAnsi="Trebuchet MS"/>
          <w:iCs/>
          <w:szCs w:val="22"/>
        </w:rPr>
        <w:t xml:space="preserve"> </w:t>
      </w:r>
      <w:r w:rsidR="00BA0B00">
        <w:rPr>
          <w:rFonts w:ascii="Trebuchet MS" w:hAnsi="Trebuchet MS"/>
          <w:iCs/>
          <w:szCs w:val="22"/>
        </w:rPr>
        <w:t>5-9.</w:t>
      </w:r>
      <w:r w:rsidRPr="00D33A92" w:rsidR="009B7555">
        <w:rPr>
          <w:rFonts w:ascii="Trebuchet MS" w:hAnsi="Trebuchet MS"/>
          <w:iCs/>
          <w:szCs w:val="22"/>
        </w:rPr>
        <w:t xml:space="preserve"> </w:t>
      </w:r>
    </w:p>
    <w:p w:rsidR="009B7555" w:rsidP="009B7555" w:rsidRDefault="009B7555" w14:paraId="6403DC6E" w14:textId="36514A94">
      <w:pPr>
        <w:rPr>
          <w:rFonts w:ascii="Trebuchet MS" w:hAnsi="Trebuchet MS"/>
          <w:iCs/>
          <w:szCs w:val="22"/>
        </w:rPr>
      </w:pPr>
    </w:p>
    <w:p w:rsidRPr="0073023A" w:rsidR="009B7555" w:rsidP="009B7555" w:rsidRDefault="009B7555" w14:paraId="41FFC1DF" w14:textId="77777777">
      <w:pPr>
        <w:rPr>
          <w:rFonts w:ascii="Trebuchet MS" w:hAnsi="Trebuchet MS"/>
          <w:b/>
          <w:bCs/>
          <w:iCs/>
          <w:szCs w:val="22"/>
        </w:rPr>
      </w:pPr>
      <w:r>
        <w:rPr>
          <w:rFonts w:ascii="Trebuchet MS" w:hAnsi="Trebuchet MS"/>
          <w:b/>
          <w:bCs/>
          <w:iCs/>
          <w:szCs w:val="22"/>
        </w:rPr>
        <w:t xml:space="preserve">Het begrip </w:t>
      </w:r>
      <w:r w:rsidRPr="0073023A">
        <w:rPr>
          <w:rFonts w:ascii="Trebuchet MS" w:hAnsi="Trebuchet MS"/>
          <w:b/>
          <w:bCs/>
          <w:i/>
          <w:szCs w:val="22"/>
        </w:rPr>
        <w:t>etnisch profileren</w:t>
      </w:r>
    </w:p>
    <w:p w:rsidRPr="009B7555" w:rsidR="009B7555" w:rsidP="008F33A7" w:rsidRDefault="009B7555" w14:paraId="0BBD521F" w14:textId="5C7F7BCD">
      <w:pPr>
        <w:pStyle w:val="Lijstalinea"/>
        <w:numPr>
          <w:ilvl w:val="0"/>
          <w:numId w:val="11"/>
        </w:numPr>
        <w:rPr>
          <w:rFonts w:ascii="Trebuchet MS" w:hAnsi="Trebuchet MS"/>
          <w:i/>
          <w:iCs/>
          <w:szCs w:val="22"/>
        </w:rPr>
      </w:pPr>
      <w:r w:rsidRPr="009B7555">
        <w:rPr>
          <w:rFonts w:ascii="Trebuchet MS" w:hAnsi="Trebuchet MS"/>
          <w:iCs/>
          <w:szCs w:val="22"/>
        </w:rPr>
        <w:t xml:space="preserve">De term </w:t>
      </w:r>
      <w:r w:rsidRPr="009B7555">
        <w:rPr>
          <w:rFonts w:ascii="Trebuchet MS" w:hAnsi="Trebuchet MS"/>
          <w:i/>
          <w:iCs/>
          <w:szCs w:val="22"/>
        </w:rPr>
        <w:t>etnisch profileren</w:t>
      </w:r>
      <w:r w:rsidRPr="009B7555">
        <w:rPr>
          <w:rFonts w:ascii="Trebuchet MS" w:hAnsi="Trebuchet MS"/>
          <w:iCs/>
          <w:szCs w:val="22"/>
        </w:rPr>
        <w:t xml:space="preserve"> is geen juridische term en heeft geen wettelijke of verdragsrechtelijke definitie. Wel is er een omschrijving van etnisch profileren die door veel gezaghebbende internationale mensenrechteninstanties – en ook door het College – wordt gebruikt, namelijk: het gebruik door overheidsinstanties van criteria als huidskleur, taal, religie, nationaliteit of nationale of etnische afkomst bij de uitoefening van toezichts-, handhavings- en opsporingsbevoegdheden, zonde</w:t>
      </w:r>
      <w:r w:rsidR="008F33A7">
        <w:rPr>
          <w:rFonts w:ascii="Trebuchet MS" w:hAnsi="Trebuchet MS"/>
          <w:iCs/>
          <w:szCs w:val="22"/>
        </w:rPr>
        <w:t xml:space="preserve">r </w:t>
      </w:r>
      <w:r w:rsidRPr="009B7555">
        <w:rPr>
          <w:rFonts w:ascii="Trebuchet MS" w:hAnsi="Trebuchet MS"/>
          <w:iCs/>
          <w:szCs w:val="22"/>
        </w:rPr>
        <w:t xml:space="preserve">dat daarvoor een objectieve en redelijke rechtvaardiging bestaat. </w:t>
      </w:r>
    </w:p>
    <w:p w:rsidRPr="00480F8B" w:rsidR="009B7555" w:rsidP="009B7555" w:rsidRDefault="009B7555" w14:paraId="79041506" w14:textId="2B3789F6">
      <w:pPr>
        <w:pStyle w:val="Lijstalinea"/>
        <w:numPr>
          <w:ilvl w:val="0"/>
          <w:numId w:val="11"/>
        </w:numPr>
        <w:rPr>
          <w:rFonts w:ascii="Trebuchet MS" w:hAnsi="Trebuchet MS"/>
          <w:i/>
          <w:iCs/>
          <w:szCs w:val="22"/>
        </w:rPr>
      </w:pPr>
      <w:r w:rsidRPr="00D52E97">
        <w:rPr>
          <w:rFonts w:ascii="Trebuchet MS" w:hAnsi="Trebuchet MS"/>
          <w:iCs/>
          <w:szCs w:val="22"/>
        </w:rPr>
        <w:t xml:space="preserve">Het kernelement van deze definitie is het deel achter de laatste komma: wanneer is </w:t>
      </w:r>
      <w:r w:rsidR="00480F8B">
        <w:rPr>
          <w:rFonts w:ascii="Trebuchet MS" w:hAnsi="Trebuchet MS"/>
          <w:iCs/>
          <w:szCs w:val="22"/>
        </w:rPr>
        <w:t>sprake van</w:t>
      </w:r>
      <w:r w:rsidRPr="00D52E97">
        <w:rPr>
          <w:rFonts w:ascii="Trebuchet MS" w:hAnsi="Trebuchet MS"/>
          <w:iCs/>
          <w:szCs w:val="22"/>
        </w:rPr>
        <w:t xml:space="preserve"> een objectieve en redelijke rechtvaardiging voor het gebruik van etniciteit als selectiecriterium?</w:t>
      </w:r>
      <w:r w:rsidR="00CF0B66">
        <w:rPr>
          <w:rStyle w:val="Voetnootmarkering"/>
          <w:rFonts w:ascii="Trebuchet MS" w:hAnsi="Trebuchet MS"/>
          <w:iCs/>
          <w:szCs w:val="22"/>
        </w:rPr>
        <w:footnoteReference w:id="2"/>
      </w:r>
      <w:r w:rsidRPr="00D52E97">
        <w:rPr>
          <w:rFonts w:ascii="Trebuchet MS" w:hAnsi="Trebuchet MS"/>
          <w:iCs/>
          <w:szCs w:val="22"/>
        </w:rPr>
        <w:t xml:space="preserve"> Voor een antwoord op die vraag wordt dikwijls verwezen naar het dynamische verkeerscontrole-arrest van de Hoge Raad uit 2016.</w:t>
      </w:r>
      <w:r>
        <w:rPr>
          <w:rStyle w:val="Voetnootmarkering"/>
          <w:rFonts w:ascii="Trebuchet MS" w:hAnsi="Trebuchet MS"/>
          <w:iCs/>
          <w:szCs w:val="22"/>
        </w:rPr>
        <w:footnoteReference w:id="3"/>
      </w:r>
      <w:r w:rsidRPr="00D52E97">
        <w:rPr>
          <w:rFonts w:ascii="Trebuchet MS" w:hAnsi="Trebuchet MS"/>
          <w:iCs/>
          <w:szCs w:val="22"/>
        </w:rPr>
        <w:t xml:space="preserve"> In dat arrest overwoog de HR dat de politie bij een verkeerscontrole voertuigen niet </w:t>
      </w:r>
      <w:r w:rsidRPr="00BA0B00">
        <w:rPr>
          <w:rFonts w:ascii="Trebuchet MS" w:hAnsi="Trebuchet MS"/>
          <w:i/>
          <w:szCs w:val="22"/>
        </w:rPr>
        <w:t xml:space="preserve">uitsluitend </w:t>
      </w:r>
      <w:r w:rsidRPr="00D52E97">
        <w:rPr>
          <w:rFonts w:ascii="Trebuchet MS" w:hAnsi="Trebuchet MS"/>
          <w:iCs/>
          <w:szCs w:val="22"/>
        </w:rPr>
        <w:t xml:space="preserve">of </w:t>
      </w:r>
      <w:r w:rsidRPr="00BA0B00">
        <w:rPr>
          <w:rFonts w:ascii="Trebuchet MS" w:hAnsi="Trebuchet MS"/>
          <w:i/>
          <w:szCs w:val="22"/>
        </w:rPr>
        <w:t xml:space="preserve">hoofdzakelijk </w:t>
      </w:r>
      <w:r w:rsidRPr="00D52E97">
        <w:rPr>
          <w:rFonts w:ascii="Trebuchet MS" w:hAnsi="Trebuchet MS"/>
          <w:iCs/>
          <w:szCs w:val="22"/>
        </w:rPr>
        <w:t>mag selecteren op basis van etnische of religieuze kenmerken van de bestuurder of</w:t>
      </w:r>
      <w:r w:rsidR="00BA0B00">
        <w:rPr>
          <w:rFonts w:ascii="Trebuchet MS" w:hAnsi="Trebuchet MS"/>
          <w:iCs/>
          <w:szCs w:val="22"/>
        </w:rPr>
        <w:t xml:space="preserve"> </w:t>
      </w:r>
      <w:r w:rsidRPr="00D52E97">
        <w:rPr>
          <w:rFonts w:ascii="Trebuchet MS" w:hAnsi="Trebuchet MS"/>
          <w:iCs/>
          <w:szCs w:val="22"/>
        </w:rPr>
        <w:t xml:space="preserve">inzittende. Voor een dergelijke selectie is bij dit soort controles geen redelijke objectieve rechtvaardiging en dus levert zo’n selectie dan discriminatie op. Dit HR-arrest sluit aan bij het arrest van het Europees Hof voor de Rechten van de Mens (EHRM) in de zaak </w:t>
      </w:r>
      <w:r w:rsidRPr="00D52E97">
        <w:rPr>
          <w:rFonts w:ascii="Trebuchet MS" w:hAnsi="Trebuchet MS"/>
          <w:i/>
          <w:szCs w:val="22"/>
        </w:rPr>
        <w:t>Timishev t. Rusland</w:t>
      </w:r>
      <w:r w:rsidRPr="00D52E97">
        <w:rPr>
          <w:rFonts w:ascii="Trebuchet MS" w:hAnsi="Trebuchet MS"/>
          <w:iCs/>
          <w:szCs w:val="22"/>
        </w:rPr>
        <w:t>.</w:t>
      </w:r>
      <w:r>
        <w:rPr>
          <w:rStyle w:val="Voetnootmarkering"/>
          <w:rFonts w:ascii="Trebuchet MS" w:hAnsi="Trebuchet MS"/>
          <w:iCs/>
          <w:szCs w:val="22"/>
        </w:rPr>
        <w:footnoteReference w:id="4"/>
      </w:r>
      <w:r w:rsidRPr="00D52E97">
        <w:rPr>
          <w:rFonts w:ascii="Trebuchet MS" w:hAnsi="Trebuchet MS"/>
          <w:iCs/>
          <w:szCs w:val="22"/>
        </w:rPr>
        <w:t xml:space="preserve"> </w:t>
      </w:r>
      <w:r w:rsidRPr="00480F8B">
        <w:rPr>
          <w:rFonts w:ascii="Trebuchet MS" w:hAnsi="Trebuchet MS"/>
          <w:iCs/>
          <w:szCs w:val="22"/>
        </w:rPr>
        <w:t xml:space="preserve">Daarin bepaalde het EHRM </w:t>
      </w:r>
      <w:r w:rsidRPr="00480F8B" w:rsidR="00480F8B">
        <w:rPr>
          <w:rFonts w:ascii="Trebuchet MS" w:hAnsi="Trebuchet MS"/>
          <w:iCs/>
          <w:szCs w:val="22"/>
        </w:rPr>
        <w:t xml:space="preserve">dat </w:t>
      </w:r>
      <w:r w:rsidR="00480F8B">
        <w:rPr>
          <w:rFonts w:ascii="Trebuchet MS" w:hAnsi="Trebuchet MS"/>
          <w:iCs/>
          <w:szCs w:val="22"/>
        </w:rPr>
        <w:t>e</w:t>
      </w:r>
      <w:r w:rsidRPr="00480F8B" w:rsidR="00480F8B">
        <w:rPr>
          <w:rFonts w:ascii="Trebuchet MS" w:hAnsi="Trebuchet MS"/>
          <w:iCs/>
          <w:szCs w:val="22"/>
        </w:rPr>
        <w:t xml:space="preserve">en verschil in behandeling dat </w:t>
      </w:r>
      <w:r w:rsidRPr="00480F8B" w:rsidR="00480F8B">
        <w:rPr>
          <w:rFonts w:ascii="Trebuchet MS" w:hAnsi="Trebuchet MS"/>
          <w:i/>
          <w:iCs/>
          <w:szCs w:val="22"/>
        </w:rPr>
        <w:t>enkel</w:t>
      </w:r>
      <w:r w:rsidRPr="00480F8B" w:rsidR="00480F8B">
        <w:rPr>
          <w:rFonts w:ascii="Trebuchet MS" w:hAnsi="Trebuchet MS"/>
          <w:iCs/>
          <w:szCs w:val="22"/>
        </w:rPr>
        <w:t xml:space="preserve"> of </w:t>
      </w:r>
      <w:r w:rsidRPr="00480F8B" w:rsidR="00480F8B">
        <w:rPr>
          <w:rFonts w:ascii="Trebuchet MS" w:hAnsi="Trebuchet MS"/>
          <w:i/>
          <w:iCs/>
          <w:szCs w:val="22"/>
        </w:rPr>
        <w:t>in beslissende mate</w:t>
      </w:r>
      <w:r w:rsidRPr="00480F8B" w:rsidR="00480F8B">
        <w:rPr>
          <w:rFonts w:ascii="Trebuchet MS" w:hAnsi="Trebuchet MS"/>
          <w:iCs/>
          <w:szCs w:val="22"/>
        </w:rPr>
        <w:t xml:space="preserve"> is gebaseerd op de etnische afkomst van een persoon kan op geen enkel moment objectief worden gerechtvaardigd</w:t>
      </w:r>
      <w:r w:rsidRPr="00480F8B">
        <w:rPr>
          <w:rFonts w:ascii="Trebuchet MS" w:hAnsi="Trebuchet MS"/>
          <w:iCs/>
          <w:szCs w:val="22"/>
        </w:rPr>
        <w:t>.</w:t>
      </w:r>
      <w:r>
        <w:rPr>
          <w:rStyle w:val="Voetnootmarkering"/>
          <w:rFonts w:ascii="Trebuchet MS" w:hAnsi="Trebuchet MS"/>
          <w:iCs/>
          <w:szCs w:val="22"/>
        </w:rPr>
        <w:footnoteReference w:id="5"/>
      </w:r>
      <w:r w:rsidRPr="00480F8B" w:rsidR="00480F8B">
        <w:rPr>
          <w:rFonts w:ascii="Trebuchet MS" w:hAnsi="Trebuchet MS"/>
          <w:iCs/>
          <w:szCs w:val="22"/>
        </w:rPr>
        <w:t xml:space="preserve"> </w:t>
      </w:r>
    </w:p>
    <w:p w:rsidRPr="00480F8B" w:rsidR="00D52E97" w:rsidP="009B7555" w:rsidRDefault="00D52E97" w14:paraId="444D9239" w14:textId="744DC5DC">
      <w:pPr>
        <w:rPr>
          <w:rFonts w:ascii="Trebuchet MS" w:hAnsi="Trebuchet MS"/>
          <w:i/>
          <w:iCs/>
          <w:szCs w:val="22"/>
        </w:rPr>
      </w:pPr>
    </w:p>
    <w:p w:rsidRPr="00D52E97" w:rsidR="00D52E97" w:rsidP="000C05F9" w:rsidRDefault="00D52E97" w14:paraId="66AC8980" w14:textId="5A5A6116">
      <w:pPr>
        <w:rPr>
          <w:rFonts w:ascii="Trebuchet MS" w:hAnsi="Trebuchet MS"/>
          <w:b/>
          <w:bCs/>
          <w:szCs w:val="22"/>
        </w:rPr>
      </w:pPr>
      <w:r w:rsidRPr="00D52E97">
        <w:rPr>
          <w:rFonts w:ascii="Trebuchet MS" w:hAnsi="Trebuchet MS"/>
          <w:b/>
          <w:bCs/>
          <w:szCs w:val="22"/>
        </w:rPr>
        <w:t>KMar uitspraak: bevestiging van de lijn</w:t>
      </w:r>
    </w:p>
    <w:p w:rsidRPr="00253631" w:rsidR="000C05F9" w:rsidP="009B7555" w:rsidRDefault="00D52E97" w14:paraId="49063F6F" w14:textId="1B61634A">
      <w:pPr>
        <w:pStyle w:val="Lijstalinea"/>
        <w:numPr>
          <w:ilvl w:val="0"/>
          <w:numId w:val="11"/>
        </w:numPr>
        <w:ind w:left="587"/>
        <w:rPr>
          <w:rFonts w:ascii="Trebuchet MS" w:hAnsi="Trebuchet MS"/>
          <w:b/>
          <w:iCs/>
          <w:szCs w:val="22"/>
        </w:rPr>
      </w:pPr>
      <w:r>
        <w:rPr>
          <w:rFonts w:ascii="Trebuchet MS" w:hAnsi="Trebuchet MS"/>
        </w:rPr>
        <w:lastRenderedPageBreak/>
        <w:t xml:space="preserve">Bovengenoemd uitgangspunt is onlangs bevestigd in de </w:t>
      </w:r>
      <w:r w:rsidR="000C05F9">
        <w:rPr>
          <w:rFonts w:ascii="Trebuchet MS" w:hAnsi="Trebuchet MS"/>
        </w:rPr>
        <w:t>KMar rechtszaak</w:t>
      </w:r>
      <w:r>
        <w:rPr>
          <w:rFonts w:ascii="Trebuchet MS" w:hAnsi="Trebuchet MS"/>
        </w:rPr>
        <w:t>.</w:t>
      </w:r>
      <w:r>
        <w:rPr>
          <w:rStyle w:val="Voetnootmarkering"/>
          <w:rFonts w:ascii="Trebuchet MS" w:hAnsi="Trebuchet MS"/>
        </w:rPr>
        <w:footnoteReference w:id="6"/>
      </w:r>
      <w:r>
        <w:rPr>
          <w:rFonts w:ascii="Trebuchet MS" w:hAnsi="Trebuchet MS"/>
        </w:rPr>
        <w:t xml:space="preserve"> </w:t>
      </w:r>
      <w:r w:rsidR="009B7555">
        <w:rPr>
          <w:rFonts w:ascii="Trebuchet MS" w:hAnsi="Trebuchet MS"/>
          <w:iCs/>
          <w:szCs w:val="22"/>
        </w:rPr>
        <w:t xml:space="preserve">Het draaide in deze rechtszaak om de vraag </w:t>
      </w:r>
      <w:r w:rsidRPr="00253631" w:rsidR="000C05F9">
        <w:rPr>
          <w:rFonts w:ascii="Trebuchet MS" w:hAnsi="Trebuchet MS"/>
          <w:iCs/>
          <w:szCs w:val="22"/>
        </w:rPr>
        <w:t>of de KMar bij Mobiel Toezicht Veiligheid (MTV) controles gebruik mag (blijven) maken van etniciteit als selectiecriterium.</w:t>
      </w:r>
      <w:r w:rsidR="009B7555">
        <w:rPr>
          <w:rFonts w:ascii="Trebuchet MS" w:hAnsi="Trebuchet MS"/>
          <w:iCs/>
          <w:szCs w:val="22"/>
        </w:rPr>
        <w:t xml:space="preserve"> Volgens </w:t>
      </w:r>
      <w:r w:rsidR="00357393">
        <w:rPr>
          <w:rFonts w:ascii="Trebuchet MS" w:hAnsi="Trebuchet MS"/>
          <w:iCs/>
          <w:szCs w:val="22"/>
        </w:rPr>
        <w:t>Amnesty International c.s.</w:t>
      </w:r>
      <w:r w:rsidR="009B7555">
        <w:rPr>
          <w:rFonts w:ascii="Trebuchet MS" w:hAnsi="Trebuchet MS"/>
          <w:iCs/>
          <w:szCs w:val="22"/>
        </w:rPr>
        <w:t xml:space="preserve"> </w:t>
      </w:r>
      <w:r w:rsidR="00357393">
        <w:rPr>
          <w:rFonts w:ascii="Trebuchet MS" w:hAnsi="Trebuchet MS"/>
          <w:iCs/>
          <w:szCs w:val="22"/>
        </w:rPr>
        <w:t xml:space="preserve">leidt deze vorm van selectie tot etnisch profileren. </w:t>
      </w:r>
      <w:r w:rsidR="000C05F9">
        <w:rPr>
          <w:rFonts w:ascii="Trebuchet MS" w:hAnsi="Trebuchet MS"/>
          <w:iCs/>
          <w:szCs w:val="22"/>
        </w:rPr>
        <w:t xml:space="preserve">Zij </w:t>
      </w:r>
      <w:r w:rsidR="005A54E8">
        <w:rPr>
          <w:rFonts w:ascii="Trebuchet MS" w:hAnsi="Trebuchet MS"/>
          <w:iCs/>
          <w:szCs w:val="22"/>
        </w:rPr>
        <w:t>vorderden</w:t>
      </w:r>
      <w:r w:rsidR="000C05F9">
        <w:rPr>
          <w:rFonts w:ascii="Trebuchet MS" w:hAnsi="Trebuchet MS"/>
          <w:iCs/>
          <w:szCs w:val="22"/>
        </w:rPr>
        <w:t xml:space="preserve"> daarom</w:t>
      </w:r>
      <w:r w:rsidRPr="00253631" w:rsidR="000C05F9">
        <w:rPr>
          <w:rFonts w:ascii="Trebuchet MS" w:hAnsi="Trebuchet MS"/>
          <w:iCs/>
          <w:szCs w:val="22"/>
        </w:rPr>
        <w:t xml:space="preserve"> een algemeen en ongeclausuleerd verbod op het gebruik van etniciteit bij MTV controles. </w:t>
      </w:r>
    </w:p>
    <w:p w:rsidRPr="00357393" w:rsidR="000C05F9" w:rsidP="009B7555" w:rsidRDefault="000C05F9" w14:paraId="0FBC6310" w14:textId="27376897">
      <w:pPr>
        <w:pStyle w:val="Lijstalinea"/>
        <w:numPr>
          <w:ilvl w:val="0"/>
          <w:numId w:val="11"/>
        </w:numPr>
        <w:ind w:left="587"/>
        <w:rPr>
          <w:rFonts w:ascii="Trebuchet MS" w:hAnsi="Trebuchet MS"/>
          <w:b/>
          <w:iCs/>
          <w:szCs w:val="22"/>
        </w:rPr>
      </w:pPr>
      <w:r>
        <w:rPr>
          <w:rFonts w:ascii="Trebuchet MS" w:hAnsi="Trebuchet MS"/>
          <w:iCs/>
          <w:szCs w:val="22"/>
        </w:rPr>
        <w:t>De</w:t>
      </w:r>
      <w:r w:rsidR="005A54E8">
        <w:rPr>
          <w:rFonts w:ascii="Trebuchet MS" w:hAnsi="Trebuchet MS"/>
          <w:iCs/>
          <w:szCs w:val="22"/>
        </w:rPr>
        <w:t>ze</w:t>
      </w:r>
      <w:r>
        <w:rPr>
          <w:rFonts w:ascii="Trebuchet MS" w:hAnsi="Trebuchet MS"/>
          <w:iCs/>
          <w:szCs w:val="22"/>
        </w:rPr>
        <w:t xml:space="preserve"> vordering werd door de rechtbank afgewezen. </w:t>
      </w:r>
      <w:r w:rsidRPr="00253631">
        <w:rPr>
          <w:rFonts w:ascii="Trebuchet MS" w:hAnsi="Trebuchet MS"/>
          <w:iCs/>
          <w:szCs w:val="22"/>
        </w:rPr>
        <w:t xml:space="preserve">Hiertoe overwoog de rechtbank – kortgezegd -  dat etniciteit </w:t>
      </w:r>
      <w:r w:rsidRPr="005A54E8">
        <w:rPr>
          <w:rFonts w:ascii="Trebuchet MS" w:hAnsi="Trebuchet MS"/>
          <w:i/>
          <w:szCs w:val="22"/>
        </w:rPr>
        <w:t>in de regel</w:t>
      </w:r>
      <w:r w:rsidRPr="00253631">
        <w:rPr>
          <w:rFonts w:ascii="Trebuchet MS" w:hAnsi="Trebuchet MS"/>
          <w:iCs/>
          <w:szCs w:val="22"/>
        </w:rPr>
        <w:t xml:space="preserve"> niet het enige of doorslaggevende criterium is</w:t>
      </w:r>
      <w:r w:rsidR="005A54E8">
        <w:rPr>
          <w:rFonts w:ascii="Trebuchet MS" w:hAnsi="Trebuchet MS"/>
          <w:iCs/>
          <w:szCs w:val="22"/>
        </w:rPr>
        <w:t xml:space="preserve"> en dat voor het gebruik </w:t>
      </w:r>
      <w:r w:rsidR="001205C9">
        <w:rPr>
          <w:rFonts w:ascii="Trebuchet MS" w:hAnsi="Trebuchet MS"/>
          <w:iCs/>
          <w:szCs w:val="22"/>
        </w:rPr>
        <w:t>hiervan</w:t>
      </w:r>
      <w:r w:rsidR="005A54E8">
        <w:rPr>
          <w:rFonts w:ascii="Trebuchet MS" w:hAnsi="Trebuchet MS"/>
          <w:iCs/>
          <w:szCs w:val="22"/>
        </w:rPr>
        <w:t xml:space="preserve"> een objectieve rechtvaardiging bestaat</w:t>
      </w:r>
      <w:r w:rsidRPr="00253631">
        <w:rPr>
          <w:rFonts w:ascii="Trebuchet MS" w:hAnsi="Trebuchet MS"/>
          <w:iCs/>
          <w:szCs w:val="22"/>
        </w:rPr>
        <w:t>.</w:t>
      </w:r>
      <w:r w:rsidR="005A54E8">
        <w:rPr>
          <w:rFonts w:ascii="Trebuchet MS" w:hAnsi="Trebuchet MS"/>
          <w:iCs/>
          <w:szCs w:val="22"/>
        </w:rPr>
        <w:t xml:space="preserve"> Daarbij n</w:t>
      </w:r>
      <w:r w:rsidR="001205C9">
        <w:rPr>
          <w:rFonts w:ascii="Trebuchet MS" w:hAnsi="Trebuchet MS"/>
          <w:iCs/>
          <w:szCs w:val="22"/>
        </w:rPr>
        <w:t>am</w:t>
      </w:r>
      <w:r w:rsidR="005A54E8">
        <w:rPr>
          <w:rFonts w:ascii="Trebuchet MS" w:hAnsi="Trebuchet MS"/>
          <w:iCs/>
          <w:szCs w:val="22"/>
        </w:rPr>
        <w:t xml:space="preserve"> de rechtbank o.a. mee dat niet gebleken is van redelijke alternatieven. Om die reden leidt het gebruik van etniciteit bij MTV controles </w:t>
      </w:r>
      <w:r w:rsidR="00357393">
        <w:rPr>
          <w:rFonts w:ascii="Trebuchet MS" w:hAnsi="Trebuchet MS"/>
          <w:iCs/>
          <w:szCs w:val="22"/>
        </w:rPr>
        <w:t xml:space="preserve">niet </w:t>
      </w:r>
      <w:r w:rsidR="008F663F">
        <w:rPr>
          <w:rFonts w:ascii="Trebuchet MS" w:hAnsi="Trebuchet MS"/>
          <w:iCs/>
          <w:szCs w:val="22"/>
        </w:rPr>
        <w:t xml:space="preserve">in </w:t>
      </w:r>
      <w:r w:rsidR="001205C9">
        <w:rPr>
          <w:rFonts w:ascii="Trebuchet MS" w:hAnsi="Trebuchet MS"/>
          <w:iCs/>
          <w:szCs w:val="22"/>
        </w:rPr>
        <w:t>algemene</w:t>
      </w:r>
      <w:r w:rsidR="008F663F">
        <w:rPr>
          <w:rFonts w:ascii="Trebuchet MS" w:hAnsi="Trebuchet MS"/>
          <w:iCs/>
          <w:szCs w:val="22"/>
        </w:rPr>
        <w:t xml:space="preserve"> zin</w:t>
      </w:r>
      <w:r w:rsidR="005A54E8">
        <w:rPr>
          <w:rFonts w:ascii="Trebuchet MS" w:hAnsi="Trebuchet MS"/>
          <w:iCs/>
          <w:szCs w:val="22"/>
        </w:rPr>
        <w:t xml:space="preserve"> tot etnisch profileren en</w:t>
      </w:r>
      <w:r w:rsidR="001205C9">
        <w:rPr>
          <w:rFonts w:ascii="Trebuchet MS" w:hAnsi="Trebuchet MS"/>
          <w:iCs/>
          <w:szCs w:val="22"/>
        </w:rPr>
        <w:t>/of</w:t>
      </w:r>
      <w:r w:rsidR="008F663F">
        <w:rPr>
          <w:rFonts w:ascii="Trebuchet MS" w:hAnsi="Trebuchet MS"/>
          <w:iCs/>
          <w:szCs w:val="22"/>
        </w:rPr>
        <w:t xml:space="preserve"> discriminatie.</w:t>
      </w:r>
    </w:p>
    <w:p w:rsidRPr="000C05F9" w:rsidR="00357393" w:rsidP="009B7555" w:rsidRDefault="00357393" w14:paraId="6B2553A0" w14:textId="649A1A20">
      <w:pPr>
        <w:pStyle w:val="Lijstalinea"/>
        <w:numPr>
          <w:ilvl w:val="0"/>
          <w:numId w:val="11"/>
        </w:numPr>
        <w:ind w:left="587"/>
        <w:rPr>
          <w:rFonts w:ascii="Trebuchet MS" w:hAnsi="Trebuchet MS"/>
          <w:b/>
          <w:iCs/>
          <w:szCs w:val="22"/>
        </w:rPr>
      </w:pPr>
      <w:r>
        <w:rPr>
          <w:rFonts w:ascii="Trebuchet MS" w:hAnsi="Trebuchet MS"/>
          <w:iCs/>
          <w:szCs w:val="22"/>
        </w:rPr>
        <w:t>Het voorgaande neemt niet weg – zo erken</w:t>
      </w:r>
      <w:r w:rsidR="00D33A92">
        <w:rPr>
          <w:rFonts w:ascii="Trebuchet MS" w:hAnsi="Trebuchet MS"/>
          <w:iCs/>
          <w:szCs w:val="22"/>
        </w:rPr>
        <w:t>t</w:t>
      </w:r>
      <w:r>
        <w:rPr>
          <w:rFonts w:ascii="Trebuchet MS" w:hAnsi="Trebuchet MS"/>
          <w:iCs/>
          <w:szCs w:val="22"/>
        </w:rPr>
        <w:t xml:space="preserve"> de rechtbank – dat</w:t>
      </w:r>
      <w:r w:rsidR="00D33A92">
        <w:rPr>
          <w:rFonts w:ascii="Trebuchet MS" w:hAnsi="Trebuchet MS"/>
          <w:iCs/>
          <w:szCs w:val="22"/>
        </w:rPr>
        <w:t xml:space="preserve"> </w:t>
      </w:r>
      <w:r w:rsidR="00A916BF">
        <w:rPr>
          <w:rFonts w:ascii="Trebuchet MS" w:hAnsi="Trebuchet MS"/>
          <w:iCs/>
          <w:szCs w:val="22"/>
        </w:rPr>
        <w:t>het gebruik van etniciteit bij MTV controles in</w:t>
      </w:r>
      <w:r>
        <w:rPr>
          <w:rFonts w:ascii="Trebuchet MS" w:hAnsi="Trebuchet MS"/>
          <w:iCs/>
          <w:szCs w:val="22"/>
        </w:rPr>
        <w:t xml:space="preserve"> individuele gevallen </w:t>
      </w:r>
      <w:r w:rsidR="008F663F">
        <w:rPr>
          <w:rFonts w:ascii="Trebuchet MS" w:hAnsi="Trebuchet MS"/>
          <w:iCs/>
          <w:szCs w:val="22"/>
        </w:rPr>
        <w:t xml:space="preserve">wél tot discriminatie kan leiden. Dit is het geval wanneer etniciteit in een concreet geval toch het enige of doorslaggevende criterium is en/of de KMar de selectiebeslissing achteraf niet kan </w:t>
      </w:r>
      <w:r w:rsidR="0042517A">
        <w:rPr>
          <w:rFonts w:ascii="Trebuchet MS" w:hAnsi="Trebuchet MS"/>
          <w:iCs/>
          <w:szCs w:val="22"/>
        </w:rPr>
        <w:t>uit</w:t>
      </w:r>
      <w:r w:rsidR="008F663F">
        <w:rPr>
          <w:rFonts w:ascii="Trebuchet MS" w:hAnsi="Trebuchet MS"/>
          <w:iCs/>
          <w:szCs w:val="22"/>
        </w:rPr>
        <w:t>leggen.</w:t>
      </w:r>
      <w:r w:rsidR="008F663F">
        <w:rPr>
          <w:rStyle w:val="Voetnootmarkering"/>
          <w:rFonts w:ascii="Trebuchet MS" w:hAnsi="Trebuchet MS"/>
          <w:iCs/>
          <w:szCs w:val="22"/>
        </w:rPr>
        <w:footnoteReference w:id="7"/>
      </w:r>
      <w:r w:rsidR="008F663F">
        <w:rPr>
          <w:rFonts w:ascii="Trebuchet MS" w:hAnsi="Trebuchet MS"/>
          <w:iCs/>
          <w:szCs w:val="22"/>
        </w:rPr>
        <w:t xml:space="preserve"> </w:t>
      </w:r>
    </w:p>
    <w:p w:rsidR="00357393" w:rsidP="000C05F9" w:rsidRDefault="00357393" w14:paraId="63A54785" w14:textId="56B5A942">
      <w:pPr>
        <w:rPr>
          <w:rFonts w:ascii="Trebuchet MS" w:hAnsi="Trebuchet MS"/>
          <w:b/>
          <w:iCs/>
          <w:szCs w:val="22"/>
        </w:rPr>
      </w:pPr>
    </w:p>
    <w:p w:rsidR="00357393" w:rsidP="00357393" w:rsidRDefault="00357393" w14:paraId="1E05A507" w14:textId="6841BE62">
      <w:pPr>
        <w:rPr>
          <w:rFonts w:ascii="Trebuchet MS" w:hAnsi="Trebuchet MS"/>
          <w:b/>
          <w:iCs/>
          <w:sz w:val="24"/>
          <w:szCs w:val="22"/>
        </w:rPr>
      </w:pPr>
      <w:r>
        <w:rPr>
          <w:rFonts w:ascii="Trebuchet MS" w:hAnsi="Trebuchet MS"/>
          <w:b/>
          <w:iCs/>
          <w:sz w:val="24"/>
          <w:szCs w:val="22"/>
        </w:rPr>
        <w:t>KMar uitspraak: consequenties</w:t>
      </w:r>
    </w:p>
    <w:p w:rsidRPr="00A25C7B" w:rsidR="00A25C7B" w:rsidP="00357393" w:rsidRDefault="00357393" w14:paraId="4C73B9B2" w14:textId="64ED545E">
      <w:pPr>
        <w:pStyle w:val="Lijstalinea"/>
        <w:numPr>
          <w:ilvl w:val="0"/>
          <w:numId w:val="11"/>
        </w:numPr>
        <w:rPr>
          <w:rFonts w:ascii="Trebuchet MS" w:hAnsi="Trebuchet MS"/>
          <w:b/>
          <w:iCs/>
          <w:sz w:val="24"/>
          <w:szCs w:val="22"/>
        </w:rPr>
      </w:pPr>
      <w:r w:rsidRPr="00357393">
        <w:rPr>
          <w:rFonts w:ascii="Trebuchet MS" w:hAnsi="Trebuchet MS"/>
          <w:iCs/>
          <w:szCs w:val="22"/>
        </w:rPr>
        <w:t>Het College benadrukt dat de uitspraak in de KMar zaak</w:t>
      </w:r>
      <w:r w:rsidRPr="00775FED">
        <w:rPr>
          <w:rFonts w:ascii="Trebuchet MS" w:hAnsi="Trebuchet MS"/>
          <w:b/>
          <w:bCs/>
          <w:iCs/>
          <w:szCs w:val="22"/>
        </w:rPr>
        <w:t xml:space="preserve"> </w:t>
      </w:r>
      <w:r w:rsidRPr="00A954E9">
        <w:rPr>
          <w:rFonts w:ascii="Trebuchet MS" w:hAnsi="Trebuchet MS"/>
          <w:b/>
          <w:bCs/>
          <w:iCs/>
          <w:szCs w:val="22"/>
        </w:rPr>
        <w:t>geen</w:t>
      </w:r>
      <w:r w:rsidRPr="00357393">
        <w:rPr>
          <w:rFonts w:ascii="Trebuchet MS" w:hAnsi="Trebuchet MS"/>
          <w:iCs/>
          <w:szCs w:val="22"/>
        </w:rPr>
        <w:t xml:space="preserve"> vrijbrief is voor </w:t>
      </w:r>
      <w:r w:rsidR="00FA78AB">
        <w:rPr>
          <w:rFonts w:ascii="Trebuchet MS" w:hAnsi="Trebuchet MS"/>
          <w:iCs/>
          <w:szCs w:val="22"/>
        </w:rPr>
        <w:t>etnisch profileren</w:t>
      </w:r>
      <w:r w:rsidRPr="00357393">
        <w:rPr>
          <w:rFonts w:ascii="Trebuchet MS" w:hAnsi="Trebuchet MS"/>
          <w:iCs/>
          <w:szCs w:val="22"/>
        </w:rPr>
        <w:t>. De uitspraak is zeer contextgebonden</w:t>
      </w:r>
      <w:r w:rsidR="008412AC">
        <w:rPr>
          <w:rFonts w:ascii="Trebuchet MS" w:hAnsi="Trebuchet MS"/>
          <w:iCs/>
          <w:szCs w:val="22"/>
        </w:rPr>
        <w:t xml:space="preserve">. </w:t>
      </w:r>
      <w:r w:rsidR="006D248F">
        <w:rPr>
          <w:rFonts w:ascii="Trebuchet MS" w:hAnsi="Trebuchet MS"/>
          <w:iCs/>
          <w:szCs w:val="22"/>
        </w:rPr>
        <w:t>J</w:t>
      </w:r>
      <w:r w:rsidR="008412AC">
        <w:rPr>
          <w:rFonts w:ascii="Trebuchet MS" w:hAnsi="Trebuchet MS"/>
          <w:iCs/>
          <w:szCs w:val="22"/>
        </w:rPr>
        <w:t>uridisch gezien</w:t>
      </w:r>
      <w:r w:rsidR="006D248F">
        <w:rPr>
          <w:rFonts w:ascii="Trebuchet MS" w:hAnsi="Trebuchet MS"/>
          <w:iCs/>
          <w:szCs w:val="22"/>
        </w:rPr>
        <w:t xml:space="preserve"> is </w:t>
      </w:r>
      <w:r w:rsidR="00775FED">
        <w:rPr>
          <w:rFonts w:ascii="Trebuchet MS" w:hAnsi="Trebuchet MS"/>
          <w:iCs/>
          <w:szCs w:val="22"/>
        </w:rPr>
        <w:t xml:space="preserve">deze </w:t>
      </w:r>
      <w:r w:rsidR="008412AC">
        <w:rPr>
          <w:rFonts w:ascii="Trebuchet MS" w:hAnsi="Trebuchet MS"/>
          <w:iCs/>
          <w:szCs w:val="22"/>
        </w:rPr>
        <w:t>uitsluitend van toepassing op vreemdelingentoezicht/controle op illegaal verblijf, en dus niet op andere situaties (zoals politiecontroles).</w:t>
      </w:r>
      <w:r w:rsidRPr="00357393">
        <w:rPr>
          <w:rFonts w:ascii="Trebuchet MS" w:hAnsi="Trebuchet MS"/>
          <w:iCs/>
          <w:szCs w:val="22"/>
        </w:rPr>
        <w:t xml:space="preserve"> </w:t>
      </w:r>
      <w:r w:rsidR="00CD78FD">
        <w:rPr>
          <w:rFonts w:ascii="Trebuchet MS" w:hAnsi="Trebuchet MS"/>
          <w:iCs/>
          <w:szCs w:val="22"/>
        </w:rPr>
        <w:t xml:space="preserve">Belangrijke overweging is dat er volgens de rechtbank </w:t>
      </w:r>
      <w:r w:rsidR="00A25C7B">
        <w:rPr>
          <w:rFonts w:ascii="Trebuchet MS" w:hAnsi="Trebuchet MS"/>
          <w:iCs/>
          <w:szCs w:val="22"/>
        </w:rPr>
        <w:t xml:space="preserve">in dit geval </w:t>
      </w:r>
      <w:r w:rsidR="00CD78FD">
        <w:rPr>
          <w:rFonts w:ascii="Trebuchet MS" w:hAnsi="Trebuchet MS"/>
          <w:iCs/>
          <w:szCs w:val="22"/>
        </w:rPr>
        <w:t>een feitelijk verband is tussen etniciteit en nationaliteit, en daarmee de kans op het niet beschikken over een geldige verblijfstitel</w:t>
      </w:r>
      <w:r w:rsidR="00A25C7B">
        <w:rPr>
          <w:rFonts w:ascii="Trebuchet MS" w:hAnsi="Trebuchet MS"/>
          <w:iCs/>
          <w:szCs w:val="22"/>
        </w:rPr>
        <w:t xml:space="preserve"> – </w:t>
      </w:r>
      <w:r w:rsidR="006D248F">
        <w:rPr>
          <w:rFonts w:ascii="Trebuchet MS" w:hAnsi="Trebuchet MS"/>
          <w:iCs/>
          <w:szCs w:val="22"/>
        </w:rPr>
        <w:t xml:space="preserve">ook </w:t>
      </w:r>
      <w:r w:rsidR="00A25C7B">
        <w:rPr>
          <w:rFonts w:ascii="Trebuchet MS" w:hAnsi="Trebuchet MS"/>
          <w:iCs/>
          <w:szCs w:val="22"/>
        </w:rPr>
        <w:t>al is d</w:t>
      </w:r>
      <w:r w:rsidR="006D248F">
        <w:rPr>
          <w:rFonts w:ascii="Trebuchet MS" w:hAnsi="Trebuchet MS"/>
          <w:iCs/>
          <w:szCs w:val="22"/>
        </w:rPr>
        <w:t>a</w:t>
      </w:r>
      <w:r w:rsidR="00A25C7B">
        <w:rPr>
          <w:rFonts w:ascii="Trebuchet MS" w:hAnsi="Trebuchet MS"/>
          <w:iCs/>
          <w:szCs w:val="22"/>
        </w:rPr>
        <w:t xml:space="preserve">t verband </w:t>
      </w:r>
      <w:r w:rsidRPr="00A25C7B" w:rsidR="00A25C7B">
        <w:rPr>
          <w:rFonts w:ascii="Trebuchet MS" w:hAnsi="Trebuchet MS"/>
          <w:iCs/>
          <w:szCs w:val="22"/>
        </w:rPr>
        <w:t xml:space="preserve">niet absoluut </w:t>
      </w:r>
      <w:r w:rsidR="00A25C7B">
        <w:rPr>
          <w:rFonts w:ascii="Trebuchet MS" w:hAnsi="Trebuchet MS"/>
          <w:iCs/>
          <w:szCs w:val="22"/>
        </w:rPr>
        <w:t xml:space="preserve">maar </w:t>
      </w:r>
      <w:r w:rsidRPr="00A25C7B" w:rsidR="00A25C7B">
        <w:rPr>
          <w:rFonts w:ascii="Trebuchet MS" w:hAnsi="Trebuchet MS"/>
          <w:iCs/>
          <w:szCs w:val="22"/>
        </w:rPr>
        <w:t>relatief</w:t>
      </w:r>
      <w:r w:rsidR="00CD78FD">
        <w:rPr>
          <w:rFonts w:ascii="Trebuchet MS" w:hAnsi="Trebuchet MS"/>
          <w:iCs/>
          <w:szCs w:val="22"/>
        </w:rPr>
        <w:t>. De</w:t>
      </w:r>
      <w:r w:rsidR="00A25C7B">
        <w:rPr>
          <w:rFonts w:ascii="Trebuchet MS" w:hAnsi="Trebuchet MS"/>
          <w:iCs/>
          <w:szCs w:val="22"/>
        </w:rPr>
        <w:t>ze</w:t>
      </w:r>
      <w:r w:rsidR="00CD78FD">
        <w:rPr>
          <w:rFonts w:ascii="Trebuchet MS" w:hAnsi="Trebuchet MS"/>
          <w:iCs/>
          <w:szCs w:val="22"/>
        </w:rPr>
        <w:t xml:space="preserve"> overweging is </w:t>
      </w:r>
      <w:r w:rsidR="00775FED">
        <w:rPr>
          <w:rFonts w:ascii="Trebuchet MS" w:hAnsi="Trebuchet MS"/>
          <w:iCs/>
          <w:szCs w:val="22"/>
        </w:rPr>
        <w:t xml:space="preserve">beslist </w:t>
      </w:r>
      <w:r w:rsidR="00CD78FD">
        <w:rPr>
          <w:rFonts w:ascii="Trebuchet MS" w:hAnsi="Trebuchet MS"/>
          <w:iCs/>
          <w:szCs w:val="22"/>
        </w:rPr>
        <w:t xml:space="preserve">niet toepasbaar buiten het vreemdelingentoezicht. </w:t>
      </w:r>
    </w:p>
    <w:p w:rsidRPr="00063D41" w:rsidR="00357393" w:rsidP="00063D41" w:rsidRDefault="00063D41" w14:paraId="5998C732" w14:textId="6B7D0BF2">
      <w:pPr>
        <w:pStyle w:val="Lijstalinea"/>
        <w:numPr>
          <w:ilvl w:val="0"/>
          <w:numId w:val="11"/>
        </w:numPr>
        <w:rPr>
          <w:rFonts w:ascii="Trebuchet MS" w:hAnsi="Trebuchet MS"/>
          <w:b/>
          <w:iCs/>
          <w:sz w:val="24"/>
          <w:szCs w:val="22"/>
        </w:rPr>
      </w:pPr>
      <w:r w:rsidRPr="00063D41">
        <w:rPr>
          <w:rFonts w:ascii="Trebuchet MS" w:hAnsi="Trebuchet MS"/>
          <w:iCs/>
          <w:szCs w:val="22"/>
        </w:rPr>
        <w:t xml:space="preserve">De uitspraak bevestigt in die zin dat er </w:t>
      </w:r>
      <w:r w:rsidRPr="00063D41">
        <w:rPr>
          <w:rFonts w:ascii="Trebuchet MS" w:hAnsi="Trebuchet MS"/>
          <w:i/>
          <w:iCs/>
          <w:szCs w:val="22"/>
        </w:rPr>
        <w:t>altijd</w:t>
      </w:r>
      <w:r w:rsidRPr="00063D41">
        <w:rPr>
          <w:rFonts w:ascii="Trebuchet MS" w:hAnsi="Trebuchet MS"/>
          <w:iCs/>
          <w:szCs w:val="22"/>
        </w:rPr>
        <w:t xml:space="preserve"> zeer zwaarwegende redenen moeten bestaan voor het gebruik van etniciteit als selectiecriterium. </w:t>
      </w:r>
      <w:r w:rsidR="00E85D4C">
        <w:rPr>
          <w:rFonts w:ascii="Trebuchet MS" w:hAnsi="Trebuchet MS"/>
          <w:iCs/>
          <w:szCs w:val="22"/>
        </w:rPr>
        <w:t>Ook d</w:t>
      </w:r>
      <w:r w:rsidRPr="00063D41">
        <w:rPr>
          <w:rFonts w:ascii="Trebuchet MS" w:hAnsi="Trebuchet MS"/>
          <w:iCs/>
          <w:szCs w:val="22"/>
        </w:rPr>
        <w:t xml:space="preserve">e enkele aanwezigheid van andere selectiecriteria maakt dus nog niet dat het gebruik van etniciteit geen probleem is. </w:t>
      </w:r>
      <w:r>
        <w:rPr>
          <w:rFonts w:ascii="Trebuchet MS" w:hAnsi="Trebuchet MS"/>
          <w:iCs/>
          <w:szCs w:val="22"/>
        </w:rPr>
        <w:t xml:space="preserve">Het College vraagt zich wel af of de noodzakelijkheids- en proportionaliteitstoets niet strenger hadden moeten worden toegepast, waarover hieronder meer. </w:t>
      </w:r>
    </w:p>
    <w:p w:rsidR="00A916BF" w:rsidP="00110DC1" w:rsidRDefault="00A916BF" w14:paraId="1B8EE081" w14:textId="77777777">
      <w:pPr>
        <w:rPr>
          <w:rFonts w:ascii="Trebuchet MS" w:hAnsi="Trebuchet MS"/>
          <w:b/>
          <w:iCs/>
          <w:szCs w:val="22"/>
        </w:rPr>
      </w:pPr>
    </w:p>
    <w:p w:rsidR="00A916BF" w:rsidP="00A916BF" w:rsidRDefault="00DD60E0" w14:paraId="5759DA72" w14:textId="77777777">
      <w:pPr>
        <w:rPr>
          <w:rFonts w:ascii="Trebuchet MS" w:hAnsi="Trebuchet MS"/>
          <w:b/>
          <w:iCs/>
          <w:szCs w:val="22"/>
        </w:rPr>
      </w:pPr>
      <w:r>
        <w:rPr>
          <w:rFonts w:ascii="Trebuchet MS" w:hAnsi="Trebuchet MS"/>
          <w:b/>
          <w:iCs/>
          <w:szCs w:val="22"/>
        </w:rPr>
        <w:t xml:space="preserve">Wat doet het College? </w:t>
      </w:r>
    </w:p>
    <w:p w:rsidRPr="00A25C7B" w:rsidR="00A25C7B" w:rsidP="00A25C7B" w:rsidRDefault="00A25C7B" w14:paraId="34729292" w14:textId="77777777">
      <w:pPr>
        <w:pStyle w:val="Lijstalinea"/>
        <w:numPr>
          <w:ilvl w:val="0"/>
          <w:numId w:val="11"/>
        </w:numPr>
        <w:ind w:left="643"/>
        <w:rPr>
          <w:rFonts w:ascii="Trebuchet MS" w:hAnsi="Trebuchet MS"/>
          <w:b/>
          <w:iCs/>
          <w:szCs w:val="22"/>
        </w:rPr>
      </w:pPr>
      <w:r w:rsidRPr="00A25C7B">
        <w:rPr>
          <w:rFonts w:ascii="Trebuchet MS" w:hAnsi="Trebuchet MS"/>
          <w:bCs/>
          <w:iCs/>
          <w:szCs w:val="22"/>
        </w:rPr>
        <w:t xml:space="preserve">Eerder dit jaar bracht het College een </w:t>
      </w:r>
      <w:r w:rsidRPr="00A25C7B">
        <w:rPr>
          <w:rFonts w:ascii="Trebuchet MS" w:hAnsi="Trebuchet MS"/>
          <w:bCs/>
          <w:i/>
          <w:szCs w:val="22"/>
        </w:rPr>
        <w:t>position paper</w:t>
      </w:r>
      <w:r w:rsidRPr="00A25C7B">
        <w:rPr>
          <w:rFonts w:ascii="Trebuchet MS" w:hAnsi="Trebuchet MS"/>
          <w:bCs/>
          <w:iCs/>
          <w:szCs w:val="22"/>
        </w:rPr>
        <w:t xml:space="preserve"> uit waarin het aangeeft dat er meer juridische duidelijkheid moet komen over de rol die etnische kenmerken mogen spelen binnen risicoprofielen</w:t>
      </w:r>
      <w:r>
        <w:rPr>
          <w:rFonts w:ascii="Trebuchet MS" w:hAnsi="Trebuchet MS"/>
          <w:bCs/>
          <w:iCs/>
          <w:szCs w:val="22"/>
        </w:rPr>
        <w:t>.</w:t>
      </w:r>
      <w:r w:rsidRPr="00A25C7B">
        <w:rPr>
          <w:rFonts w:ascii="Trebuchet MS" w:hAnsi="Trebuchet MS"/>
          <w:bCs/>
          <w:iCs/>
          <w:szCs w:val="22"/>
        </w:rPr>
        <w:t xml:space="preserve"> Die duidelijkheid is er met deze uitspraak nog niet. Zo is nog altijd onduidelijk wanneer etniciteit nou precies een doorslaggevend criterium is, en hoe dat vastgesteld moet worden. </w:t>
      </w:r>
    </w:p>
    <w:p w:rsidRPr="00A25C7B" w:rsidR="00A25C7B" w:rsidP="00A25C7B" w:rsidRDefault="00A954E9" w14:paraId="5D09D61C" w14:textId="096AAD95">
      <w:pPr>
        <w:pStyle w:val="Lijstalinea"/>
        <w:numPr>
          <w:ilvl w:val="0"/>
          <w:numId w:val="11"/>
        </w:numPr>
        <w:ind w:left="643"/>
        <w:rPr>
          <w:rFonts w:ascii="Trebuchet MS" w:hAnsi="Trebuchet MS"/>
          <w:b/>
          <w:iCs/>
          <w:szCs w:val="22"/>
        </w:rPr>
      </w:pPr>
      <w:r>
        <w:rPr>
          <w:rFonts w:ascii="Trebuchet MS" w:hAnsi="Trebuchet MS"/>
          <w:bCs/>
          <w:iCs/>
          <w:szCs w:val="22"/>
        </w:rPr>
        <w:t xml:space="preserve">Ook </w:t>
      </w:r>
      <w:r w:rsidRPr="00A25C7B" w:rsidR="00A25C7B">
        <w:rPr>
          <w:rFonts w:ascii="Trebuchet MS" w:hAnsi="Trebuchet MS"/>
          <w:bCs/>
          <w:iCs/>
          <w:szCs w:val="22"/>
        </w:rPr>
        <w:t>uit de</w:t>
      </w:r>
      <w:r w:rsidR="00A25C7B">
        <w:rPr>
          <w:rFonts w:ascii="Trebuchet MS" w:hAnsi="Trebuchet MS"/>
          <w:bCs/>
          <w:iCs/>
          <w:szCs w:val="22"/>
        </w:rPr>
        <w:t xml:space="preserve"> KMar</w:t>
      </w:r>
      <w:r w:rsidR="00775FED">
        <w:rPr>
          <w:rFonts w:ascii="Trebuchet MS" w:hAnsi="Trebuchet MS"/>
          <w:bCs/>
          <w:iCs/>
          <w:szCs w:val="22"/>
        </w:rPr>
        <w:t>-</w:t>
      </w:r>
      <w:r w:rsidRPr="00A25C7B" w:rsidR="00A25C7B">
        <w:rPr>
          <w:rFonts w:ascii="Trebuchet MS" w:hAnsi="Trebuchet MS"/>
          <w:bCs/>
          <w:iCs/>
          <w:szCs w:val="22"/>
        </w:rPr>
        <w:t xml:space="preserve">uitspraak </w:t>
      </w:r>
      <w:r w:rsidRPr="00A25C7B" w:rsidR="00986F52">
        <w:rPr>
          <w:rFonts w:ascii="Trebuchet MS" w:hAnsi="Trebuchet MS"/>
          <w:bCs/>
          <w:iCs/>
          <w:szCs w:val="22"/>
        </w:rPr>
        <w:t xml:space="preserve">wordt </w:t>
      </w:r>
      <w:r w:rsidR="00986F52">
        <w:rPr>
          <w:rFonts w:ascii="Trebuchet MS" w:hAnsi="Trebuchet MS"/>
          <w:bCs/>
          <w:iCs/>
          <w:szCs w:val="22"/>
        </w:rPr>
        <w:t xml:space="preserve">wat het College betreft </w:t>
      </w:r>
      <w:r w:rsidRPr="00A25C7B" w:rsidR="00A25C7B">
        <w:rPr>
          <w:rFonts w:ascii="Trebuchet MS" w:hAnsi="Trebuchet MS"/>
          <w:bCs/>
          <w:iCs/>
          <w:szCs w:val="22"/>
        </w:rPr>
        <w:t>niet duidelijk hoe de rechtbank de in het geding zijnde belangen tegen elkaar afweegt.</w:t>
      </w:r>
      <w:r>
        <w:rPr>
          <w:rFonts w:ascii="Trebuchet MS" w:hAnsi="Trebuchet MS"/>
          <w:bCs/>
          <w:iCs/>
          <w:szCs w:val="22"/>
        </w:rPr>
        <w:t xml:space="preserve"> Omdat het over etniciteit gaat, moet de </w:t>
      </w:r>
      <w:r w:rsidR="006D248F">
        <w:rPr>
          <w:rFonts w:ascii="Trebuchet MS" w:hAnsi="Trebuchet MS"/>
          <w:bCs/>
          <w:iCs/>
          <w:szCs w:val="22"/>
        </w:rPr>
        <w:t>zwaarst denkbare</w:t>
      </w:r>
      <w:r>
        <w:rPr>
          <w:rFonts w:ascii="Trebuchet MS" w:hAnsi="Trebuchet MS"/>
          <w:bCs/>
          <w:iCs/>
          <w:szCs w:val="22"/>
        </w:rPr>
        <w:t xml:space="preserve"> rechtvaardigingstoets worden toegepast. Dit gaat dus verder dan </w:t>
      </w:r>
      <w:r w:rsidR="006D248F">
        <w:rPr>
          <w:rFonts w:ascii="Trebuchet MS" w:hAnsi="Trebuchet MS"/>
          <w:bCs/>
          <w:iCs/>
          <w:szCs w:val="22"/>
        </w:rPr>
        <w:t xml:space="preserve">de vraag of er naast etniciteit </w:t>
      </w:r>
      <w:r>
        <w:rPr>
          <w:rFonts w:ascii="Trebuchet MS" w:hAnsi="Trebuchet MS"/>
          <w:bCs/>
          <w:iCs/>
          <w:szCs w:val="22"/>
        </w:rPr>
        <w:t xml:space="preserve">andere </w:t>
      </w:r>
      <w:r w:rsidR="000815BA">
        <w:rPr>
          <w:rFonts w:ascii="Trebuchet MS" w:hAnsi="Trebuchet MS"/>
          <w:bCs/>
          <w:iCs/>
          <w:szCs w:val="22"/>
        </w:rPr>
        <w:t>criteria deel uitmaakten van het risicoprofiel</w:t>
      </w:r>
      <w:r>
        <w:rPr>
          <w:rFonts w:ascii="Trebuchet MS" w:hAnsi="Trebuchet MS"/>
          <w:bCs/>
          <w:iCs/>
          <w:szCs w:val="22"/>
        </w:rPr>
        <w:t>. Het bewijs dat gebruik van etnicite</w:t>
      </w:r>
      <w:r w:rsidR="00986F52">
        <w:rPr>
          <w:rFonts w:ascii="Trebuchet MS" w:hAnsi="Trebuchet MS"/>
          <w:bCs/>
          <w:iCs/>
          <w:szCs w:val="22"/>
        </w:rPr>
        <w:t>i</w:t>
      </w:r>
      <w:r>
        <w:rPr>
          <w:rFonts w:ascii="Trebuchet MS" w:hAnsi="Trebuchet MS"/>
          <w:bCs/>
          <w:iCs/>
          <w:szCs w:val="22"/>
        </w:rPr>
        <w:t xml:space="preserve">t praktisch noodzakelijk en effectief is moet </w:t>
      </w:r>
      <w:r w:rsidR="006D248F">
        <w:rPr>
          <w:rFonts w:ascii="Trebuchet MS" w:hAnsi="Trebuchet MS"/>
          <w:bCs/>
          <w:iCs/>
          <w:szCs w:val="22"/>
        </w:rPr>
        <w:t xml:space="preserve">vrijwel </w:t>
      </w:r>
      <w:r>
        <w:rPr>
          <w:rFonts w:ascii="Trebuchet MS" w:hAnsi="Trebuchet MS"/>
          <w:bCs/>
          <w:iCs/>
          <w:szCs w:val="22"/>
        </w:rPr>
        <w:t xml:space="preserve">onomstotelijk zijn. Vervolgens zou de rechtbank beter moeten onderbouwen </w:t>
      </w:r>
      <w:r w:rsidR="004C5933">
        <w:rPr>
          <w:rFonts w:ascii="Trebuchet MS" w:hAnsi="Trebuchet MS"/>
          <w:bCs/>
          <w:iCs/>
          <w:szCs w:val="22"/>
        </w:rPr>
        <w:t xml:space="preserve">of, en zo ja </w:t>
      </w:r>
      <w:r>
        <w:rPr>
          <w:rFonts w:ascii="Trebuchet MS" w:hAnsi="Trebuchet MS"/>
          <w:bCs/>
          <w:iCs/>
          <w:szCs w:val="22"/>
        </w:rPr>
        <w:t xml:space="preserve">waarom </w:t>
      </w:r>
      <w:r w:rsidRPr="00A25C7B" w:rsidR="00A25C7B">
        <w:rPr>
          <w:rFonts w:ascii="Trebuchet MS" w:hAnsi="Trebuchet MS"/>
          <w:bCs/>
          <w:iCs/>
          <w:szCs w:val="22"/>
        </w:rPr>
        <w:t xml:space="preserve">de </w:t>
      </w:r>
      <w:r w:rsidR="00A25C7B">
        <w:rPr>
          <w:rFonts w:ascii="Trebuchet MS" w:hAnsi="Trebuchet MS"/>
          <w:bCs/>
          <w:iCs/>
          <w:szCs w:val="22"/>
        </w:rPr>
        <w:t xml:space="preserve">nuttige </w:t>
      </w:r>
      <w:r w:rsidRPr="00A25C7B" w:rsidR="00A25C7B">
        <w:rPr>
          <w:rFonts w:ascii="Trebuchet MS" w:hAnsi="Trebuchet MS"/>
          <w:bCs/>
          <w:iCs/>
          <w:szCs w:val="22"/>
        </w:rPr>
        <w:t xml:space="preserve">effecten </w:t>
      </w:r>
      <w:r>
        <w:rPr>
          <w:rFonts w:ascii="Trebuchet MS" w:hAnsi="Trebuchet MS"/>
          <w:bCs/>
          <w:iCs/>
          <w:szCs w:val="22"/>
        </w:rPr>
        <w:t xml:space="preserve">die </w:t>
      </w:r>
      <w:r w:rsidRPr="00A25C7B" w:rsidR="00A25C7B">
        <w:rPr>
          <w:rFonts w:ascii="Trebuchet MS" w:hAnsi="Trebuchet MS"/>
          <w:bCs/>
          <w:iCs/>
          <w:szCs w:val="22"/>
        </w:rPr>
        <w:t xml:space="preserve">de KMar </w:t>
      </w:r>
      <w:r>
        <w:rPr>
          <w:rFonts w:ascii="Trebuchet MS" w:hAnsi="Trebuchet MS"/>
          <w:bCs/>
          <w:iCs/>
          <w:szCs w:val="22"/>
        </w:rPr>
        <w:t xml:space="preserve">ziet echt </w:t>
      </w:r>
      <w:r w:rsidRPr="00775FED" w:rsidR="00A25C7B">
        <w:rPr>
          <w:rFonts w:ascii="Trebuchet MS" w:hAnsi="Trebuchet MS"/>
          <w:bCs/>
          <w:i/>
          <w:szCs w:val="22"/>
        </w:rPr>
        <w:t>op</w:t>
      </w:r>
      <w:r w:rsidRPr="00775FED">
        <w:rPr>
          <w:rFonts w:ascii="Trebuchet MS" w:hAnsi="Trebuchet MS"/>
          <w:bCs/>
          <w:i/>
          <w:szCs w:val="22"/>
        </w:rPr>
        <w:t>wegen</w:t>
      </w:r>
      <w:r w:rsidR="00A25C7B">
        <w:rPr>
          <w:rFonts w:ascii="Trebuchet MS" w:hAnsi="Trebuchet MS"/>
          <w:bCs/>
          <w:iCs/>
          <w:szCs w:val="22"/>
        </w:rPr>
        <w:t xml:space="preserve"> </w:t>
      </w:r>
      <w:r w:rsidRPr="00A25C7B" w:rsidR="00A25C7B">
        <w:rPr>
          <w:rFonts w:ascii="Trebuchet MS" w:hAnsi="Trebuchet MS"/>
          <w:bCs/>
          <w:iCs/>
          <w:szCs w:val="22"/>
        </w:rPr>
        <w:t xml:space="preserve">tegen de zeer negatieve effecten </w:t>
      </w:r>
      <w:r w:rsidR="00A25C7B">
        <w:rPr>
          <w:rFonts w:ascii="Trebuchet MS" w:hAnsi="Trebuchet MS"/>
          <w:bCs/>
          <w:iCs/>
          <w:szCs w:val="22"/>
        </w:rPr>
        <w:t>van de</w:t>
      </w:r>
      <w:r w:rsidR="00063D41">
        <w:rPr>
          <w:rFonts w:ascii="Trebuchet MS" w:hAnsi="Trebuchet MS"/>
          <w:bCs/>
          <w:iCs/>
          <w:szCs w:val="22"/>
        </w:rPr>
        <w:t>ze</w:t>
      </w:r>
      <w:r w:rsidR="00A25C7B">
        <w:rPr>
          <w:rFonts w:ascii="Trebuchet MS" w:hAnsi="Trebuchet MS"/>
          <w:bCs/>
          <w:iCs/>
          <w:szCs w:val="22"/>
        </w:rPr>
        <w:t xml:space="preserve"> </w:t>
      </w:r>
      <w:r w:rsidRPr="00A25C7B" w:rsidR="00A25C7B">
        <w:rPr>
          <w:rFonts w:ascii="Trebuchet MS" w:hAnsi="Trebuchet MS"/>
          <w:bCs/>
          <w:iCs/>
          <w:szCs w:val="22"/>
        </w:rPr>
        <w:t xml:space="preserve">werkwijze </w:t>
      </w:r>
      <w:r w:rsidR="00A25C7B">
        <w:rPr>
          <w:rFonts w:ascii="Trebuchet MS" w:hAnsi="Trebuchet MS"/>
          <w:bCs/>
          <w:iCs/>
          <w:szCs w:val="22"/>
        </w:rPr>
        <w:t xml:space="preserve">voor </w:t>
      </w:r>
      <w:r w:rsidRPr="00A25C7B" w:rsidR="00A25C7B">
        <w:rPr>
          <w:rFonts w:ascii="Trebuchet MS" w:hAnsi="Trebuchet MS"/>
          <w:bCs/>
          <w:iCs/>
          <w:szCs w:val="22"/>
        </w:rPr>
        <w:t>betrokkenen</w:t>
      </w:r>
      <w:r>
        <w:rPr>
          <w:rFonts w:ascii="Trebuchet MS" w:hAnsi="Trebuchet MS"/>
          <w:bCs/>
          <w:iCs/>
          <w:szCs w:val="22"/>
        </w:rPr>
        <w:t>.</w:t>
      </w:r>
      <w:r w:rsidRPr="00A25C7B" w:rsidR="00A25C7B">
        <w:rPr>
          <w:rFonts w:ascii="Trebuchet MS" w:hAnsi="Trebuchet MS"/>
          <w:bCs/>
          <w:iCs/>
          <w:szCs w:val="22"/>
        </w:rPr>
        <w:t xml:space="preserve"> </w:t>
      </w:r>
    </w:p>
    <w:p w:rsidRPr="00A916BF" w:rsidR="001130CD" w:rsidP="00A916BF" w:rsidRDefault="00A916BF" w14:paraId="5AE6AA42" w14:textId="3F05D003">
      <w:pPr>
        <w:pStyle w:val="Lijstalinea"/>
        <w:numPr>
          <w:ilvl w:val="0"/>
          <w:numId w:val="11"/>
        </w:numPr>
        <w:ind w:left="643"/>
        <w:rPr>
          <w:rFonts w:ascii="Trebuchet MS" w:hAnsi="Trebuchet MS"/>
          <w:b/>
          <w:iCs/>
          <w:szCs w:val="22"/>
        </w:rPr>
      </w:pPr>
      <w:r w:rsidRPr="00A916BF">
        <w:rPr>
          <w:rFonts w:ascii="Trebuchet MS" w:hAnsi="Trebuchet MS"/>
          <w:bCs/>
          <w:szCs w:val="22"/>
        </w:rPr>
        <w:t>Begin 2021 is het</w:t>
      </w:r>
      <w:r>
        <w:rPr>
          <w:rFonts w:ascii="Trebuchet MS" w:hAnsi="Trebuchet MS"/>
          <w:bCs/>
          <w:szCs w:val="22"/>
        </w:rPr>
        <w:t xml:space="preserve"> College gestart met het project Institutioneel Racisme. Het doel van dit project is om </w:t>
      </w:r>
      <w:r w:rsidRPr="00A916BF">
        <w:rPr>
          <w:rFonts w:ascii="Trebuchet MS" w:hAnsi="Trebuchet MS"/>
          <w:bCs/>
          <w:szCs w:val="22"/>
        </w:rPr>
        <w:t xml:space="preserve">binnen </w:t>
      </w:r>
      <w:r w:rsidR="004C5313">
        <w:rPr>
          <w:rFonts w:ascii="Trebuchet MS" w:hAnsi="Trebuchet MS"/>
          <w:bCs/>
          <w:szCs w:val="22"/>
        </w:rPr>
        <w:t>de overheid</w:t>
      </w:r>
      <w:r w:rsidRPr="00A916BF">
        <w:rPr>
          <w:rFonts w:ascii="Trebuchet MS" w:hAnsi="Trebuchet MS"/>
          <w:bCs/>
          <w:szCs w:val="22"/>
        </w:rPr>
        <w:t xml:space="preserve"> de aandacht te vergroten voor het </w:t>
      </w:r>
      <w:r w:rsidRPr="00A916BF">
        <w:rPr>
          <w:rFonts w:ascii="Trebuchet MS" w:hAnsi="Trebuchet MS"/>
          <w:bCs/>
          <w:szCs w:val="22"/>
        </w:rPr>
        <w:lastRenderedPageBreak/>
        <w:t xml:space="preserve">tegengaan van werkwijzen, gedrag en handelen die (kunnen) leiden tot discriminatie op grond van </w:t>
      </w:r>
      <w:r>
        <w:rPr>
          <w:rFonts w:ascii="Trebuchet MS" w:hAnsi="Trebuchet MS"/>
          <w:bCs/>
          <w:szCs w:val="22"/>
        </w:rPr>
        <w:t xml:space="preserve">ras en etniciteit. Eind dit jaar publiceert het College een juridisch toetsingskader </w:t>
      </w:r>
      <w:r w:rsidR="00D542DA">
        <w:rPr>
          <w:rFonts w:ascii="Trebuchet MS" w:hAnsi="Trebuchet MS"/>
          <w:bCs/>
          <w:szCs w:val="22"/>
        </w:rPr>
        <w:t xml:space="preserve">over het gebruik van </w:t>
      </w:r>
      <w:r w:rsidR="003D63E9">
        <w:rPr>
          <w:rFonts w:ascii="Trebuchet MS" w:hAnsi="Trebuchet MS"/>
          <w:bCs/>
          <w:szCs w:val="22"/>
        </w:rPr>
        <w:t>etniciteit, afkomst</w:t>
      </w:r>
      <w:r w:rsidR="00D542DA">
        <w:rPr>
          <w:rFonts w:ascii="Trebuchet MS" w:hAnsi="Trebuchet MS"/>
          <w:bCs/>
          <w:szCs w:val="22"/>
        </w:rPr>
        <w:t xml:space="preserve"> en nationaliteit binnen risicoprofielen. Dit toetsingskader helpt ambtenaren om te beoordelen of een </w:t>
      </w:r>
      <w:r w:rsidR="00E57C38">
        <w:rPr>
          <w:rFonts w:ascii="Trebuchet MS" w:hAnsi="Trebuchet MS"/>
          <w:bCs/>
          <w:szCs w:val="22"/>
        </w:rPr>
        <w:t xml:space="preserve">risicoprofiel binnen de grenzen van het discriminatieverbod blijft. </w:t>
      </w:r>
      <w:r w:rsidR="00D542DA">
        <w:rPr>
          <w:rFonts w:ascii="Trebuchet MS" w:hAnsi="Trebuchet MS"/>
          <w:bCs/>
          <w:szCs w:val="22"/>
        </w:rPr>
        <w:t xml:space="preserve"> </w:t>
      </w:r>
    </w:p>
    <w:sectPr w:rsidRPr="00A916BF" w:rsidR="001130CD" w:rsidSect="00EF4A27">
      <w:headerReference w:type="default" r:id="rId9"/>
      <w:footerReference w:type="default" r:id="rId10"/>
      <w:type w:val="continuous"/>
      <w:pgSz w:w="11906" w:h="16838" w:code="9"/>
      <w:pgMar w:top="1418" w:right="1418" w:bottom="1418" w:left="1418" w:header="708" w:footer="708" w:gutter="0"/>
      <w:pgNumType w:start="0"/>
      <w:cols w:space="708"/>
      <w:formProt w:val="0"/>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60564" w14:textId="77777777" w:rsidR="001130CD" w:rsidRDefault="001130CD">
      <w:r>
        <w:separator/>
      </w:r>
    </w:p>
  </w:endnote>
  <w:endnote w:type="continuationSeparator" w:id="0">
    <w:p w14:paraId="3E9389C4" w14:textId="77777777" w:rsidR="001130CD" w:rsidRDefault="0011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eSansOffice">
    <w:altName w:val="Malgun Gothic"/>
    <w:charset w:val="00"/>
    <w:family w:val="swiss"/>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7189" w14:textId="77777777" w:rsidR="00EF4A27" w:rsidRDefault="00EF4A27">
    <w:pPr>
      <w:pStyle w:val="Voettekst"/>
      <w:jc w:val="right"/>
    </w:pPr>
    <w:r>
      <w:fldChar w:fldCharType="begin"/>
    </w:r>
    <w:r>
      <w:instrText>PAGE   \* MERGEFORMAT</w:instrText>
    </w:r>
    <w:r>
      <w:fldChar w:fldCharType="separate"/>
    </w:r>
    <w:r w:rsidR="000D3982">
      <w:rPr>
        <w:noProof/>
      </w:rPr>
      <w:t>2</w:t>
    </w:r>
    <w:r>
      <w:fldChar w:fldCharType="end"/>
    </w:r>
  </w:p>
  <w:p w14:paraId="665490D9" w14:textId="77777777" w:rsidR="008471D6" w:rsidRDefault="008471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465C3" w14:textId="77777777" w:rsidR="001130CD" w:rsidRDefault="001130CD">
      <w:r>
        <w:separator/>
      </w:r>
    </w:p>
  </w:footnote>
  <w:footnote w:type="continuationSeparator" w:id="0">
    <w:p w14:paraId="0D96A426" w14:textId="77777777" w:rsidR="001130CD" w:rsidRDefault="001130CD">
      <w:r>
        <w:continuationSeparator/>
      </w:r>
    </w:p>
  </w:footnote>
  <w:footnote w:id="1">
    <w:p w14:paraId="36C2A5EA" w14:textId="1B97D79E" w:rsidR="00BC009E" w:rsidRPr="00CF0B66" w:rsidRDefault="00BC009E" w:rsidP="00BC009E">
      <w:pPr>
        <w:pStyle w:val="Voetnoottekst"/>
        <w:rPr>
          <w:rFonts w:ascii="Trebuchet MS" w:hAnsi="Trebuchet MS"/>
          <w:sz w:val="20"/>
        </w:rPr>
      </w:pPr>
      <w:r w:rsidRPr="00C2023C">
        <w:rPr>
          <w:rStyle w:val="Voetnootmarkering"/>
          <w:rFonts w:ascii="Trebuchet MS" w:hAnsi="Trebuchet MS"/>
          <w:sz w:val="20"/>
        </w:rPr>
        <w:footnoteRef/>
      </w:r>
      <w:r w:rsidRPr="00CF0B66">
        <w:rPr>
          <w:rFonts w:ascii="Trebuchet MS" w:hAnsi="Trebuchet MS"/>
          <w:sz w:val="20"/>
        </w:rPr>
        <w:t xml:space="preserve"> Zie </w:t>
      </w:r>
      <w:r w:rsidR="00CF0B66">
        <w:rPr>
          <w:rFonts w:ascii="Trebuchet MS" w:hAnsi="Trebuchet MS"/>
          <w:sz w:val="20"/>
        </w:rPr>
        <w:t xml:space="preserve">hierover </w:t>
      </w:r>
      <w:r w:rsidR="00CF0B66">
        <w:rPr>
          <w:rFonts w:ascii="Trebuchet MS" w:hAnsi="Trebuchet MS"/>
          <w:sz w:val="20"/>
          <w:szCs w:val="18"/>
        </w:rPr>
        <w:t xml:space="preserve">ook College voor de Rechten van de Mens, </w:t>
      </w:r>
      <w:r w:rsidR="00CF0B66">
        <w:rPr>
          <w:rFonts w:ascii="Trebuchet MS" w:hAnsi="Trebuchet MS"/>
          <w:i/>
          <w:iCs/>
          <w:sz w:val="20"/>
          <w:szCs w:val="18"/>
        </w:rPr>
        <w:t xml:space="preserve">Debat over etnisch profileren vraagt om meer juridische duidelijkheid, </w:t>
      </w:r>
      <w:r w:rsidR="00CF0B66">
        <w:rPr>
          <w:rFonts w:ascii="Trebuchet MS" w:hAnsi="Trebuchet MS"/>
          <w:sz w:val="20"/>
          <w:szCs w:val="18"/>
        </w:rPr>
        <w:t>Utrecht 2021</w:t>
      </w:r>
      <w:r w:rsidRPr="00CF0B66">
        <w:rPr>
          <w:rFonts w:ascii="Trebuchet MS" w:hAnsi="Trebuchet MS"/>
          <w:sz w:val="20"/>
        </w:rPr>
        <w:t>.</w:t>
      </w:r>
    </w:p>
  </w:footnote>
  <w:footnote w:id="2">
    <w:p w14:paraId="0CB479BD" w14:textId="3AC6D8AD" w:rsidR="00CF0B66" w:rsidRDefault="00CF0B66">
      <w:pPr>
        <w:pStyle w:val="Voetnoottekst"/>
      </w:pPr>
      <w:r w:rsidRPr="00CF0B66">
        <w:rPr>
          <w:rStyle w:val="Voetnootmarkering"/>
          <w:rFonts w:ascii="Trebuchet MS" w:hAnsi="Trebuchet MS"/>
          <w:sz w:val="20"/>
        </w:rPr>
        <w:footnoteRef/>
      </w:r>
      <w:r w:rsidRPr="00CF0B66">
        <w:rPr>
          <w:rFonts w:ascii="Trebuchet MS" w:hAnsi="Trebuchet MS"/>
          <w:sz w:val="20"/>
        </w:rPr>
        <w:t xml:space="preserve"> College voor de Rechten van de Mens, </w:t>
      </w:r>
      <w:r w:rsidRPr="00CF0B66">
        <w:rPr>
          <w:rFonts w:ascii="Trebuchet MS" w:hAnsi="Trebuchet MS"/>
          <w:i/>
          <w:iCs/>
          <w:sz w:val="20"/>
        </w:rPr>
        <w:t xml:space="preserve">Debat over etnisch profileren vraagt om meer juridische duidelijkheid, </w:t>
      </w:r>
      <w:r w:rsidRPr="00CF0B66">
        <w:rPr>
          <w:rFonts w:ascii="Trebuchet MS" w:hAnsi="Trebuchet MS"/>
          <w:sz w:val="20"/>
        </w:rPr>
        <w:t>Utrecht 2021, p. 3.</w:t>
      </w:r>
      <w:r>
        <w:rPr>
          <w:rFonts w:ascii="Trebuchet MS" w:hAnsi="Trebuchet MS"/>
          <w:sz w:val="20"/>
          <w:szCs w:val="18"/>
        </w:rPr>
        <w:t xml:space="preserve"> </w:t>
      </w:r>
    </w:p>
  </w:footnote>
  <w:footnote w:id="3">
    <w:p w14:paraId="2F66AA5A" w14:textId="14C35388" w:rsidR="009B7555" w:rsidRPr="00D52E97" w:rsidRDefault="009B7555" w:rsidP="009B7555">
      <w:pPr>
        <w:pStyle w:val="Voetnoottekst"/>
        <w:rPr>
          <w:rFonts w:ascii="Trebuchet MS" w:hAnsi="Trebuchet MS"/>
        </w:rPr>
      </w:pPr>
      <w:r w:rsidRPr="00D52E97">
        <w:rPr>
          <w:rStyle w:val="Voetnootmarkering"/>
          <w:rFonts w:ascii="Trebuchet MS" w:hAnsi="Trebuchet MS"/>
          <w:sz w:val="20"/>
          <w:szCs w:val="18"/>
        </w:rPr>
        <w:footnoteRef/>
      </w:r>
      <w:r w:rsidRPr="00D52E97">
        <w:rPr>
          <w:rFonts w:ascii="Trebuchet MS" w:hAnsi="Trebuchet MS"/>
          <w:sz w:val="20"/>
          <w:szCs w:val="18"/>
        </w:rPr>
        <w:t xml:space="preserve"> HR 4 november 2016, ECLI:NL:HR:2454 (</w:t>
      </w:r>
      <w:r w:rsidRPr="00D52E97">
        <w:rPr>
          <w:rFonts w:ascii="Trebuchet MS" w:hAnsi="Trebuchet MS"/>
          <w:i/>
          <w:iCs/>
          <w:sz w:val="20"/>
          <w:szCs w:val="18"/>
        </w:rPr>
        <w:t>Dynamische Verkeerscontrole</w:t>
      </w:r>
      <w:r w:rsidRPr="00D52E97">
        <w:rPr>
          <w:rFonts w:ascii="Trebuchet MS" w:hAnsi="Trebuchet MS"/>
          <w:sz w:val="20"/>
          <w:szCs w:val="18"/>
        </w:rPr>
        <w:t>), NJ 2017/84, m.nt. B.F. Keulen.</w:t>
      </w:r>
      <w:r>
        <w:rPr>
          <w:rFonts w:ascii="Trebuchet MS" w:hAnsi="Trebuchet MS"/>
          <w:sz w:val="20"/>
          <w:szCs w:val="18"/>
        </w:rPr>
        <w:t xml:space="preserve"> </w:t>
      </w:r>
    </w:p>
  </w:footnote>
  <w:footnote w:id="4">
    <w:p w14:paraId="10A21C0F" w14:textId="77777777" w:rsidR="009B7555" w:rsidRPr="00357393" w:rsidRDefault="009B7555" w:rsidP="009B7555">
      <w:pPr>
        <w:pStyle w:val="Voetnoottekst"/>
        <w:rPr>
          <w:rFonts w:ascii="Trebuchet MS" w:hAnsi="Trebuchet MS"/>
          <w:sz w:val="20"/>
        </w:rPr>
      </w:pPr>
      <w:r w:rsidRPr="00357393">
        <w:rPr>
          <w:rStyle w:val="Voetnootmarkering"/>
          <w:rFonts w:ascii="Trebuchet MS" w:hAnsi="Trebuchet MS"/>
          <w:sz w:val="20"/>
        </w:rPr>
        <w:footnoteRef/>
      </w:r>
      <w:r w:rsidRPr="00357393">
        <w:rPr>
          <w:rFonts w:ascii="Trebuchet MS" w:hAnsi="Trebuchet MS"/>
          <w:sz w:val="20"/>
        </w:rPr>
        <w:t xml:space="preserve"> EHRM 13 december 2005, nrs. 55762/00 en 55974/00 (</w:t>
      </w:r>
      <w:r w:rsidRPr="00357393">
        <w:rPr>
          <w:rFonts w:ascii="Trebuchet MS" w:hAnsi="Trebuchet MS"/>
          <w:i/>
          <w:iCs/>
          <w:sz w:val="20"/>
        </w:rPr>
        <w:t>Timishev t. Rusland</w:t>
      </w:r>
      <w:r w:rsidRPr="00357393">
        <w:rPr>
          <w:rFonts w:ascii="Trebuchet MS" w:hAnsi="Trebuchet MS"/>
          <w:sz w:val="20"/>
        </w:rPr>
        <w:t>).</w:t>
      </w:r>
    </w:p>
  </w:footnote>
  <w:footnote w:id="5">
    <w:p w14:paraId="361B2B5D" w14:textId="13D7F738" w:rsidR="009B7555" w:rsidRPr="00480F8B" w:rsidRDefault="009B7555" w:rsidP="009B7555">
      <w:pPr>
        <w:pStyle w:val="Voetnoottekst"/>
        <w:rPr>
          <w:rFonts w:ascii="Trebuchet MS" w:hAnsi="Trebuchet MS"/>
          <w:sz w:val="20"/>
          <w:lang w:val="en-US"/>
        </w:rPr>
      </w:pPr>
      <w:r w:rsidRPr="00357393">
        <w:rPr>
          <w:rStyle w:val="Voetnootmarkering"/>
          <w:rFonts w:ascii="Trebuchet MS" w:hAnsi="Trebuchet MS"/>
          <w:sz w:val="20"/>
        </w:rPr>
        <w:footnoteRef/>
      </w:r>
      <w:r w:rsidRPr="00357393">
        <w:rPr>
          <w:rFonts w:ascii="Trebuchet MS" w:hAnsi="Trebuchet MS"/>
          <w:sz w:val="20"/>
        </w:rPr>
        <w:t xml:space="preserve"> EHRM 13 december 2005, nrs. 55762/00 en 55974/00 (</w:t>
      </w:r>
      <w:r w:rsidRPr="00357393">
        <w:rPr>
          <w:rFonts w:ascii="Trebuchet MS" w:hAnsi="Trebuchet MS"/>
          <w:i/>
          <w:iCs/>
          <w:sz w:val="20"/>
        </w:rPr>
        <w:t>Timishev t. Rusland</w:t>
      </w:r>
      <w:r w:rsidRPr="00357393">
        <w:rPr>
          <w:rFonts w:ascii="Trebuchet MS" w:hAnsi="Trebuchet MS"/>
          <w:sz w:val="20"/>
        </w:rPr>
        <w:t>), § 58</w:t>
      </w:r>
      <w:r w:rsidR="00480F8B">
        <w:rPr>
          <w:rFonts w:ascii="Trebuchet MS" w:hAnsi="Trebuchet MS"/>
          <w:sz w:val="20"/>
        </w:rPr>
        <w:t xml:space="preserve">. </w:t>
      </w:r>
      <w:r w:rsidR="00480F8B" w:rsidRPr="00480F8B">
        <w:rPr>
          <w:rFonts w:ascii="Trebuchet MS" w:hAnsi="Trebuchet MS"/>
          <w:sz w:val="20"/>
          <w:lang w:val="en-US"/>
        </w:rPr>
        <w:t>Oorspronkelijke tekst:</w:t>
      </w:r>
      <w:r w:rsidR="00480F8B">
        <w:rPr>
          <w:rFonts w:ascii="Trebuchet MS" w:hAnsi="Trebuchet MS"/>
          <w:sz w:val="20"/>
          <w:lang w:val="en-US"/>
        </w:rPr>
        <w:t xml:space="preserve"> </w:t>
      </w:r>
      <w:r w:rsidR="00480F8B" w:rsidRPr="00480F8B">
        <w:rPr>
          <w:rFonts w:ascii="Trebuchet MS" w:hAnsi="Trebuchet MS"/>
          <w:iCs/>
          <w:sz w:val="20"/>
          <w:lang w:val="en-US"/>
        </w:rPr>
        <w:t xml:space="preserve">no difference in treatment which is based </w:t>
      </w:r>
      <w:r w:rsidR="00480F8B" w:rsidRPr="00480F8B">
        <w:rPr>
          <w:rFonts w:ascii="Trebuchet MS" w:hAnsi="Trebuchet MS"/>
          <w:i/>
          <w:sz w:val="20"/>
          <w:lang w:val="en-US"/>
        </w:rPr>
        <w:t>exclusively</w:t>
      </w:r>
      <w:r w:rsidR="00480F8B" w:rsidRPr="00480F8B">
        <w:rPr>
          <w:rFonts w:ascii="Trebuchet MS" w:hAnsi="Trebuchet MS"/>
          <w:iCs/>
          <w:sz w:val="20"/>
          <w:lang w:val="en-US"/>
        </w:rPr>
        <w:t xml:space="preserve"> </w:t>
      </w:r>
      <w:r w:rsidR="00480F8B" w:rsidRPr="00480F8B">
        <w:rPr>
          <w:rFonts w:ascii="Trebuchet MS" w:hAnsi="Trebuchet MS"/>
          <w:i/>
          <w:sz w:val="20"/>
          <w:lang w:val="en-US"/>
        </w:rPr>
        <w:t xml:space="preserve">or to a decisive extent </w:t>
      </w:r>
      <w:r w:rsidR="00480F8B" w:rsidRPr="00480F8B">
        <w:rPr>
          <w:rFonts w:ascii="Trebuchet MS" w:hAnsi="Trebuchet MS"/>
          <w:iCs/>
          <w:sz w:val="20"/>
          <w:lang w:val="en-US"/>
        </w:rPr>
        <w:t>on a person's ethnic origin is capable of being objectively justified in a contemporary democratic society built on the principles of pluralism and respect for different cultures</w:t>
      </w:r>
      <w:r w:rsidR="00480F8B">
        <w:rPr>
          <w:rFonts w:ascii="Trebuchet MS" w:hAnsi="Trebuchet MS"/>
          <w:iCs/>
          <w:sz w:val="20"/>
          <w:lang w:val="en-US"/>
        </w:rPr>
        <w:t xml:space="preserve"> (cursivering toegevoegd).</w:t>
      </w:r>
    </w:p>
  </w:footnote>
  <w:footnote w:id="6">
    <w:p w14:paraId="41015814" w14:textId="77777777" w:rsidR="00D52E97" w:rsidRPr="008F663F" w:rsidRDefault="00D52E97" w:rsidP="00D52E97">
      <w:pPr>
        <w:pStyle w:val="Voetnoottekst"/>
        <w:rPr>
          <w:rFonts w:ascii="Trebuchet MS" w:hAnsi="Trebuchet MS"/>
          <w:sz w:val="20"/>
        </w:rPr>
      </w:pPr>
      <w:r w:rsidRPr="008F663F">
        <w:rPr>
          <w:rStyle w:val="Voetnootmarkering"/>
          <w:rFonts w:ascii="Trebuchet MS" w:hAnsi="Trebuchet MS"/>
          <w:sz w:val="20"/>
        </w:rPr>
        <w:footnoteRef/>
      </w:r>
      <w:r w:rsidRPr="008F663F">
        <w:rPr>
          <w:rFonts w:ascii="Trebuchet MS" w:hAnsi="Trebuchet MS"/>
          <w:sz w:val="20"/>
        </w:rPr>
        <w:t xml:space="preserve"> Rechtbank Den Haag 22 september 2021, ECLI:NL:RBDHA:2021:10283, r.o. 7.5.  </w:t>
      </w:r>
    </w:p>
  </w:footnote>
  <w:footnote w:id="7">
    <w:p w14:paraId="79520296" w14:textId="5CDA242D" w:rsidR="008F663F" w:rsidRDefault="008F663F">
      <w:pPr>
        <w:pStyle w:val="Voetnoottekst"/>
      </w:pPr>
      <w:r w:rsidRPr="008F663F">
        <w:rPr>
          <w:rStyle w:val="Voetnootmarkering"/>
          <w:rFonts w:ascii="Trebuchet MS" w:hAnsi="Trebuchet MS"/>
          <w:sz w:val="20"/>
        </w:rPr>
        <w:footnoteRef/>
      </w:r>
      <w:r w:rsidRPr="008F663F">
        <w:rPr>
          <w:rFonts w:ascii="Trebuchet MS" w:hAnsi="Trebuchet MS"/>
          <w:sz w:val="20"/>
        </w:rPr>
        <w:t xml:space="preserve"> Rechtbank Den Haag 22 september 2021, ECLI:NL:RBDHA:2021:10283, r.o. 8.18.</w:t>
      </w:r>
      <w:r>
        <w:rPr>
          <w:rFonts w:ascii="Trebuchet MS" w:hAnsi="Trebuchet MS"/>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70E8A" w14:textId="77777777" w:rsidR="006C2F42" w:rsidRDefault="006C2F42" w:rsidP="00234AFB">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87D7D"/>
    <w:multiLevelType w:val="hybridMultilevel"/>
    <w:tmpl w:val="C36A654E"/>
    <w:lvl w:ilvl="0" w:tplc="E6F4E118">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55BF4"/>
    <w:multiLevelType w:val="hybridMultilevel"/>
    <w:tmpl w:val="B53A19D2"/>
    <w:lvl w:ilvl="0" w:tplc="308CB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31471"/>
    <w:multiLevelType w:val="hybridMultilevel"/>
    <w:tmpl w:val="8D789D3C"/>
    <w:lvl w:ilvl="0" w:tplc="A1467E7C">
      <w:start w:val="1"/>
      <w:numFmt w:val="decimal"/>
      <w:lvlText w:val="(%1)"/>
      <w:lvlJc w:val="left"/>
      <w:pPr>
        <w:ind w:left="360" w:hanging="360"/>
      </w:pPr>
      <w:rPr>
        <w:rFonts w:hint="default"/>
        <w:b w:val="0"/>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7372F76"/>
    <w:multiLevelType w:val="hybridMultilevel"/>
    <w:tmpl w:val="D012D2C2"/>
    <w:lvl w:ilvl="0" w:tplc="F90CFCB2">
      <w:start w:val="1"/>
      <w:numFmt w:val="decimal"/>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57C2D"/>
    <w:multiLevelType w:val="hybridMultilevel"/>
    <w:tmpl w:val="70D07EDA"/>
    <w:lvl w:ilvl="0" w:tplc="8E26BB9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7320F"/>
    <w:multiLevelType w:val="hybridMultilevel"/>
    <w:tmpl w:val="6D445DB4"/>
    <w:lvl w:ilvl="0" w:tplc="AB0208D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A0C70"/>
    <w:multiLevelType w:val="hybridMultilevel"/>
    <w:tmpl w:val="C36A654E"/>
    <w:lvl w:ilvl="0" w:tplc="E6F4E118">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F2E4B"/>
    <w:multiLevelType w:val="hybridMultilevel"/>
    <w:tmpl w:val="6ABE9D02"/>
    <w:lvl w:ilvl="0" w:tplc="734CC1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61A54"/>
    <w:multiLevelType w:val="hybridMultilevel"/>
    <w:tmpl w:val="18689FC4"/>
    <w:lvl w:ilvl="0" w:tplc="BA4695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A1AF4"/>
    <w:multiLevelType w:val="hybridMultilevel"/>
    <w:tmpl w:val="4AA2B200"/>
    <w:lvl w:ilvl="0" w:tplc="18BA1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44EE2"/>
    <w:multiLevelType w:val="hybridMultilevel"/>
    <w:tmpl w:val="7D2ED14A"/>
    <w:lvl w:ilvl="0" w:tplc="BC2ECF68">
      <w:start w:val="1"/>
      <w:numFmt w:val="decimal"/>
      <w:lvlText w:val="(%1)"/>
      <w:lvlJc w:val="left"/>
      <w:pPr>
        <w:ind w:left="720" w:hanging="360"/>
      </w:pPr>
      <w:rPr>
        <w:rFonts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F4ED2"/>
    <w:multiLevelType w:val="hybridMultilevel"/>
    <w:tmpl w:val="C36A654E"/>
    <w:lvl w:ilvl="0" w:tplc="E6F4E118">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A5FC0"/>
    <w:multiLevelType w:val="hybridMultilevel"/>
    <w:tmpl w:val="F0DEFBA0"/>
    <w:lvl w:ilvl="0" w:tplc="381C0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F6049D"/>
    <w:multiLevelType w:val="hybridMultilevel"/>
    <w:tmpl w:val="496C17BC"/>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67368"/>
    <w:multiLevelType w:val="hybridMultilevel"/>
    <w:tmpl w:val="D464872C"/>
    <w:lvl w:ilvl="0" w:tplc="F29CCFC2">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04B22"/>
    <w:multiLevelType w:val="hybridMultilevel"/>
    <w:tmpl w:val="2D743E48"/>
    <w:lvl w:ilvl="0" w:tplc="DD1CF8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12"/>
  </w:num>
  <w:num w:numId="6">
    <w:abstractNumId w:val="4"/>
  </w:num>
  <w:num w:numId="7">
    <w:abstractNumId w:val="15"/>
  </w:num>
  <w:num w:numId="8">
    <w:abstractNumId w:val="13"/>
  </w:num>
  <w:num w:numId="9">
    <w:abstractNumId w:val="7"/>
  </w:num>
  <w:num w:numId="10">
    <w:abstractNumId w:val="9"/>
  </w:num>
  <w:num w:numId="11">
    <w:abstractNumId w:val="10"/>
  </w:num>
  <w:num w:numId="12">
    <w:abstractNumId w:val="11"/>
  </w:num>
  <w:num w:numId="13">
    <w:abstractNumId w:val="0"/>
  </w:num>
  <w:num w:numId="14">
    <w:abstractNumId w:val="6"/>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CD"/>
    <w:rsid w:val="000125E8"/>
    <w:rsid w:val="00035587"/>
    <w:rsid w:val="0003684D"/>
    <w:rsid w:val="00063D41"/>
    <w:rsid w:val="000815BA"/>
    <w:rsid w:val="000C05F9"/>
    <w:rsid w:val="000D3982"/>
    <w:rsid w:val="00110DC1"/>
    <w:rsid w:val="001130CD"/>
    <w:rsid w:val="001205C9"/>
    <w:rsid w:val="001229E1"/>
    <w:rsid w:val="001A15E1"/>
    <w:rsid w:val="00234AFB"/>
    <w:rsid w:val="00252D49"/>
    <w:rsid w:val="00253631"/>
    <w:rsid w:val="0026045C"/>
    <w:rsid w:val="002947A9"/>
    <w:rsid w:val="002A4309"/>
    <w:rsid w:val="002B375C"/>
    <w:rsid w:val="00357393"/>
    <w:rsid w:val="003D63E9"/>
    <w:rsid w:val="003E0FBB"/>
    <w:rsid w:val="003F4BD1"/>
    <w:rsid w:val="003F7551"/>
    <w:rsid w:val="0042517A"/>
    <w:rsid w:val="00442963"/>
    <w:rsid w:val="00476CFF"/>
    <w:rsid w:val="00480F8B"/>
    <w:rsid w:val="004C5313"/>
    <w:rsid w:val="004C5933"/>
    <w:rsid w:val="00526B63"/>
    <w:rsid w:val="00541157"/>
    <w:rsid w:val="005860AD"/>
    <w:rsid w:val="005A54E8"/>
    <w:rsid w:val="005C7FA4"/>
    <w:rsid w:val="00611690"/>
    <w:rsid w:val="006C2F42"/>
    <w:rsid w:val="006D248F"/>
    <w:rsid w:val="006E471E"/>
    <w:rsid w:val="006E5E02"/>
    <w:rsid w:val="00721B6B"/>
    <w:rsid w:val="00723766"/>
    <w:rsid w:val="00725068"/>
    <w:rsid w:val="0073023A"/>
    <w:rsid w:val="00775FED"/>
    <w:rsid w:val="007A7619"/>
    <w:rsid w:val="007A7F35"/>
    <w:rsid w:val="007C1CC7"/>
    <w:rsid w:val="007D2A17"/>
    <w:rsid w:val="0081783F"/>
    <w:rsid w:val="008412AC"/>
    <w:rsid w:val="008435AF"/>
    <w:rsid w:val="00846D1E"/>
    <w:rsid w:val="008471D6"/>
    <w:rsid w:val="008804C0"/>
    <w:rsid w:val="00897A9F"/>
    <w:rsid w:val="008F017B"/>
    <w:rsid w:val="008F33A7"/>
    <w:rsid w:val="008F663F"/>
    <w:rsid w:val="00910942"/>
    <w:rsid w:val="00986F52"/>
    <w:rsid w:val="009B7555"/>
    <w:rsid w:val="009C5A5A"/>
    <w:rsid w:val="00A115E9"/>
    <w:rsid w:val="00A25C7B"/>
    <w:rsid w:val="00A875C7"/>
    <w:rsid w:val="00A916BF"/>
    <w:rsid w:val="00A954E9"/>
    <w:rsid w:val="00B6280B"/>
    <w:rsid w:val="00B84107"/>
    <w:rsid w:val="00BA0B00"/>
    <w:rsid w:val="00BC009E"/>
    <w:rsid w:val="00BC648F"/>
    <w:rsid w:val="00BD3F8D"/>
    <w:rsid w:val="00C11EF8"/>
    <w:rsid w:val="00C2023C"/>
    <w:rsid w:val="00C24D53"/>
    <w:rsid w:val="00C27550"/>
    <w:rsid w:val="00C65711"/>
    <w:rsid w:val="00C747BE"/>
    <w:rsid w:val="00C8239D"/>
    <w:rsid w:val="00CD78FD"/>
    <w:rsid w:val="00CF0B66"/>
    <w:rsid w:val="00D30EF0"/>
    <w:rsid w:val="00D33A92"/>
    <w:rsid w:val="00D444B4"/>
    <w:rsid w:val="00D52E97"/>
    <w:rsid w:val="00D542DA"/>
    <w:rsid w:val="00DA1283"/>
    <w:rsid w:val="00DD2860"/>
    <w:rsid w:val="00DD60E0"/>
    <w:rsid w:val="00E4520D"/>
    <w:rsid w:val="00E57C38"/>
    <w:rsid w:val="00E65E5E"/>
    <w:rsid w:val="00E85D4C"/>
    <w:rsid w:val="00EF4A27"/>
    <w:rsid w:val="00F04AA8"/>
    <w:rsid w:val="00F15FF8"/>
    <w:rsid w:val="00F20315"/>
    <w:rsid w:val="00F91DFD"/>
    <w:rsid w:val="00FA4EC7"/>
    <w:rsid w:val="00FA78AB"/>
    <w:rsid w:val="00FE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0ABACF"/>
  <w15:docId w15:val="{1BCBDF82-D843-4E3C-B2EA-19B5E746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heSansOffice" w:hAnsi="TheSansOffice"/>
      <w:sz w:val="22"/>
      <w:lang w:val="nl-NL" w:eastAsia="nl-NL"/>
    </w:rPr>
  </w:style>
  <w:style w:type="paragraph" w:styleId="Kop1">
    <w:name w:val="heading 1"/>
    <w:basedOn w:val="Standaard"/>
    <w:next w:val="Standaard"/>
    <w:qFormat/>
    <w:pPr>
      <w:keepNext/>
      <w:outlineLvl w:val="0"/>
    </w:pPr>
    <w:rPr>
      <w:rFonts w:ascii="Arial" w:hAnsi="Arial"/>
      <w:b/>
      <w:sz w:val="40"/>
    </w:rPr>
  </w:style>
  <w:style w:type="paragraph" w:styleId="Kop2">
    <w:name w:val="heading 2"/>
    <w:basedOn w:val="Standaard"/>
    <w:next w:val="Standaard"/>
    <w:autoRedefine/>
    <w:qFormat/>
    <w:rsid w:val="00725068"/>
    <w:pPr>
      <w:keepNext/>
      <w:outlineLvl w:val="1"/>
    </w:pPr>
    <w:rPr>
      <w:rFonts w:ascii="Trebuchet MS" w:hAnsi="Trebuchet MS"/>
    </w:rPr>
  </w:style>
  <w:style w:type="paragraph" w:styleId="Kop3">
    <w:name w:val="heading 3"/>
    <w:basedOn w:val="Standaard"/>
    <w:next w:val="Standaard"/>
    <w:qFormat/>
    <w:pPr>
      <w:keepNext/>
      <w:ind w:right="-258"/>
      <w:outlineLvl w:val="2"/>
    </w:pPr>
    <w:rPr>
      <w:rFonts w:ascii="Arial" w:hAnsi="Arial"/>
      <w:b/>
      <w:color w:val="000080"/>
      <w:sz w:val="14"/>
    </w:rPr>
  </w:style>
  <w:style w:type="paragraph" w:styleId="Kop4">
    <w:name w:val="heading 4"/>
    <w:basedOn w:val="Standaard"/>
    <w:next w:val="Standaard"/>
    <w:qFormat/>
    <w:pPr>
      <w:keepNext/>
      <w:outlineLvl w:val="3"/>
    </w:pPr>
    <w:rPr>
      <w:rFonts w:ascii="Letter Gothic" w:hAnsi="Letter Gothic"/>
      <w:b/>
      <w:sz w:val="36"/>
    </w:rPr>
  </w:style>
  <w:style w:type="paragraph" w:styleId="Kop5">
    <w:name w:val="heading 5"/>
    <w:basedOn w:val="Standaard"/>
    <w:next w:val="Standaard"/>
    <w:qFormat/>
    <w:pPr>
      <w:keepNext/>
      <w:outlineLvl w:val="4"/>
    </w:pPr>
    <w:rPr>
      <w:rFonts w:ascii="Letter Gothic" w:hAnsi="Letter Gothic"/>
      <w:b/>
      <w:sz w:val="44"/>
    </w:rPr>
  </w:style>
  <w:style w:type="paragraph" w:styleId="Kop6">
    <w:name w:val="heading 6"/>
    <w:basedOn w:val="Standaard"/>
    <w:next w:val="Standaard"/>
    <w:qFormat/>
    <w:pPr>
      <w:keepNext/>
      <w:ind w:left="1134" w:right="-258" w:hanging="425"/>
      <w:outlineLvl w:val="5"/>
    </w:pPr>
    <w:rPr>
      <w:rFonts w:ascii="Arial" w:hAnsi="Arial"/>
      <w:b/>
      <w:color w:val="000080"/>
      <w:sz w:val="1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320"/>
        <w:tab w:val="right" w:pos="8640"/>
      </w:tabs>
    </w:pPr>
  </w:style>
  <w:style w:type="paragraph" w:styleId="Voettekst">
    <w:name w:val="footer"/>
    <w:basedOn w:val="Standaard"/>
    <w:link w:val="VoettekstChar"/>
    <w:uiPriority w:val="99"/>
    <w:pPr>
      <w:tabs>
        <w:tab w:val="center" w:pos="4320"/>
        <w:tab w:val="right" w:pos="8640"/>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Voetnoottekst">
    <w:name w:val="footnote text"/>
    <w:aliases w:val="Footnote Text Char Char Char Char"/>
    <w:basedOn w:val="Standaard"/>
    <w:link w:val="VoetnoottekstChar"/>
    <w:uiPriority w:val="99"/>
    <w:qFormat/>
  </w:style>
  <w:style w:type="character" w:styleId="Voetnootmarkering">
    <w:name w:val="footnote reference"/>
    <w:uiPriority w:val="99"/>
    <w:qFormat/>
    <w:rPr>
      <w:vertAlign w:val="superscript"/>
    </w:rPr>
  </w:style>
  <w:style w:type="character" w:customStyle="1" w:styleId="VoettekstChar">
    <w:name w:val="Voettekst Char"/>
    <w:link w:val="Voettekst"/>
    <w:uiPriority w:val="99"/>
    <w:rsid w:val="00725068"/>
    <w:rPr>
      <w:rFonts w:ascii="TheSansOffice" w:hAnsi="TheSansOffice"/>
      <w:noProof/>
      <w:sz w:val="22"/>
    </w:rPr>
  </w:style>
  <w:style w:type="paragraph" w:styleId="Lijstalinea">
    <w:name w:val="List Paragraph"/>
    <w:basedOn w:val="Standaard"/>
    <w:uiPriority w:val="34"/>
    <w:qFormat/>
    <w:rsid w:val="00C65711"/>
    <w:pPr>
      <w:ind w:left="720"/>
      <w:contextualSpacing/>
    </w:pPr>
  </w:style>
  <w:style w:type="character" w:styleId="Verwijzingopmerking">
    <w:name w:val="annotation reference"/>
    <w:basedOn w:val="Standaardalinea-lettertype"/>
    <w:semiHidden/>
    <w:unhideWhenUsed/>
    <w:rsid w:val="007C1CC7"/>
    <w:rPr>
      <w:sz w:val="16"/>
      <w:szCs w:val="16"/>
    </w:rPr>
  </w:style>
  <w:style w:type="paragraph" w:styleId="Tekstopmerking">
    <w:name w:val="annotation text"/>
    <w:basedOn w:val="Standaard"/>
    <w:link w:val="TekstopmerkingChar"/>
    <w:semiHidden/>
    <w:unhideWhenUsed/>
    <w:rsid w:val="007C1CC7"/>
    <w:rPr>
      <w:sz w:val="20"/>
    </w:rPr>
  </w:style>
  <w:style w:type="character" w:customStyle="1" w:styleId="TekstopmerkingChar">
    <w:name w:val="Tekst opmerking Char"/>
    <w:basedOn w:val="Standaardalinea-lettertype"/>
    <w:link w:val="Tekstopmerking"/>
    <w:semiHidden/>
    <w:rsid w:val="007C1CC7"/>
    <w:rPr>
      <w:rFonts w:ascii="TheSansOffice" w:hAnsi="TheSansOffice"/>
      <w:lang w:val="nl-NL" w:eastAsia="nl-NL"/>
    </w:rPr>
  </w:style>
  <w:style w:type="paragraph" w:styleId="Onderwerpvanopmerking">
    <w:name w:val="annotation subject"/>
    <w:basedOn w:val="Tekstopmerking"/>
    <w:next w:val="Tekstopmerking"/>
    <w:link w:val="OnderwerpvanopmerkingChar"/>
    <w:semiHidden/>
    <w:unhideWhenUsed/>
    <w:rsid w:val="007C1CC7"/>
    <w:rPr>
      <w:b/>
      <w:bCs/>
    </w:rPr>
  </w:style>
  <w:style w:type="character" w:customStyle="1" w:styleId="OnderwerpvanopmerkingChar">
    <w:name w:val="Onderwerp van opmerking Char"/>
    <w:basedOn w:val="TekstopmerkingChar"/>
    <w:link w:val="Onderwerpvanopmerking"/>
    <w:semiHidden/>
    <w:rsid w:val="007C1CC7"/>
    <w:rPr>
      <w:rFonts w:ascii="TheSansOffice" w:hAnsi="TheSansOffice"/>
      <w:b/>
      <w:bCs/>
      <w:lang w:val="nl-NL" w:eastAsia="nl-NL"/>
    </w:rPr>
  </w:style>
  <w:style w:type="character" w:styleId="Onopgelostemelding">
    <w:name w:val="Unresolved Mention"/>
    <w:basedOn w:val="Standaardalinea-lettertype"/>
    <w:uiPriority w:val="99"/>
    <w:semiHidden/>
    <w:unhideWhenUsed/>
    <w:rsid w:val="008804C0"/>
    <w:rPr>
      <w:color w:val="605E5C"/>
      <w:shd w:val="clear" w:color="auto" w:fill="E1DFDD"/>
    </w:rPr>
  </w:style>
  <w:style w:type="character" w:customStyle="1" w:styleId="VoetnoottekstChar">
    <w:name w:val="Voetnoottekst Char"/>
    <w:aliases w:val="Footnote Text Char Char Char Char Char"/>
    <w:basedOn w:val="Standaardalinea-lettertype"/>
    <w:link w:val="Voetnoottekst"/>
    <w:uiPriority w:val="99"/>
    <w:rsid w:val="00D52E97"/>
    <w:rPr>
      <w:rFonts w:ascii="TheSansOffice" w:hAnsi="TheSansOffice"/>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G:\12.%20Organisatieonderdelen\Bedrijfsbureau\automatisering\Sjablonen\College\01%20Memo%20Colleg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1015</ap:Words>
  <ap:Characters>5987</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Memo</vt:lpstr>
    </vt:vector>
  </ap:TitlesOfParts>
  <ap:LinksUpToDate>false</ap:LinksUpToDate>
  <ap:CharactersWithSpaces>6989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2002-05-07T14:11:00.0000000Z</lastPrinted>
  <dcterms:created xsi:type="dcterms:W3CDTF">2021-11-17T11:34:00.0000000Z</dcterms:created>
  <dcterms:modified xsi:type="dcterms:W3CDTF">2021-11-17T12:31:00.0000000Z</dcterms:modified>
  <dc:description>------------------------</dc:description>
  <dc:subject/>
  <keywords/>
  <version/>
  <category/>
</coreProperties>
</file>