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009F42AA"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4F93A303" wp14:anchorId="66F4920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67850E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F4920B">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67850E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E83BF28" wp14:anchorId="6DE17CF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W12.21.0215/III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september 2021</w:t>
              </w:r>
            </w:sdtContent>
          </w:sdt>
        </w:p>
        <w:p w:rsidRPr="00831363" w:rsidR="001410FD" w:rsidP="00AC5AD9" w:rsidRDefault="001410FD" w14:paraId="78CD1E64" w14:textId="77777777">
          <w:pPr>
            <w:tabs>
              <w:tab w:val="left" w:pos="3686"/>
            </w:tabs>
          </w:pPr>
        </w:p>
        <w:p w:rsidRPr="00831363" w:rsidR="00636D17" w:rsidP="00636D17" w:rsidRDefault="00636D17" w14:paraId="7013C9BA" w14:textId="77777777">
          <w:pPr>
            <w:tabs>
              <w:tab w:val="left" w:pos="3685"/>
            </w:tabs>
          </w:pPr>
        </w:p>
        <w:p w:rsidRPr="00831363" w:rsidR="00636D17" w:rsidP="00636D17" w:rsidRDefault="00636D17" w14:paraId="422EE36D"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0C68A2" w:rsidRDefault="003113B3" w14:paraId="1BD79402" w14:textId="77777777">
              <w:r>
                <w:t>Bij Kabinetsmissive van 15 juli 2021, no.2021001424, heeft Uwe Majesteit, op voordracht van de Minister van Sociale Zaken en Werkgelegenheid, mede namens de Minister voor Rechtsbescherming, bij de Afdeling advisering van de Raad van State ter overweging aanhangig gemaakt het voorstel van wet tot wijziging van Boek 7 van het Burgerlijk Wetboek en enige andere wetten in verband met de implementatie van Richtlijn (EU) 2019/1152 van het Europees Parlement en de Raad van 20 juni 2019 betreffende transparante en voorspelbare arbeidsvoorwaarden in de Europese Unie (PbEU 2019, L 186) (Wet implementatie EU-richtlijn transparante en voorspelbare arbeidsvoorwaarden), met memorie van toelichting.</w:t>
              </w:r>
            </w:p>
          </w:sdtContent>
        </w:sdt>
        <w:p w:rsidRPr="00831363" w:rsidR="00CE4655" w:rsidP="003C7608" w:rsidRDefault="00CE4655" w14:paraId="3855C82D" w14:textId="77777777"/>
        <w:sdt>
          <w:sdtPr>
            <w:alias w:val="VrijeTekst1"/>
            <w:tag w:val="VrijeTekst1"/>
            <w:id w:val="-437221631"/>
            <w:lock w:val="sdtLocked"/>
          </w:sdtPr>
          <w:sdtEndPr/>
          <w:sdtContent>
            <w:p w:rsidR="00D21522" w:rsidP="00A5773B" w:rsidRDefault="003113B3" w14:paraId="4DED29B5" w14:textId="77777777">
              <w:r>
                <w:t xml:space="preserve">Het voorstel implementeert de Europese richtlijn betreffende transparante en voorspelbare arbeidsvoorwaarden (Richtlijn (EU) 2019/1152). De schriftelijke informatieplicht van de werkgever wordt thans geregeld in Richtlijn 91/553/EEG. Richtlijn (EU) 2019/1152 vervangt Richtlijn 91/553/EEG en bevat verduidelijkingen en aanscherpingen van de rechten van werknemers. Dit betreft onder meer de voorspelbaarheid van het werk, de overgang naar andere vormen van werk en de bekostiging van verplichte scholing. </w:t>
              </w:r>
            </w:p>
            <w:p w:rsidR="003E77FC" w:rsidP="00A5773B" w:rsidRDefault="00132AB8" w14:paraId="1E65E9E9" w14:textId="77777777"/>
            <w:p w:rsidR="000C68A2" w:rsidRDefault="003113B3" w14:paraId="46CB4B5D" w14:textId="77777777">
              <w:pPr>
                <w:rPr>
                  <w:szCs w:val="22"/>
                </w:rPr>
              </w:pPr>
              <w:r>
                <w:t xml:space="preserve">De Afdeling advisering van de Raad van State maakt opmerkingen over de uitzonderingen voor werkgevers van huishoudelijk personeel op het gebied van kosteloze scholing en verzoeken om meer voorspelbare en zekere arbeidsvoorwaarden. Daarnaast maakt de Afdeling een opmerking over de ruime beslistermijn voor kleine werkgevers op verzoeken om meer voorspelbare en zekere arbeidsvoorwaarden. Ten slotte maakt de Afdeling opmerkingen bij de wijze van implementatie voor zeevarenden en zeevissers. </w:t>
              </w:r>
              <w:r w:rsidRPr="00D21522">
                <w:rPr>
                  <w:rFonts w:cs="Segoe UI"/>
                  <w:color w:val="000000"/>
                  <w:szCs w:val="22"/>
                </w:rPr>
                <w:t>In verband daarmee is</w:t>
              </w:r>
              <w:r>
                <w:rPr>
                  <w:rFonts w:cs="Segoe UI"/>
                  <w:color w:val="000000"/>
                  <w:szCs w:val="22"/>
                </w:rPr>
                <w:t xml:space="preserve"> </w:t>
              </w:r>
              <w:r w:rsidRPr="00D21522">
                <w:rPr>
                  <w:rFonts w:cs="Segoe UI"/>
                  <w:color w:val="000000"/>
                  <w:szCs w:val="22"/>
                </w:rPr>
                <w:t xml:space="preserve">aanpassing </w:t>
              </w:r>
              <w:r>
                <w:rPr>
                  <w:rFonts w:cs="Segoe UI"/>
                  <w:color w:val="000000"/>
                  <w:szCs w:val="22"/>
                </w:rPr>
                <w:t xml:space="preserve">wenselijk </w:t>
              </w:r>
              <w:r w:rsidRPr="00D21522">
                <w:rPr>
                  <w:rFonts w:cs="Segoe UI"/>
                  <w:color w:val="000000"/>
                  <w:szCs w:val="22"/>
                </w:rPr>
                <w:t xml:space="preserve">van </w:t>
              </w:r>
              <w:r>
                <w:rPr>
                  <w:rFonts w:cs="Segoe UI"/>
                  <w:color w:val="000000"/>
                  <w:szCs w:val="22"/>
                </w:rPr>
                <w:t xml:space="preserve">de </w:t>
              </w:r>
              <w:r w:rsidRPr="00D21522">
                <w:rPr>
                  <w:rFonts w:cs="Segoe UI"/>
                  <w:color w:val="000000"/>
                  <w:szCs w:val="22"/>
                </w:rPr>
                <w:t xml:space="preserve">toelichting </w:t>
              </w:r>
              <w:r>
                <w:rPr>
                  <w:rFonts w:cs="Segoe UI"/>
                  <w:color w:val="000000"/>
                  <w:szCs w:val="22"/>
                </w:rPr>
                <w:t>en zo nodig van het wetsvoorstel</w:t>
              </w:r>
              <w:r w:rsidRPr="00D21522">
                <w:rPr>
                  <w:rFonts w:cs="Segoe UI"/>
                  <w:color w:val="000000"/>
                  <w:szCs w:val="22"/>
                </w:rPr>
                <w:t>.</w:t>
              </w:r>
            </w:p>
            <w:p w:rsidR="00D21522" w:rsidP="00A5773B" w:rsidRDefault="00132AB8" w14:paraId="0016FFB6" w14:textId="77777777">
              <w:pPr>
                <w:rPr>
                  <w:szCs w:val="22"/>
                </w:rPr>
              </w:pPr>
            </w:p>
            <w:p w:rsidR="00D21522" w:rsidP="00A5773B" w:rsidRDefault="003113B3" w14:paraId="0D5CA331" w14:textId="77777777">
              <w:pPr>
                <w:rPr>
                  <w:szCs w:val="22"/>
                </w:rPr>
              </w:pPr>
              <w:r>
                <w:rPr>
                  <w:szCs w:val="22"/>
                </w:rPr>
                <w:t>1.</w:t>
              </w:r>
              <w:r>
                <w:rPr>
                  <w:szCs w:val="22"/>
                </w:rPr>
                <w:tab/>
              </w:r>
              <w:r w:rsidRPr="00733CF1">
                <w:rPr>
                  <w:szCs w:val="22"/>
                  <w:u w:val="single"/>
                </w:rPr>
                <w:t xml:space="preserve">Uitzonderingen voor </w:t>
              </w:r>
              <w:r>
                <w:rPr>
                  <w:szCs w:val="22"/>
                  <w:u w:val="single"/>
                </w:rPr>
                <w:t>huishoudelijk personeel</w:t>
              </w:r>
            </w:p>
            <w:p w:rsidR="00D21522" w:rsidP="00A5773B" w:rsidRDefault="00132AB8" w14:paraId="35ED3983" w14:textId="77777777">
              <w:pPr>
                <w:rPr>
                  <w:szCs w:val="22"/>
                </w:rPr>
              </w:pPr>
            </w:p>
            <w:p w:rsidR="00AA5220" w:rsidP="00A5773B" w:rsidRDefault="003113B3" w14:paraId="68C42C40" w14:textId="77777777">
              <w:pPr>
                <w:rPr>
                  <w:szCs w:val="22"/>
                </w:rPr>
              </w:pPr>
              <w:r>
                <w:rPr>
                  <w:szCs w:val="22"/>
                </w:rPr>
                <w:t>a.</w:t>
              </w:r>
              <w:r>
                <w:rPr>
                  <w:szCs w:val="22"/>
                </w:rPr>
                <w:tab/>
              </w:r>
              <w:r>
                <w:rPr>
                  <w:i/>
                  <w:iCs/>
                  <w:szCs w:val="22"/>
                </w:rPr>
                <w:t>Scholing</w:t>
              </w:r>
            </w:p>
            <w:p w:rsidR="00AA5220" w:rsidP="00A5773B" w:rsidRDefault="003113B3" w14:paraId="48E27CD3" w14:textId="77777777">
              <w:pPr>
                <w:rPr>
                  <w:szCs w:val="22"/>
                </w:rPr>
              </w:pPr>
              <w:r>
                <w:rPr>
                  <w:szCs w:val="22"/>
                </w:rPr>
                <w:t xml:space="preserve">Artikel 13 van </w:t>
              </w:r>
              <w:r>
                <w:t xml:space="preserve">Richtlijn (EU) 2019/1152 (de Richtlijn) </w:t>
              </w:r>
              <w:r>
                <w:rPr>
                  <w:szCs w:val="22"/>
                </w:rPr>
                <w:t>regelt dat werkgevers verplichte scholing op grond van het Unierecht, het nationale recht of collectieve overeenkomst verstrekken aan werknemers. De scholing wordt kosteloos aangeboden, wordt als arbeidstijd beschouwd en voor zover mogelijk vindt de scholing plaats tijdens werkuren. Artikel 1, zevende lid, van de Richtlijn biedt lidstaten de mogelijkheid om een uitzondering te maken voor werkgevers van huishoudelijk personeel.</w:t>
              </w:r>
            </w:p>
            <w:p w:rsidR="00491A09" w:rsidP="00A5773B" w:rsidRDefault="00132AB8" w14:paraId="33DB81DF" w14:textId="77777777">
              <w:pPr>
                <w:rPr>
                  <w:szCs w:val="22"/>
                </w:rPr>
              </w:pPr>
            </w:p>
            <w:p w:rsidR="00843170" w:rsidP="00A5773B" w:rsidRDefault="003113B3" w14:paraId="07120BFA" w14:textId="77777777">
              <w:pPr>
                <w:rPr>
                  <w:szCs w:val="22"/>
                </w:rPr>
              </w:pPr>
              <w:r>
                <w:rPr>
                  <w:szCs w:val="22"/>
                </w:rPr>
                <w:t>De regering stelt voor om van de mogelijkheid gebruik te maken om de uitzondering toe te passen.</w:t>
              </w:r>
              <w:r>
                <w:rPr>
                  <w:rStyle w:val="Voetnootmarkering"/>
                  <w:szCs w:val="22"/>
                </w:rPr>
                <w:footnoteReference w:id="1"/>
              </w:r>
              <w:r>
                <w:rPr>
                  <w:szCs w:val="22"/>
                </w:rPr>
                <w:t xml:space="preserve"> Volgens de toelichting is hiervoor gekozen om aan te sluiten bij het verlichte arbeidsrechtregime dat voor huishoudelijk personeel geldt. Verder wordt verwezen naar de motie Smeulders en Bruins</w:t>
              </w:r>
              <w:r>
                <w:rPr>
                  <w:rStyle w:val="Voetnootmarkering"/>
                  <w:szCs w:val="22"/>
                </w:rPr>
                <w:footnoteReference w:id="2"/>
              </w:r>
              <w:r>
                <w:rPr>
                  <w:szCs w:val="22"/>
                </w:rPr>
                <w:t xml:space="preserve"> waarin is opgeroepen om te onderzoeken welke opties er zijn om de positie van huishoudelijke hulpen te </w:t>
              </w:r>
              <w:r>
                <w:rPr>
                  <w:szCs w:val="22"/>
                </w:rPr>
                <w:lastRenderedPageBreak/>
                <w:t>verbeteren. De regering heeft nog geen standpunt ingenomen over de wijze waarop de positie van huishoudelijk personeel kan worden verbeterd.</w:t>
              </w:r>
              <w:r>
                <w:rPr>
                  <w:rStyle w:val="Voetnootmarkering"/>
                  <w:szCs w:val="22"/>
                </w:rPr>
                <w:footnoteReference w:id="3"/>
              </w:r>
              <w:r>
                <w:rPr>
                  <w:szCs w:val="22"/>
                </w:rPr>
                <w:t xml:space="preserve"> </w:t>
              </w:r>
            </w:p>
            <w:p w:rsidR="00843170" w:rsidP="00A5773B" w:rsidRDefault="00132AB8" w14:paraId="5A621FA1" w14:textId="77777777">
              <w:pPr>
                <w:rPr>
                  <w:szCs w:val="22"/>
                </w:rPr>
              </w:pPr>
            </w:p>
            <w:p w:rsidR="00AA5220" w:rsidP="00A5773B" w:rsidRDefault="003113B3" w14:paraId="01644AF8" w14:textId="77777777">
              <w:pPr>
                <w:rPr>
                  <w:szCs w:val="22"/>
                </w:rPr>
              </w:pPr>
              <w:r>
                <w:rPr>
                  <w:szCs w:val="22"/>
                </w:rPr>
                <w:t>Gelet hierop is ervoor gekozen om bij de implementatie van de Richtlijn geen wijzigingen door te voeren in het verlichte arbeidsrechtregime.</w:t>
              </w:r>
              <w:r>
                <w:rPr>
                  <w:rStyle w:val="Voetnootmarkering"/>
                  <w:szCs w:val="22"/>
                </w:rPr>
                <w:footnoteReference w:id="4"/>
              </w:r>
              <w:r>
                <w:rPr>
                  <w:szCs w:val="22"/>
                </w:rPr>
                <w:t xml:space="preserve"> Tevens stelt de toelichting dat er op dit moment geen scholing bekend is die specifiek ziet op werkzaamheden die worden verricht door huishoudelijk personeel.</w:t>
              </w:r>
              <w:r>
                <w:rPr>
                  <w:rStyle w:val="Voetnootmarkering"/>
                  <w:szCs w:val="22"/>
                </w:rPr>
                <w:footnoteReference w:id="5"/>
              </w:r>
              <w:r>
                <w:rPr>
                  <w:szCs w:val="22"/>
                </w:rPr>
                <w:t xml:space="preserve"> De regering verwacht niet dat natuurlijke personen, die werkgevers zijn van huishoudelijk personeel, misbruik maken van de ondergeschikte positie van huishoudelijk personeel door de scholingskosten in rekening te brengen. </w:t>
              </w:r>
            </w:p>
            <w:p w:rsidR="008C7AB6" w:rsidP="00A5773B" w:rsidRDefault="00132AB8" w14:paraId="7F9CB9A6" w14:textId="77777777">
              <w:pPr>
                <w:rPr>
                  <w:szCs w:val="22"/>
                </w:rPr>
              </w:pPr>
            </w:p>
            <w:p w:rsidR="00843170" w:rsidP="00A5773B" w:rsidRDefault="003113B3" w14:paraId="3A8AFFEE" w14:textId="77777777">
              <w:pPr>
                <w:rPr>
                  <w:szCs w:val="22"/>
                </w:rPr>
              </w:pPr>
              <w:r>
                <w:rPr>
                  <w:szCs w:val="22"/>
                </w:rPr>
                <w:t>De Afdeling constateert dat in de systematiek van het Nederlandse arbeidsrecht in beginsel het volledige arbeidsrecht van toepassing is op huishoudelijk personeel, behoudens specifieke afwijkingen. Het verlichte arbeidsrechtregime is bedoeld ter stimulering van de markt voor persoonlijke dienstverlening.</w:t>
              </w:r>
              <w:r>
                <w:rPr>
                  <w:rStyle w:val="Voetnootmarkering"/>
                  <w:szCs w:val="22"/>
                </w:rPr>
                <w:footnoteReference w:id="6"/>
              </w:r>
              <w:r>
                <w:rPr>
                  <w:szCs w:val="22"/>
                </w:rPr>
                <w:t xml:space="preserve"> Dit wordt bereikt door de werkgeverslasten te verminderen, met name door het wegnemen van de verplichting tot premiebetaling voor werknemersverzekeringen, inhouding van loonbelastingen en wegnemen van preventief toezicht op ontslag. </w:t>
              </w:r>
            </w:p>
            <w:p w:rsidR="00843170" w:rsidP="00A5773B" w:rsidRDefault="00132AB8" w14:paraId="01891EC3" w14:textId="77777777">
              <w:pPr>
                <w:rPr>
                  <w:szCs w:val="22"/>
                </w:rPr>
              </w:pPr>
            </w:p>
            <w:p w:rsidR="00843170" w:rsidP="00A5773B" w:rsidRDefault="003113B3" w14:paraId="046DD564" w14:textId="77777777">
              <w:pPr>
                <w:rPr>
                  <w:szCs w:val="22"/>
                </w:rPr>
              </w:pPr>
              <w:r>
                <w:rPr>
                  <w:szCs w:val="22"/>
                </w:rPr>
                <w:t xml:space="preserve">De Afdeling merkt op dat de motivering voor de afwijking bij deze nieuwe regel niet vermeldt waarom deze afwijking voor de vergoeding van kosten van verplichte scholing specifiek nodig zou zijn. Evenmin lijkt deze uitbreiding van verschillen in rechtspositie tussen huishoudelijk personeel en andere werknemers in lijn met de gedachte achter de aangenomen motie. De sociale partners en de Raad voor de rechtspraak oordelen de afwijking niet gewenst. </w:t>
              </w:r>
            </w:p>
            <w:p w:rsidR="00843170" w:rsidP="00A5773B" w:rsidRDefault="00132AB8" w14:paraId="04A019CD" w14:textId="77777777">
              <w:pPr>
                <w:rPr>
                  <w:szCs w:val="22"/>
                </w:rPr>
              </w:pPr>
            </w:p>
            <w:p w:rsidR="00AD7198" w:rsidP="00A5773B" w:rsidRDefault="003113B3" w14:paraId="0D0A7C7D" w14:textId="77777777">
              <w:pPr>
                <w:rPr>
                  <w:szCs w:val="22"/>
                </w:rPr>
              </w:pPr>
              <w:r>
                <w:rPr>
                  <w:szCs w:val="22"/>
                </w:rPr>
                <w:t>De Afdeling adviseert de noodzaak van deze afwijking inhoudelijk te motiveren.</w:t>
              </w:r>
            </w:p>
            <w:p w:rsidR="00AD7198" w:rsidP="00A5773B" w:rsidRDefault="00132AB8" w14:paraId="665685A6" w14:textId="77777777">
              <w:pPr>
                <w:rPr>
                  <w:szCs w:val="22"/>
                </w:rPr>
              </w:pPr>
            </w:p>
            <w:p w:rsidR="00AA5220" w:rsidP="00A5773B" w:rsidRDefault="003113B3" w14:paraId="20522F90" w14:textId="77777777">
              <w:pPr>
                <w:rPr>
                  <w:szCs w:val="22"/>
                </w:rPr>
              </w:pPr>
              <w:r>
                <w:rPr>
                  <w:szCs w:val="22"/>
                </w:rPr>
                <w:t>b.</w:t>
              </w:r>
              <w:r>
                <w:rPr>
                  <w:szCs w:val="22"/>
                </w:rPr>
                <w:tab/>
              </w:r>
              <w:r>
                <w:rPr>
                  <w:i/>
                  <w:iCs/>
                  <w:szCs w:val="22"/>
                </w:rPr>
                <w:t>Voorspelbare en zekere arbeidsvoorwaarden</w:t>
              </w:r>
            </w:p>
            <w:p w:rsidR="00125953" w:rsidP="00A5773B" w:rsidRDefault="003113B3" w14:paraId="0BF75D44" w14:textId="77777777">
              <w:pPr>
                <w:rPr>
                  <w:szCs w:val="22"/>
                </w:rPr>
              </w:pPr>
              <w:r>
                <w:rPr>
                  <w:szCs w:val="22"/>
                </w:rPr>
                <w:t xml:space="preserve">Ingevolge artikel 12 van de Richtlijn zorgen lidstaten ervoor dat een werknemer een verzoek kan doen bij de werkgever om een vorm van werk met meer voorspelbare en zekere arbeidsvoorwaarden. De werknemer ontvangt vervolgens een gemotiveerd schriftelijk antwoord van de werkgever op dat verzoek. </w:t>
              </w:r>
            </w:p>
            <w:p w:rsidR="00125953" w:rsidP="00A5773B" w:rsidRDefault="00132AB8" w14:paraId="2BC1A4CA" w14:textId="77777777">
              <w:pPr>
                <w:rPr>
                  <w:szCs w:val="22"/>
                </w:rPr>
              </w:pPr>
            </w:p>
            <w:p w:rsidR="00843170" w:rsidP="00A5773B" w:rsidRDefault="003113B3" w14:paraId="3EDB9DDE" w14:textId="77777777">
              <w:pPr>
                <w:rPr>
                  <w:szCs w:val="22"/>
                </w:rPr>
              </w:pPr>
              <w:r>
                <w:rPr>
                  <w:szCs w:val="22"/>
                </w:rPr>
                <w:t>Artikel 1, zevende lid, van de Richtlijn geeft lidstaten ook hierbij de mogelijkheid om huishoudelijk personeel uit te zonderen van deze regeling. Het wetsvoorstel maakt ook van deze mogelijkheid tot uitzondering gebruik, zonder dat de toelichting hiervoor specifieke redenen geeft.</w:t>
              </w:r>
              <w:r>
                <w:rPr>
                  <w:rStyle w:val="Voetnootmarkering"/>
                  <w:szCs w:val="22"/>
                </w:rPr>
                <w:footnoteReference w:id="7"/>
              </w:r>
              <w:r>
                <w:rPr>
                  <w:szCs w:val="22"/>
                </w:rPr>
                <w:t xml:space="preserve"> </w:t>
              </w:r>
            </w:p>
            <w:p w:rsidR="00843170" w:rsidP="00A5773B" w:rsidRDefault="00132AB8" w14:paraId="0A44283E" w14:textId="77777777">
              <w:pPr>
                <w:rPr>
                  <w:szCs w:val="22"/>
                </w:rPr>
              </w:pPr>
            </w:p>
            <w:p w:rsidR="00987BCB" w:rsidP="00A5773B" w:rsidRDefault="003113B3" w14:paraId="73C876C9" w14:textId="77777777">
              <w:pPr>
                <w:rPr>
                  <w:szCs w:val="22"/>
                </w:rPr>
              </w:pPr>
              <w:r>
                <w:rPr>
                  <w:szCs w:val="22"/>
                </w:rPr>
                <w:t xml:space="preserve">De Afdeling adviseert het wetvoorstel ook op dit punt nader te motiveren. </w:t>
              </w:r>
            </w:p>
            <w:p w:rsidR="00754556" w:rsidP="00A5773B" w:rsidRDefault="00132AB8" w14:paraId="6C81F9EC" w14:textId="77777777">
              <w:pPr>
                <w:rPr>
                  <w:szCs w:val="22"/>
                </w:rPr>
              </w:pPr>
            </w:p>
            <w:p w:rsidRPr="00D21522" w:rsidR="00D21522" w:rsidP="00A5773B" w:rsidRDefault="003113B3" w14:paraId="515DCB25" w14:textId="77777777">
              <w:pPr>
                <w:rPr>
                  <w:szCs w:val="22"/>
                  <w:u w:val="single"/>
                </w:rPr>
              </w:pPr>
              <w:r>
                <w:rPr>
                  <w:szCs w:val="22"/>
                </w:rPr>
                <w:t>2.</w:t>
              </w:r>
              <w:r>
                <w:rPr>
                  <w:szCs w:val="22"/>
                </w:rPr>
                <w:tab/>
              </w:r>
              <w:r>
                <w:rPr>
                  <w:szCs w:val="22"/>
                  <w:u w:val="single"/>
                </w:rPr>
                <w:t>Beslistermijn kleine werkgevers</w:t>
              </w:r>
            </w:p>
            <w:p w:rsidR="00D21522" w:rsidP="00A5773B" w:rsidRDefault="00132AB8" w14:paraId="16472063" w14:textId="77777777">
              <w:pPr>
                <w:rPr>
                  <w:szCs w:val="22"/>
                </w:rPr>
              </w:pPr>
            </w:p>
            <w:p w:rsidR="00196DAD" w:rsidP="00A5773B" w:rsidRDefault="003113B3" w14:paraId="41B2368E" w14:textId="77777777">
              <w:pPr>
                <w:rPr>
                  <w:szCs w:val="22"/>
                </w:rPr>
              </w:pPr>
              <w:r>
                <w:rPr>
                  <w:szCs w:val="22"/>
                </w:rPr>
                <w:t>Artikel 12, tweede lid, van de Richtlijn bepaalt dat een werkgever binnen een maand gemotiveerd schriftelijk antwoordt op een verzoek van een werknemer om een vorm van werk met meer voorspelbare en zekere arbeidsvoorwaarden. De lidstaten hebben de mogelijkheid om die termijn te verlengen tot maximaal drie maanden voor natuurlijke personen die handelen als werkgever, en kleine, middelgrote en micro-ondernemingen.</w:t>
              </w:r>
              <w:r>
                <w:rPr>
                  <w:rStyle w:val="Voetnootmarkering"/>
                  <w:szCs w:val="22"/>
                </w:rPr>
                <w:footnoteReference w:id="8"/>
              </w:r>
              <w:r>
                <w:rPr>
                  <w:szCs w:val="22"/>
                </w:rPr>
                <w:t xml:space="preserve"> Het wetsvoorstel voorziet hierin door werkgevers die minder dan tien werknemers hebben de gelegenheid te bieden om binnen drie maanden op het verzoek te beslissen.</w:t>
              </w:r>
              <w:r>
                <w:rPr>
                  <w:rStyle w:val="Voetnootmarkering"/>
                  <w:szCs w:val="22"/>
                </w:rPr>
                <w:footnoteReference w:id="9"/>
              </w:r>
              <w:r>
                <w:rPr>
                  <w:szCs w:val="22"/>
                </w:rPr>
                <w:t xml:space="preserve"> </w:t>
              </w:r>
            </w:p>
            <w:p w:rsidR="00843170" w:rsidP="00A5773B" w:rsidRDefault="00132AB8" w14:paraId="6CE3AF17" w14:textId="77777777">
              <w:pPr>
                <w:rPr>
                  <w:szCs w:val="22"/>
                </w:rPr>
              </w:pPr>
            </w:p>
            <w:p w:rsidR="000C68A2" w:rsidRDefault="003113B3" w14:paraId="75C0E676" w14:textId="77777777">
              <w:pPr>
                <w:rPr>
                  <w:szCs w:val="22"/>
                </w:rPr>
              </w:pPr>
              <w:r>
                <w:rPr>
                  <w:szCs w:val="22"/>
                </w:rPr>
                <w:t>De Afdeling heeft begrip voor de gedachte dat kleine werkgevers waar mogelijk moeten worden ontzien bij het opleggen van administratieve verplichtingen. De toelichting gaat echter niet in op de reden waarom in het concrete geval deze verlengde beslistermijn voor kleine werkgevers verlichting van administratieve verplichtingen meebrengt. Voor werknemers die een dergelijk verzoek doen kan het immers van belang zijn om snel uitsluitsel te krijgen op hun verzoek. De Afdeling adviseert om de keuze voor een beslistermijn van drie maanden voor kleine werkgevers nader te motiveren.</w:t>
              </w:r>
            </w:p>
          </w:sdtContent>
        </w:sdt>
        <w:p w:rsidRPr="00831363" w:rsidR="008C5EDD" w:rsidP="00CE4655" w:rsidRDefault="008C5EDD" w14:paraId="0456264C" w14:textId="77777777"/>
        <w:sdt>
          <w:sdtPr>
            <w:alias w:val="VrijeTekst2"/>
            <w:tag w:val="VrijeTekst2"/>
            <w:id w:val="-1010833392"/>
            <w:lock w:val="sdtLocked"/>
            <w:placeholder>
              <w:docPart w:val="DefaultPlaceholder_1082065158"/>
            </w:placeholder>
          </w:sdtPr>
          <w:sdtEndPr/>
          <w:sdtContent>
            <w:p w:rsidR="00125953" w:rsidP="00891BB0" w:rsidRDefault="003113B3" w14:paraId="7807D499" w14:textId="77777777">
              <w:r>
                <w:t>3.</w:t>
              </w:r>
              <w:r>
                <w:tab/>
              </w:r>
              <w:r w:rsidRPr="00843170">
                <w:rPr>
                  <w:u w:val="single"/>
                </w:rPr>
                <w:t>Positie zeevarenden en zeevissers</w:t>
              </w:r>
            </w:p>
            <w:p w:rsidR="00125953" w:rsidP="00891BB0" w:rsidRDefault="00132AB8" w14:paraId="5F73EB1D" w14:textId="77777777"/>
            <w:p w:rsidR="000C68A2" w:rsidRDefault="003113B3" w14:paraId="7D0FA959" w14:textId="77777777">
              <w:pPr>
                <w:pStyle w:val="Normaalweb"/>
                <w:spacing w:before="0" w:beforeAutospacing="0" w:after="0" w:afterAutospacing="0"/>
                <w:rPr>
                  <w:rFonts w:ascii="Univers" w:hAnsi="Univers"/>
                </w:rPr>
              </w:pPr>
              <w:r w:rsidRPr="003B7CA1">
                <w:rPr>
                  <w:rFonts w:ascii="Univers" w:hAnsi="Univers"/>
                </w:rPr>
                <w:t xml:space="preserve">Artikel 4, tweede lid, onder m en o, en de artikelen 7, 9, 10 en 12 </w:t>
              </w:r>
              <w:r w:rsidRPr="007E3F7C">
                <w:rPr>
                  <w:rFonts w:ascii="Univers" w:hAnsi="Univers"/>
                </w:rPr>
                <w:t xml:space="preserve">van de Richtlijn </w:t>
              </w:r>
              <w:r w:rsidRPr="003B7CA1">
                <w:rPr>
                  <w:rFonts w:ascii="Univers" w:hAnsi="Univers"/>
                </w:rPr>
                <w:t xml:space="preserve">gelden niet voor zeevarenden of </w:t>
              </w:r>
              <w:r>
                <w:rPr>
                  <w:rFonts w:ascii="Univers" w:hAnsi="Univers"/>
                </w:rPr>
                <w:t>zee</w:t>
              </w:r>
              <w:r w:rsidRPr="003B7CA1">
                <w:rPr>
                  <w:rFonts w:ascii="Univers" w:hAnsi="Univers"/>
                </w:rPr>
                <w:t>vissers.</w:t>
              </w:r>
              <w:r w:rsidRPr="003B7CA1">
                <w:rPr>
                  <w:rStyle w:val="Voetnootmarkering"/>
                  <w:rFonts w:ascii="Univers" w:hAnsi="Univers"/>
                </w:rPr>
                <w:footnoteReference w:id="10"/>
              </w:r>
              <w:r w:rsidRPr="003B7CA1">
                <w:rPr>
                  <w:rFonts w:ascii="Univers" w:hAnsi="Univers"/>
                </w:rPr>
                <w:t> </w:t>
              </w:r>
              <w:r>
                <w:rPr>
                  <w:rFonts w:ascii="Univers" w:hAnsi="Univers"/>
                </w:rPr>
                <w:t xml:space="preserve">Door de wijze van implementatie van deze bepalingen in </w:t>
              </w:r>
              <w:r w:rsidRPr="003B7CA1">
                <w:rPr>
                  <w:rFonts w:ascii="Univers" w:hAnsi="Univers"/>
                </w:rPr>
                <w:t xml:space="preserve">artikel 7:655, eerste lid, </w:t>
              </w:r>
              <w:r>
                <w:rPr>
                  <w:rFonts w:ascii="Univers" w:hAnsi="Univers"/>
                </w:rPr>
                <w:t>onderdeel</w:t>
              </w:r>
              <w:r w:rsidRPr="003B7CA1">
                <w:rPr>
                  <w:rFonts w:ascii="Univers" w:hAnsi="Univers"/>
                </w:rPr>
                <w:t xml:space="preserve"> s van het Burgerlijk Wetboek (BW)</w:t>
              </w:r>
              <w:r>
                <w:rPr>
                  <w:rFonts w:ascii="Univers" w:hAnsi="Univers"/>
                </w:rPr>
                <w:t xml:space="preserve">, </w:t>
              </w:r>
              <w:r w:rsidRPr="003B7CA1">
                <w:rPr>
                  <w:rFonts w:ascii="Univers" w:hAnsi="Univers"/>
                </w:rPr>
                <w:t xml:space="preserve">artikel 7:628b, tweede en derde lid, van het BW </w:t>
              </w:r>
              <w:r>
                <w:rPr>
                  <w:rFonts w:ascii="Univers" w:hAnsi="Univers"/>
                </w:rPr>
                <w:t xml:space="preserve">en </w:t>
              </w:r>
              <w:r w:rsidRPr="003B7CA1">
                <w:rPr>
                  <w:rFonts w:ascii="Univers" w:hAnsi="Univers"/>
                </w:rPr>
                <w:t>artikel 2b van de Wet flexibel werken</w:t>
              </w:r>
              <w:r>
                <w:rPr>
                  <w:rFonts w:ascii="Univers" w:hAnsi="Univers"/>
                </w:rPr>
                <w:t xml:space="preserve"> gelden deze bepalingen echter ook voor </w:t>
              </w:r>
              <w:r w:rsidRPr="003B7CA1">
                <w:rPr>
                  <w:rFonts w:ascii="Univers" w:hAnsi="Univers"/>
                </w:rPr>
                <w:t xml:space="preserve">zeevarenden en zeevissers. </w:t>
              </w:r>
              <w:r>
                <w:rPr>
                  <w:rFonts w:ascii="Univers" w:hAnsi="Univers"/>
                </w:rPr>
                <w:t xml:space="preserve">In deze gevallen gaat </w:t>
              </w:r>
              <w:r w:rsidRPr="001357F8">
                <w:rPr>
                  <w:rFonts w:ascii="Univers" w:hAnsi="Univers"/>
                </w:rPr>
                <w:t xml:space="preserve">het wetsvoorstel </w:t>
              </w:r>
              <w:r>
                <w:rPr>
                  <w:rFonts w:ascii="Univers" w:hAnsi="Univers"/>
                </w:rPr>
                <w:t xml:space="preserve">derhalve verder dan </w:t>
              </w:r>
              <w:r w:rsidRPr="001357F8">
                <w:rPr>
                  <w:rFonts w:ascii="Univers" w:hAnsi="Univers"/>
                </w:rPr>
                <w:t>de Richtlijn</w:t>
              </w:r>
              <w:r>
                <w:rPr>
                  <w:rFonts w:ascii="Univers" w:hAnsi="Univers"/>
                </w:rPr>
                <w:t xml:space="preserve"> eist</w:t>
              </w:r>
              <w:r w:rsidRPr="001357F8">
                <w:rPr>
                  <w:rFonts w:ascii="Univers" w:hAnsi="Univers"/>
                </w:rPr>
                <w:t>.</w:t>
              </w:r>
            </w:p>
            <w:p w:rsidR="002D0200" w:rsidP="00A27F27" w:rsidRDefault="00132AB8" w14:paraId="5CE0B829" w14:textId="77777777">
              <w:pPr>
                <w:pStyle w:val="Normaalweb"/>
                <w:spacing w:before="0" w:beforeAutospacing="0" w:after="0" w:afterAutospacing="0"/>
                <w:rPr>
                  <w:rFonts w:ascii="Univers" w:hAnsi="Univers"/>
                </w:rPr>
              </w:pPr>
            </w:p>
            <w:p w:rsidR="00A27F27" w:rsidP="00A27F27" w:rsidRDefault="003113B3" w14:paraId="3405EE69" w14:textId="77777777">
              <w:pPr>
                <w:pStyle w:val="Normaalweb"/>
                <w:spacing w:before="0" w:beforeAutospacing="0" w:after="0" w:afterAutospacing="0"/>
                <w:rPr>
                  <w:rFonts w:ascii="Univers" w:hAnsi="Univers"/>
                </w:rPr>
              </w:pPr>
              <w:r>
                <w:rPr>
                  <w:rFonts w:ascii="Univers" w:hAnsi="Univers"/>
                </w:rPr>
                <w:t xml:space="preserve">De Afdeling merkt in de eerste plaats op dat het de vraag is of de Richtlijn deze ruimere implementatie toelaat. Enerzijds bepaalt de Richtlijn dat de betreffende bepalingen ‘niet gelden’ voor deze doelgroep. Anderzijds betreft het een minimumrichtlijn die afwijking ten gunste van werknemers toelaat. </w:t>
              </w:r>
              <w:r w:rsidRPr="003B7CA1">
                <w:rPr>
                  <w:rFonts w:ascii="Univers" w:hAnsi="Univers"/>
                </w:rPr>
                <w:t xml:space="preserve">De Afdeling adviseert om </w:t>
              </w:r>
              <w:r>
                <w:rPr>
                  <w:rFonts w:ascii="Univers" w:hAnsi="Univers"/>
                </w:rPr>
                <w:t xml:space="preserve">daarom nader toe te lichten of deze ruimere implementatie mogelijk is. </w:t>
              </w:r>
            </w:p>
            <w:p w:rsidR="007F5593" w:rsidP="00A27F27" w:rsidRDefault="00132AB8" w14:paraId="6298131A" w14:textId="77777777">
              <w:pPr>
                <w:pStyle w:val="Normaalweb"/>
                <w:spacing w:before="0" w:beforeAutospacing="0" w:after="0" w:afterAutospacing="0"/>
                <w:rPr>
                  <w:rFonts w:ascii="Univers" w:hAnsi="Univers"/>
                </w:rPr>
              </w:pPr>
            </w:p>
            <w:p w:rsidR="00A27F27" w:rsidP="00A27F27" w:rsidRDefault="003113B3" w14:paraId="7F21A7EE" w14:textId="77777777">
              <w:pPr>
                <w:pStyle w:val="Normaalweb"/>
                <w:spacing w:before="0" w:beforeAutospacing="0" w:after="0" w:afterAutospacing="0"/>
                <w:rPr>
                  <w:rFonts w:ascii="Univers" w:hAnsi="Univers"/>
                </w:rPr>
              </w:pPr>
              <w:r>
                <w:rPr>
                  <w:rFonts w:ascii="Univers" w:hAnsi="Univers"/>
                </w:rPr>
                <w:t>Daarnaast betreft de ruimere implementatie in elk geval een zogeheten ‘nationale kop’. Een dergelijke kop is in beginsel geen beleid. De Afdeling onderkent dat anderzijds in de systematiek van titel 7.10 BW zeevarenden en zeevissers gelijk worden behandeld met andere werknemers, behoudens specifieke afwijkingen, zodat de vraag kan worden gesteld of voor hen ook in dit geval naar Nederlands recht dezelfde regels zouden kunnen gelden.</w:t>
              </w:r>
            </w:p>
            <w:p w:rsidR="002D0200" w:rsidP="00A27F27" w:rsidRDefault="00132AB8" w14:paraId="49344D59" w14:textId="77777777">
              <w:pPr>
                <w:pStyle w:val="Normaalweb"/>
                <w:spacing w:before="0" w:beforeAutospacing="0" w:after="0" w:afterAutospacing="0"/>
                <w:rPr>
                  <w:rFonts w:ascii="Univers" w:hAnsi="Univers"/>
                </w:rPr>
              </w:pPr>
            </w:p>
            <w:p w:rsidR="00A27F27" w:rsidP="003B7CA1" w:rsidRDefault="003113B3" w14:paraId="76881AC8" w14:textId="77777777">
              <w:pPr>
                <w:pStyle w:val="Normaalweb"/>
                <w:spacing w:before="0" w:beforeAutospacing="0" w:after="0" w:afterAutospacing="0"/>
              </w:pPr>
              <w:r>
                <w:rPr>
                  <w:rFonts w:ascii="Univers" w:hAnsi="Univers"/>
                </w:rPr>
                <w:t>De Afdeling adviseert in de toelichting nader in te gaan op het voorgaande en het voorstel zo nodig aan te passen.</w:t>
              </w:r>
            </w:p>
            <w:p w:rsidR="00743510" w:rsidP="00891BB0" w:rsidRDefault="00132AB8" w14:paraId="5E78677C" w14:textId="77777777"/>
            <w:p w:rsidR="007212F1" w:rsidP="00891BB0" w:rsidRDefault="003113B3" w14:paraId="4C26F190" w14:textId="77777777">
              <w:r>
                <w:t>4.</w:t>
              </w:r>
              <w:r>
                <w:tab/>
              </w:r>
              <w:r w:rsidRPr="005F7A2B">
                <w:t>De Afdeling verwijst naar de bij dit advies behorende redactionele bijlage.</w:t>
              </w:r>
            </w:p>
          </w:sdtContent>
        </w:sdt>
        <w:p w:rsidRPr="00831363" w:rsidR="001410FD" w:rsidP="00796479" w:rsidRDefault="001410FD" w14:paraId="0D0E0246" w14:textId="77777777"/>
        <w:sdt>
          <w:sdtPr>
            <w:alias w:val="Dictum"/>
            <w:tag w:val="Dictum"/>
            <w:id w:val="316161467"/>
            <w:lock w:val="sdtContentLocked"/>
            <w:placeholder>
              <w:docPart w:val="DefaultPlaceholder_1082065158"/>
            </w:placeholder>
            <w:text w:multiLine="1"/>
          </w:sdtPr>
          <w:sdtEndPr/>
          <w:sdtContent>
            <w:p w:rsidR="000C68A2" w:rsidRDefault="003113B3" w14:paraId="6D79EC8D"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7974D51B" w14:textId="77777777">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14:paraId="12205EA1"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W12.21.0215</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7EDAF6AA" w14:textId="77777777"/>
        <w:sdt>
          <w:sdtPr>
            <w:alias w:val="VrijeTekst3"/>
            <w:tag w:val="VrijeTekst3"/>
            <w:id w:val="2141764690"/>
            <w:lock w:val="sdtLocked"/>
          </w:sdtPr>
          <w:sdtEndPr/>
          <w:sdtContent>
            <w:p w:rsidR="0028697B" w:rsidP="00D969CB" w:rsidRDefault="003113B3" w14:paraId="3135D018" w14:textId="77777777">
              <w:pPr>
                <w:numPr>
                  <w:ilvl w:val="0"/>
                  <w:numId w:val="1"/>
                </w:numPr>
              </w:pPr>
              <w:r>
                <w:t xml:space="preserve">In artikel I, onderdeel D, elfde lid, de term “document” veranderen in “schriftelijke of elektronische opgave”. </w:t>
              </w:r>
            </w:p>
            <w:p w:rsidR="00E70C71" w:rsidP="00D969CB" w:rsidRDefault="003113B3" w14:paraId="787CF7C4" w14:textId="77777777">
              <w:pPr>
                <w:numPr>
                  <w:ilvl w:val="0"/>
                  <w:numId w:val="1"/>
                </w:numPr>
              </w:pPr>
              <w:r>
                <w:t>Artikel 1, onderdeel D, elfde lid, in overeenstemming brengen met artikel 6, eerste lid, van de Richtlijn door toe te voegen dat wijzigingen in de gegevens “zo snel mogelijk” aan de werknemer worden verstrekt.</w:t>
              </w:r>
            </w:p>
          </w:sdtContent>
        </w:sdt>
        <w:p w:rsidR="00C50D4F" w:rsidP="005841EA" w:rsidRDefault="00132AB8" w14:paraId="6D3A0C3E" w14:textId="77777777">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D4B5" w14:textId="77777777" w:rsidR="009E4C8C" w:rsidRDefault="003113B3" w:rsidP="00A5773B">
      <w:r>
        <w:separator/>
      </w:r>
    </w:p>
    <w:p w14:paraId="73230888" w14:textId="77777777" w:rsidR="009E4C8C" w:rsidRDefault="00132AB8"/>
  </w:endnote>
  <w:endnote w:type="continuationSeparator" w:id="0">
    <w:p w14:paraId="22174542" w14:textId="77777777" w:rsidR="009E4C8C" w:rsidRDefault="003113B3" w:rsidP="00A5773B">
      <w:r>
        <w:continuationSeparator/>
      </w:r>
    </w:p>
    <w:p w14:paraId="71C8AD2C" w14:textId="77777777" w:rsidR="009E4C8C" w:rsidRDefault="00132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FCD3" w14:textId="77777777" w:rsidR="00132AB8" w:rsidRDefault="00132A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30A4" w14:textId="77777777" w:rsidR="00132AB8" w:rsidRDefault="00132A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95BBA"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344D05F" wp14:editId="41FA9604">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94E5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4D05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12A94E5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960FD" w14:textId="77777777" w:rsidR="009E4C8C" w:rsidRDefault="003113B3" w:rsidP="00A5773B">
      <w:r>
        <w:separator/>
      </w:r>
    </w:p>
    <w:p w14:paraId="5D1A7C56" w14:textId="77777777" w:rsidR="009E4C8C" w:rsidRDefault="00132AB8"/>
  </w:footnote>
  <w:footnote w:type="continuationSeparator" w:id="0">
    <w:p w14:paraId="72364C22" w14:textId="77777777" w:rsidR="009E4C8C" w:rsidRDefault="003113B3" w:rsidP="00A5773B">
      <w:r>
        <w:continuationSeparator/>
      </w:r>
    </w:p>
    <w:p w14:paraId="2813A3B2" w14:textId="77777777" w:rsidR="009E4C8C" w:rsidRDefault="00132AB8"/>
  </w:footnote>
  <w:footnote w:id="1">
    <w:p w14:paraId="4559F88F" w14:textId="77777777" w:rsidR="00A5773B" w:rsidRPr="0093156D" w:rsidRDefault="003113B3">
      <w:pPr>
        <w:pStyle w:val="Voetnoottekst"/>
      </w:pPr>
      <w:r>
        <w:rPr>
          <w:rStyle w:val="Voetnootmarkering"/>
        </w:rPr>
        <w:footnoteRef/>
      </w:r>
      <w:r>
        <w:t xml:space="preserve"> </w:t>
      </w:r>
      <w:r w:rsidRPr="000635F2">
        <w:tab/>
      </w:r>
      <w:r w:rsidRPr="0093156D">
        <w:t xml:space="preserve">Artikel I, onderdeel A, derde lid, van de Wet implementatie EU-richtlijn transparante en voorspelbare arbeidsvoorwaarden (artikel 7:611a, derde lid, van het BW (nieuw)). </w:t>
      </w:r>
    </w:p>
  </w:footnote>
  <w:footnote w:id="2">
    <w:p w14:paraId="27A16F60" w14:textId="77777777" w:rsidR="00A5773B" w:rsidRPr="0093156D" w:rsidRDefault="003113B3">
      <w:pPr>
        <w:pStyle w:val="Voetnoottekst"/>
      </w:pPr>
      <w:r w:rsidRPr="0093156D">
        <w:rPr>
          <w:rStyle w:val="Voetnootmarkering"/>
        </w:rPr>
        <w:footnoteRef/>
      </w:r>
      <w:r w:rsidRPr="0093156D">
        <w:t xml:space="preserve"> </w:t>
      </w:r>
      <w:r w:rsidRPr="0093156D">
        <w:tab/>
        <w:t xml:space="preserve">Kamerstukken II 2020/21, 33570-XV, nr. 37. </w:t>
      </w:r>
    </w:p>
  </w:footnote>
  <w:footnote w:id="3">
    <w:p w14:paraId="773A7F27" w14:textId="77777777" w:rsidR="00A5773B" w:rsidRPr="00672EF1" w:rsidRDefault="003113B3">
      <w:pPr>
        <w:pStyle w:val="Voetnoottekst"/>
      </w:pPr>
      <w:r w:rsidRPr="0093156D">
        <w:rPr>
          <w:rStyle w:val="Voetnootmarkering"/>
        </w:rPr>
        <w:footnoteRef/>
      </w:r>
      <w:r w:rsidRPr="0093156D">
        <w:t xml:space="preserve"> </w:t>
      </w:r>
      <w:r w:rsidRPr="0093156D">
        <w:tab/>
        <w:t>Kamerstukken II 2020/21, 29544, nr. 1047.</w:t>
      </w:r>
    </w:p>
  </w:footnote>
  <w:footnote w:id="4">
    <w:p w14:paraId="1A2CEDBC" w14:textId="77777777" w:rsidR="00A5773B" w:rsidRPr="00672EF1" w:rsidRDefault="003113B3">
      <w:pPr>
        <w:pStyle w:val="Voetnoottekst"/>
      </w:pPr>
      <w:r w:rsidRPr="00672EF1">
        <w:rPr>
          <w:rStyle w:val="Voetnootmarkering"/>
        </w:rPr>
        <w:footnoteRef/>
      </w:r>
      <w:r w:rsidRPr="00672EF1">
        <w:t xml:space="preserve"> </w:t>
      </w:r>
      <w:r w:rsidRPr="00672EF1">
        <w:tab/>
        <w:t xml:space="preserve">Memorie van toelichting, </w:t>
      </w:r>
      <w:r>
        <w:t xml:space="preserve">algemeen, </w:t>
      </w:r>
      <w:r w:rsidRPr="00672EF1">
        <w:t>paragraaf 7.</w:t>
      </w:r>
    </w:p>
  </w:footnote>
  <w:footnote w:id="5">
    <w:p w14:paraId="48A914CC" w14:textId="77777777" w:rsidR="00A5773B" w:rsidRPr="000635F2" w:rsidRDefault="003113B3">
      <w:pPr>
        <w:pStyle w:val="Voetnoottekst"/>
      </w:pPr>
      <w:r w:rsidRPr="00672EF1">
        <w:rPr>
          <w:rStyle w:val="Voetnootmarkering"/>
        </w:rPr>
        <w:footnoteRef/>
      </w:r>
      <w:r w:rsidRPr="00672EF1">
        <w:t xml:space="preserve"> </w:t>
      </w:r>
      <w:r w:rsidRPr="00672EF1">
        <w:tab/>
        <w:t>Memorie van toelichting, artikelsgewijze toelichting, artikel 611a, derde lid.</w:t>
      </w:r>
    </w:p>
  </w:footnote>
  <w:footnote w:id="6">
    <w:p w14:paraId="198FA53C" w14:textId="77777777" w:rsidR="005D0BC3" w:rsidRPr="0093156D" w:rsidRDefault="003113B3" w:rsidP="005D0BC3">
      <w:pPr>
        <w:pStyle w:val="Voetnoottekst"/>
      </w:pPr>
      <w:r>
        <w:rPr>
          <w:rStyle w:val="Voetnootmarkering"/>
        </w:rPr>
        <w:footnoteRef/>
      </w:r>
      <w:r>
        <w:t xml:space="preserve"> </w:t>
      </w:r>
      <w:r w:rsidRPr="001B2ADA">
        <w:tab/>
      </w:r>
      <w:r w:rsidRPr="00350D93">
        <w:t>Advies commissie Dienstverlening aan huis (2014), ‘Dienstverlening aan huis: wie betaalt de rekening</w:t>
      </w:r>
      <w:r>
        <w:t>?</w:t>
      </w:r>
      <w:r w:rsidRPr="00350D93">
        <w:t>’, b</w:t>
      </w:r>
      <w:r w:rsidRPr="0093156D">
        <w:t xml:space="preserve">ijlage bij Kamerstukken II 2013/14, 29544, nr. 507. </w:t>
      </w:r>
    </w:p>
  </w:footnote>
  <w:footnote w:id="7">
    <w:p w14:paraId="36C2C172" w14:textId="77777777" w:rsidR="00A5773B" w:rsidRPr="0093156D" w:rsidRDefault="003113B3">
      <w:pPr>
        <w:pStyle w:val="Voetnoottekst"/>
      </w:pPr>
      <w:r w:rsidRPr="0093156D">
        <w:rPr>
          <w:rStyle w:val="Voetnootmarkering"/>
        </w:rPr>
        <w:footnoteRef/>
      </w:r>
      <w:r w:rsidRPr="0093156D">
        <w:t xml:space="preserve"> </w:t>
      </w:r>
      <w:r w:rsidRPr="0093156D">
        <w:tab/>
        <w:t>Artikel II, vijfde lid, van de Wet implementatie EU-richtlijn transparante en voorspelbare arbeidsvoorwaarden (artikel 2b, vijfde lid, van de Wet flexibel werken (nieuw)).</w:t>
      </w:r>
    </w:p>
  </w:footnote>
  <w:footnote w:id="8">
    <w:p w14:paraId="6883F34D" w14:textId="77777777" w:rsidR="000635F2" w:rsidRPr="0093277D" w:rsidRDefault="003113B3">
      <w:pPr>
        <w:pStyle w:val="Voetnoottekst"/>
      </w:pPr>
      <w:r>
        <w:rPr>
          <w:rStyle w:val="Voetnootmarkering"/>
        </w:rPr>
        <w:footnoteRef/>
      </w:r>
      <w:r>
        <w:t xml:space="preserve"> </w:t>
      </w:r>
      <w:r w:rsidRPr="0093277D">
        <w:tab/>
      </w:r>
      <w:r w:rsidRPr="000635F2">
        <w:t>Overweging 48 van de Richtlijn vermeldt het volgende: “Bij de uitvoering van deze richtlijn moeten de lidstaten vermijden zodanige administratieve, financiële en juridische verplichtingen op te leggen dat de oprichting en ontwikkeling van micro-, kleine en middelgrote ondernemingen daardoor zou kunnen worden belemmerd. De lidstaten wordt dan ook verzocht het effect van hun omzettingswetgeving op kleine en middelgrote ondernemingen te beoordelen, om ervoor te zorgen dat zij niet onevenredig worden getroffen, en daarbij bijzondere aandacht te schenken aan micro-ondernemingen en aan administratieve lasten, en de resultaten van die beoordeling bekend te maken.</w:t>
      </w:r>
      <w:r>
        <w:t>”</w:t>
      </w:r>
    </w:p>
  </w:footnote>
  <w:footnote w:id="9">
    <w:p w14:paraId="2919B65A" w14:textId="77777777" w:rsidR="00A5773B" w:rsidRPr="0093156D" w:rsidRDefault="003113B3">
      <w:pPr>
        <w:pStyle w:val="Voetnoottekst"/>
      </w:pPr>
      <w:r w:rsidRPr="0093156D">
        <w:rPr>
          <w:rStyle w:val="Voetnootmarkering"/>
        </w:rPr>
        <w:footnoteRef/>
      </w:r>
      <w:r w:rsidRPr="0093156D">
        <w:t xml:space="preserve"> </w:t>
      </w:r>
      <w:r w:rsidRPr="0093156D">
        <w:tab/>
        <w:t xml:space="preserve">Artikel II, tweede lid, van de Wet implementatie EU-richtlijn transparante en voorspelbare arbeidsvoorwaarden (artikel 2b, tweede lid, van de Wet flexibel werken (nieuw). </w:t>
      </w:r>
    </w:p>
  </w:footnote>
  <w:footnote w:id="10">
    <w:p w14:paraId="5A756B51" w14:textId="119061FB" w:rsidR="00A27F27" w:rsidRDefault="003113B3">
      <w:pPr>
        <w:pStyle w:val="Voetnoottekst"/>
      </w:pPr>
      <w:r>
        <w:rPr>
          <w:rStyle w:val="Voetnootmarkering"/>
        </w:rPr>
        <w:footnoteRef/>
      </w:r>
      <w:r>
        <w:t xml:space="preserve"> </w:t>
      </w:r>
      <w:r>
        <w:tab/>
      </w:r>
      <w:r w:rsidRPr="003B7CA1">
        <w:rPr>
          <w:szCs w:val="18"/>
        </w:rPr>
        <w:t>Artikel 1, achtste lid, van de 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8323" w14:textId="3D50497D"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32AB8">
      <w:rPr>
        <w:rStyle w:val="Paginanummer"/>
        <w:noProof/>
      </w:rPr>
      <w:t>1</w:t>
    </w:r>
    <w:r>
      <w:rPr>
        <w:rStyle w:val="Paginanummer"/>
      </w:rPr>
      <w:fldChar w:fldCharType="end"/>
    </w:r>
  </w:p>
  <w:p w14:paraId="6A19C282"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DFB4" w14:textId="6E22E0ED"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32AB8">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6F4D" w14:textId="77777777" w:rsidR="00132AB8" w:rsidRDefault="00132AB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1498" w14:textId="534EB925"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32AB8">
      <w:rPr>
        <w:rStyle w:val="Paginanummer"/>
        <w:noProof/>
      </w:rPr>
      <w:t>I</w:t>
    </w:r>
    <w:r>
      <w:rPr>
        <w:rStyle w:val="Paginanummer"/>
      </w:rPr>
      <w:fldChar w:fldCharType="end"/>
    </w:r>
  </w:p>
  <w:p w14:paraId="3BF7FA57"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2A315045"/>
    <w:multiLevelType w:val="hybridMultilevel"/>
    <w:tmpl w:val="5ECA0656"/>
    <w:lvl w:ilvl="0" w:tplc="0413000F">
      <w:start w:val="1"/>
      <w:numFmt w:val="decimal"/>
      <w:lvlText w:val="%1."/>
      <w:lvlJc w:val="left"/>
      <w:pPr>
        <w:ind w:left="792" w:hanging="360"/>
      </w:p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68A2"/>
    <w:rsid w:val="000C7C1C"/>
    <w:rsid w:val="00102C23"/>
    <w:rsid w:val="00122633"/>
    <w:rsid w:val="00127596"/>
    <w:rsid w:val="00132AB8"/>
    <w:rsid w:val="001410FD"/>
    <w:rsid w:val="00156F0B"/>
    <w:rsid w:val="001E27B0"/>
    <w:rsid w:val="002276F4"/>
    <w:rsid w:val="002B7D8A"/>
    <w:rsid w:val="002F16D1"/>
    <w:rsid w:val="003113B3"/>
    <w:rsid w:val="0031280A"/>
    <w:rsid w:val="00365EF8"/>
    <w:rsid w:val="003706AD"/>
    <w:rsid w:val="0037367E"/>
    <w:rsid w:val="003C7608"/>
    <w:rsid w:val="00411DBC"/>
    <w:rsid w:val="00554D49"/>
    <w:rsid w:val="005841EA"/>
    <w:rsid w:val="005E41CC"/>
    <w:rsid w:val="00635836"/>
    <w:rsid w:val="00636D17"/>
    <w:rsid w:val="00665734"/>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5B1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B93729"/>
    <w:rPr>
      <w:vertAlign w:val="superscript"/>
    </w:rPr>
  </w:style>
  <w:style w:type="paragraph" w:styleId="Normaalweb">
    <w:name w:val="Normal (Web)"/>
    <w:basedOn w:val="Standaard"/>
    <w:uiPriority w:val="99"/>
    <w:unhideWhenUsed/>
    <w:rsid w:val="00A27F27"/>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1257</ap:Words>
  <ap:Characters>7464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2021-11-09T16:34:00.0000000Z</dcterms:created>
  <dcterms:modified xsi:type="dcterms:W3CDTF">2021-11-12T09:38:00.0000000Z</dcterms:modified>
  <dc:description>------------------------</dc:description>
  <dc:subject/>
  <dc:title/>
  <keywords/>
  <version/>
  <category/>
</coreProperties>
</file>