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02DA4" w:rsidR="003A37F4" w:rsidP="001A724C" w:rsidRDefault="00FD5ABE">
      <w:pPr>
        <w:pStyle w:val="Kop1"/>
        <w:spacing w:before="0"/>
        <w:rPr>
          <w:rStyle w:val="Intensieveverwijzing"/>
          <w:b w:val="0"/>
          <w:bCs w:val="0"/>
          <w:sz w:val="28"/>
          <w:szCs w:val="28"/>
        </w:rPr>
      </w:pPr>
      <w:bookmarkStart w:name="_Hlk86910131" w:id="0"/>
      <w:r w:rsidRPr="00102DA4">
        <w:rPr>
          <w:rStyle w:val="Intensieveverwijzing"/>
          <w:b w:val="0"/>
          <w:bCs w:val="0"/>
          <w:sz w:val="28"/>
          <w:szCs w:val="28"/>
        </w:rPr>
        <w:t>I</w:t>
      </w:r>
      <w:r w:rsidRPr="00102DA4" w:rsidR="0089160F">
        <w:rPr>
          <w:rStyle w:val="Intensieveverwijzing"/>
          <w:b w:val="0"/>
          <w:bCs w:val="0"/>
          <w:sz w:val="28"/>
          <w:szCs w:val="28"/>
        </w:rPr>
        <w:t xml:space="preserve">nput </w:t>
      </w:r>
      <w:r w:rsidRPr="00102DA4">
        <w:rPr>
          <w:rStyle w:val="Intensieveverwijzing"/>
          <w:b w:val="0"/>
          <w:bCs w:val="0"/>
          <w:sz w:val="28"/>
          <w:szCs w:val="28"/>
        </w:rPr>
        <w:t xml:space="preserve">van het Sociaal en Cultureel Planbureau </w:t>
      </w:r>
      <w:r w:rsidRPr="00102DA4" w:rsidR="003A37F4">
        <w:rPr>
          <w:rStyle w:val="Intensieveverwijzing"/>
          <w:b w:val="0"/>
          <w:bCs w:val="0"/>
          <w:sz w:val="28"/>
          <w:szCs w:val="28"/>
        </w:rPr>
        <w:t xml:space="preserve">(SCP) </w:t>
      </w:r>
      <w:r w:rsidRPr="00102DA4" w:rsidR="00A033FF">
        <w:rPr>
          <w:rStyle w:val="Intensieveverwijzing"/>
          <w:b w:val="0"/>
          <w:bCs w:val="0"/>
          <w:sz w:val="28"/>
          <w:szCs w:val="28"/>
        </w:rPr>
        <w:t>voor het</w:t>
      </w:r>
      <w:r w:rsidRPr="00102DA4">
        <w:rPr>
          <w:rStyle w:val="Intensieveverwijzing"/>
          <w:b w:val="0"/>
          <w:bCs w:val="0"/>
          <w:sz w:val="28"/>
          <w:szCs w:val="28"/>
        </w:rPr>
        <w:t xml:space="preserve"> </w:t>
      </w:r>
      <w:r w:rsidRPr="00102DA4" w:rsidR="0089160F">
        <w:rPr>
          <w:rStyle w:val="Intensieveverwijzing"/>
          <w:b w:val="0"/>
          <w:bCs w:val="0"/>
          <w:sz w:val="28"/>
          <w:szCs w:val="28"/>
        </w:rPr>
        <w:t xml:space="preserve">rondetafelgesprek over kansenongelijkheid, onderwijsachterstanden en segregatie </w:t>
      </w:r>
    </w:p>
    <w:p w:rsidRPr="001046C7" w:rsidR="0089160F" w:rsidP="001A724C" w:rsidRDefault="0089160F">
      <w:pPr>
        <w:rPr>
          <w:rStyle w:val="Intensieveverwijzing"/>
          <w:sz w:val="28"/>
          <w:szCs w:val="28"/>
        </w:rPr>
      </w:pPr>
    </w:p>
    <w:p w:rsidRPr="001046C7" w:rsidR="00A0544F" w:rsidP="001A724C" w:rsidRDefault="00D74951">
      <w:pPr>
        <w:pStyle w:val="Kop2"/>
        <w:rPr>
          <w:rStyle w:val="Intensieveverwijzing"/>
          <w:sz w:val="24"/>
          <w:szCs w:val="24"/>
        </w:rPr>
      </w:pPr>
      <w:r w:rsidRPr="001046C7">
        <w:rPr>
          <w:rStyle w:val="Intensieveverwijzing"/>
          <w:sz w:val="24"/>
          <w:szCs w:val="24"/>
        </w:rPr>
        <w:t>B</w:t>
      </w:r>
      <w:r w:rsidRPr="001046C7" w:rsidR="00A0544F">
        <w:rPr>
          <w:rStyle w:val="Intensieveverwijzing"/>
          <w:sz w:val="24"/>
          <w:szCs w:val="24"/>
        </w:rPr>
        <w:t>eleidsinterventies op het terrein van kansenongelijkheid, onderwijsachterstanden en/of segregatie</w:t>
      </w:r>
    </w:p>
    <w:p w:rsidRPr="00330DF8" w:rsidR="00C51ADA" w:rsidP="001A724C" w:rsidRDefault="00D74951">
      <w:r>
        <w:t xml:space="preserve">De belangrijkste beleidsinterventie is </w:t>
      </w:r>
      <w:r w:rsidR="00C53278">
        <w:t xml:space="preserve">het </w:t>
      </w:r>
      <w:r w:rsidRPr="00CC1813" w:rsidR="00C5327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onderwijsachterstandenbeleid (OAB)</w:t>
      </w:r>
      <w:r w:rsidRPr="00A033FF" w:rsidR="00C53278">
        <w:rPr>
          <w:color w:val="00B0F0"/>
        </w:rPr>
        <w:t xml:space="preserve"> </w:t>
      </w:r>
      <w:r w:rsidR="00C53278">
        <w:t xml:space="preserve">waarbij gemeenten en scholen in het basisonderwijs en voortgezet onderwijs </w:t>
      </w:r>
      <w:r>
        <w:t xml:space="preserve">extra middelen </w:t>
      </w:r>
      <w:r w:rsidR="00C53278">
        <w:t>ontvangen</w:t>
      </w:r>
      <w:r w:rsidR="00C4207A">
        <w:t xml:space="preserve"> </w:t>
      </w:r>
      <w:r w:rsidR="00C53278">
        <w:t xml:space="preserve">om bij de </w:t>
      </w:r>
      <w:r w:rsidR="001B1923">
        <w:t xml:space="preserve">kinderen die tot de doelgroepen van het beleid horen, achterstanden </w:t>
      </w:r>
      <w:r w:rsidR="00C1693B">
        <w:t xml:space="preserve">als gevolg van de omstandigheden waarin </w:t>
      </w:r>
      <w:r w:rsidR="000E35DE">
        <w:t>ze</w:t>
      </w:r>
      <w:r w:rsidR="00C1693B">
        <w:t xml:space="preserve"> opgroeien</w:t>
      </w:r>
      <w:r w:rsidR="004116EC">
        <w:t>,</w:t>
      </w:r>
      <w:r w:rsidR="00D0149F">
        <w:t xml:space="preserve"> te voorkomen en te bestrijden</w:t>
      </w:r>
      <w:r w:rsidR="007E5F22">
        <w:t xml:space="preserve"> </w:t>
      </w:r>
      <w:r w:rsidR="002E0215">
        <w:t>en gelijke onderwijsloopbaanmogelijk</w:t>
      </w:r>
      <w:r w:rsidR="007E5F22">
        <w:t>he</w:t>
      </w:r>
      <w:r w:rsidR="002E0215">
        <w:t>den</w:t>
      </w:r>
      <w:r w:rsidR="000E35DE">
        <w:t xml:space="preserve"> te bevorderen</w:t>
      </w:r>
      <w:r w:rsidR="001B1923">
        <w:t xml:space="preserve">. </w:t>
      </w:r>
      <w:r w:rsidR="007D3FCE">
        <w:t xml:space="preserve">De </w:t>
      </w:r>
      <w:r w:rsidR="00113592">
        <w:t>OAB-</w:t>
      </w:r>
      <w:r w:rsidR="007D3FCE">
        <w:t>middelen worden toegevoegd aan de lumpsum</w:t>
      </w:r>
      <w:r w:rsidR="00113592">
        <w:t xml:space="preserve">; </w:t>
      </w:r>
      <w:r w:rsidR="007D3FCE">
        <w:t>d</w:t>
      </w:r>
      <w:r w:rsidR="00083248">
        <w:t xml:space="preserve">e school </w:t>
      </w:r>
      <w:r w:rsidR="00F60FCB">
        <w:t xml:space="preserve">(het schoolbestuur) </w:t>
      </w:r>
      <w:r w:rsidR="00083248">
        <w:t>bepaalt waar</w:t>
      </w:r>
      <w:r w:rsidR="00DC0303">
        <w:t>voor</w:t>
      </w:r>
      <w:r w:rsidR="00083248">
        <w:t xml:space="preserve"> </w:t>
      </w:r>
      <w:r w:rsidR="00113592">
        <w:t>de m</w:t>
      </w:r>
      <w:r w:rsidR="00083248">
        <w:t>iddelen worden ingeze</w:t>
      </w:r>
      <w:r w:rsidR="00D0149F">
        <w:t xml:space="preserve">t. Gemeenten </w:t>
      </w:r>
      <w:r w:rsidR="007D3FCE">
        <w:t xml:space="preserve">krijgen de middelen in een specifieke uitkering </w:t>
      </w:r>
      <w:r w:rsidR="00C47E89">
        <w:t xml:space="preserve">en zetten deze in </w:t>
      </w:r>
      <w:r w:rsidR="00EC6117">
        <w:t xml:space="preserve">voor </w:t>
      </w:r>
      <w:r w:rsidR="00330DF8">
        <w:t xml:space="preserve">het voorschoolse </w:t>
      </w:r>
      <w:r w:rsidR="00EC6117">
        <w:t xml:space="preserve">deel van de </w:t>
      </w:r>
      <w:r w:rsidRPr="00CC1813" w:rsidR="00330DF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voor</w:t>
      </w:r>
      <w:r w:rsidR="00330DF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- en vroeg</w:t>
      </w:r>
      <w:r w:rsidRPr="00CC1813" w:rsidR="00330DF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 xml:space="preserve">schoolse </w:t>
      </w:r>
      <w:r w:rsidR="00330DF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ed</w:t>
      </w:r>
      <w:r w:rsidRPr="00CC1813" w:rsidR="00330DF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ucatie</w:t>
      </w:r>
      <w:r w:rsidRPr="00CC1813" w:rsidR="00330DF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 xml:space="preserve"> </w:t>
      </w:r>
      <w:r w:rsidRPr="00CC1813" w:rsidR="001A724C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(VVE)</w:t>
      </w:r>
      <w:r w:rsidR="002E0215">
        <w:t>, schakelklassen en zomerscholen</w:t>
      </w:r>
      <w:r w:rsidR="003446FF">
        <w:t xml:space="preserve">. </w:t>
      </w:r>
      <w:r w:rsidR="00C47E89">
        <w:t>Zij bepalen zelf de doelgroep</w:t>
      </w:r>
      <w:r w:rsidR="004116EC">
        <w:t>en</w:t>
      </w:r>
      <w:r w:rsidR="00C47E89">
        <w:t xml:space="preserve"> van het beleid. </w:t>
      </w:r>
      <w:r w:rsidR="00C4207A">
        <w:t>De</w:t>
      </w:r>
      <w:r w:rsidR="00AB0EB2">
        <w:t xml:space="preserve"> middelen voor de vve</w:t>
      </w:r>
      <w:r w:rsidR="00C4207A">
        <w:t xml:space="preserve"> worden </w:t>
      </w:r>
      <w:r w:rsidR="00EC6117">
        <w:t xml:space="preserve">ingezet voor speciale programma’s </w:t>
      </w:r>
      <w:r w:rsidR="00DF19EA">
        <w:t xml:space="preserve">en in het </w:t>
      </w:r>
      <w:proofErr w:type="spellStart"/>
      <w:r w:rsidR="00DF19EA">
        <w:t>bao</w:t>
      </w:r>
      <w:proofErr w:type="spellEnd"/>
      <w:r w:rsidR="00DF19EA">
        <w:t xml:space="preserve"> en vo</w:t>
      </w:r>
      <w:r w:rsidR="008C0C4C">
        <w:t xml:space="preserve"> </w:t>
      </w:r>
      <w:r w:rsidR="00DF19EA">
        <w:t xml:space="preserve">vaak </w:t>
      </w:r>
      <w:r w:rsidRPr="00330DF8" w:rsidR="00DF19EA">
        <w:t>voor klassenverkleining</w:t>
      </w:r>
      <w:r w:rsidR="00AB0EB2">
        <w:t xml:space="preserve">, </w:t>
      </w:r>
      <w:r w:rsidRPr="00330DF8" w:rsidR="00DF19EA">
        <w:t xml:space="preserve">onderwijsassistenten of een tweede leerkracht. </w:t>
      </w:r>
    </w:p>
    <w:p w:rsidRPr="00330DF8" w:rsidR="00DE6F85" w:rsidP="001A724C" w:rsidRDefault="00DE6F85"/>
    <w:p w:rsidRPr="00330DF8" w:rsidR="00A0544F" w:rsidP="001A724C" w:rsidRDefault="00A0544F">
      <w:pPr>
        <w:pStyle w:val="Kop2"/>
        <w:rPr>
          <w:rStyle w:val="Intensieveverwijzing"/>
          <w:sz w:val="24"/>
          <w:szCs w:val="24"/>
        </w:rPr>
      </w:pPr>
      <w:r w:rsidRPr="00330DF8">
        <w:rPr>
          <w:rStyle w:val="Intensieveverwijzing"/>
          <w:sz w:val="24"/>
          <w:szCs w:val="24"/>
        </w:rPr>
        <w:t xml:space="preserve">Hoe effectief </w:t>
      </w:r>
      <w:r w:rsidRPr="00330DF8" w:rsidR="00A033FF">
        <w:rPr>
          <w:rStyle w:val="Intensieveverwijzing"/>
          <w:sz w:val="24"/>
          <w:szCs w:val="24"/>
        </w:rPr>
        <w:t xml:space="preserve">zijn </w:t>
      </w:r>
      <w:r w:rsidRPr="00330DF8">
        <w:rPr>
          <w:rStyle w:val="Intensieveverwijzing"/>
          <w:sz w:val="24"/>
          <w:szCs w:val="24"/>
        </w:rPr>
        <w:t xml:space="preserve">deze interventies? </w:t>
      </w:r>
    </w:p>
    <w:p w:rsidR="00D56A4E" w:rsidP="00625C8F" w:rsidRDefault="006D7110">
      <w:pPr>
        <w:pStyle w:val="Lijstalinea"/>
        <w:numPr>
          <w:ilvl w:val="0"/>
          <w:numId w:val="8"/>
        </w:numPr>
      </w:pPr>
      <w:r w:rsidRPr="00330DF8">
        <w:t>Er zijn</w:t>
      </w:r>
      <w:r w:rsidRPr="00330DF8" w:rsidR="008C0C4C">
        <w:t xml:space="preserve"> in Nederland geen of slechts kleine </w:t>
      </w:r>
      <w:r w:rsidRPr="00330DF8">
        <w:t>effecten vastgesteld van de vve</w:t>
      </w:r>
      <w:r w:rsidRPr="00330DF8" w:rsidR="008C0C4C">
        <w:t xml:space="preserve">. Internationaal onderzoek laat bij voldoende </w:t>
      </w:r>
      <w:r w:rsidRPr="00330DF8" w:rsidR="00AC430A">
        <w:t xml:space="preserve">aanbod en </w:t>
      </w:r>
      <w:r w:rsidRPr="00330DF8" w:rsidR="008C0C4C">
        <w:t>kwaliteit echter wel positieve effecten zien</w:t>
      </w:r>
      <w:r w:rsidRPr="00330DF8" w:rsidR="009E732C">
        <w:t>.</w:t>
      </w:r>
      <w:r w:rsidR="00D56A4E">
        <w:t xml:space="preserve"> </w:t>
      </w:r>
    </w:p>
    <w:p w:rsidRPr="00330DF8" w:rsidR="009E732C" w:rsidP="00625C8F" w:rsidRDefault="00D56A4E">
      <w:pPr>
        <w:pStyle w:val="Lijstalinea"/>
        <w:numPr>
          <w:ilvl w:val="0"/>
          <w:numId w:val="8"/>
        </w:numPr>
      </w:pPr>
      <w:r>
        <w:t>K</w:t>
      </w:r>
      <w:r w:rsidRPr="00330DF8" w:rsidR="006D7110">
        <w:t>waliteitsverhoging van de vve door aanscherpen opleidings- en taaleisen personeel is ef</w:t>
      </w:r>
      <w:r w:rsidRPr="00330DF8" w:rsidR="009E732C">
        <w:t>fectief</w:t>
      </w:r>
      <w:r w:rsidRPr="00330DF8" w:rsidR="006D7110">
        <w:t>.</w:t>
      </w:r>
    </w:p>
    <w:p w:rsidRPr="00945421" w:rsidR="009F47AB" w:rsidP="000F2A9F" w:rsidRDefault="006D7110">
      <w:pPr>
        <w:pStyle w:val="Lijstalinea"/>
        <w:numPr>
          <w:ilvl w:val="0"/>
          <w:numId w:val="8"/>
        </w:numPr>
      </w:pPr>
      <w:r w:rsidRPr="00330DF8">
        <w:t xml:space="preserve">Effecten van OAB in het primair onderwijs </w:t>
      </w:r>
      <w:r w:rsidRPr="00330DF8" w:rsidR="00534311">
        <w:t>zijn</w:t>
      </w:r>
      <w:r w:rsidRPr="00330DF8">
        <w:t xml:space="preserve"> </w:t>
      </w:r>
      <w:r w:rsidRPr="00330DF8" w:rsidR="009E732C">
        <w:t>niet vast te stellen</w:t>
      </w:r>
      <w:r w:rsidRPr="00330DF8" w:rsidR="00755546">
        <w:t>. De prestaties dalen al jaren, en achterstandsleerlingen krijgen bij gelijke prestaties</w:t>
      </w:r>
      <w:r w:rsidR="00755546">
        <w:t xml:space="preserve"> lagere adviezen. </w:t>
      </w:r>
      <w:r w:rsidR="009F47AB">
        <w:t xml:space="preserve">Taal- en rekenprestaties worden deels ingelopen door </w:t>
      </w:r>
      <w:r w:rsidR="00534311">
        <w:t>achterstandsleerlingen met een migratieachtergrond</w:t>
      </w:r>
      <w:r w:rsidR="009F47AB">
        <w:t xml:space="preserve"> maar </w:t>
      </w:r>
      <w:r w:rsidR="00534311">
        <w:t xml:space="preserve">dit </w:t>
      </w:r>
      <w:r w:rsidR="009F47AB">
        <w:t>kan niet zo maar worden toege</w:t>
      </w:r>
      <w:r w:rsidR="00D44733">
        <w:t>sc</w:t>
      </w:r>
      <w:r w:rsidR="009F47AB">
        <w:t xml:space="preserve">hreven </w:t>
      </w:r>
      <w:r w:rsidR="00534311">
        <w:t>a</w:t>
      </w:r>
      <w:r w:rsidR="009F47AB">
        <w:t xml:space="preserve">an OAB; </w:t>
      </w:r>
      <w:r w:rsidRPr="00DE6F85" w:rsidR="00534311">
        <w:t xml:space="preserve">achterstandsleerlingen zonder migratieachtergrond lopen die </w:t>
      </w:r>
      <w:r w:rsidRPr="00945421" w:rsidR="00534311">
        <w:t>achterstanden niet in.</w:t>
      </w:r>
      <w:r w:rsidRPr="00945421" w:rsidR="004F4B5E">
        <w:t xml:space="preserve"> Een deel van de </w:t>
      </w:r>
      <w:proofErr w:type="spellStart"/>
      <w:r w:rsidRPr="00945421" w:rsidR="004F4B5E">
        <w:t>d</w:t>
      </w:r>
      <w:r w:rsidRPr="00945421" w:rsidR="00991FB0">
        <w:t>oelgroepleerlingen</w:t>
      </w:r>
      <w:proofErr w:type="spellEnd"/>
      <w:r w:rsidRPr="00945421" w:rsidR="00991FB0">
        <w:t xml:space="preserve"> h</w:t>
      </w:r>
      <w:r w:rsidR="00BE3B32">
        <w:t xml:space="preserve">aalt, gezien in de tijd </w:t>
      </w:r>
      <w:r w:rsidRPr="00945421" w:rsidR="007113EF">
        <w:t xml:space="preserve">steeds </w:t>
      </w:r>
      <w:r w:rsidRPr="00945421" w:rsidR="00991FB0">
        <w:t xml:space="preserve">meer een hoger </w:t>
      </w:r>
      <w:r w:rsidRPr="00945421" w:rsidR="004F4B5E">
        <w:t>onderwijs</w:t>
      </w:r>
      <w:r w:rsidRPr="00945421" w:rsidR="00991FB0">
        <w:t>niveau</w:t>
      </w:r>
      <w:r w:rsidRPr="00945421" w:rsidR="007113EF">
        <w:t xml:space="preserve">, </w:t>
      </w:r>
      <w:r w:rsidRPr="00945421" w:rsidR="004F4B5E">
        <w:t xml:space="preserve">maar </w:t>
      </w:r>
      <w:r w:rsidRPr="00945421" w:rsidR="00991FB0">
        <w:t>omdat niet-</w:t>
      </w:r>
      <w:proofErr w:type="spellStart"/>
      <w:r w:rsidRPr="00945421" w:rsidR="00991FB0">
        <w:t>doelgroepleerlingen</w:t>
      </w:r>
      <w:proofErr w:type="spellEnd"/>
      <w:r w:rsidRPr="00945421" w:rsidR="00991FB0">
        <w:t xml:space="preserve"> dat ook doen</w:t>
      </w:r>
      <w:r w:rsidR="00BE3B32">
        <w:t>/deden</w:t>
      </w:r>
      <w:r w:rsidRPr="00945421" w:rsidR="00991FB0">
        <w:t xml:space="preserve"> en zelfs meer, zijn de verschillen toegenomen. Er zijn grote verschillen in kwaliteit tussen scholen; dus sommige scholen doen het echt veel beter dan andere op dit vlak.</w:t>
      </w:r>
    </w:p>
    <w:p w:rsidR="001A7E31" w:rsidP="009C516A" w:rsidRDefault="003373DB">
      <w:pPr>
        <w:pStyle w:val="Lijstalinea"/>
        <w:numPr>
          <w:ilvl w:val="0"/>
          <w:numId w:val="8"/>
        </w:numPr>
      </w:pPr>
      <w:r w:rsidRPr="00945421">
        <w:t>V</w:t>
      </w:r>
      <w:r w:rsidRPr="00945421" w:rsidR="00E07E84">
        <w:t xml:space="preserve">erlengde onderwijstijd </w:t>
      </w:r>
      <w:r w:rsidRPr="00945421" w:rsidR="00B04D31">
        <w:t>in z</w:t>
      </w:r>
      <w:r w:rsidRPr="00945421" w:rsidR="00E07E84">
        <w:t>omerscholen</w:t>
      </w:r>
      <w:r w:rsidRPr="00945421" w:rsidR="00945421">
        <w:t xml:space="preserve"> e.d. </w:t>
      </w:r>
      <w:r w:rsidR="00053204">
        <w:t xml:space="preserve">heeft </w:t>
      </w:r>
      <w:r w:rsidRPr="00945421" w:rsidR="00945421">
        <w:t>wisselende resultaten: veel hangt af van kwaliteit, intensiteit en groepsgrootte.</w:t>
      </w:r>
      <w:r w:rsidR="009C516A">
        <w:t xml:space="preserve"> </w:t>
      </w:r>
    </w:p>
    <w:p w:rsidR="00F92A8E" w:rsidP="009C516A" w:rsidRDefault="009C516A">
      <w:pPr>
        <w:pStyle w:val="Lijstalinea"/>
        <w:numPr>
          <w:ilvl w:val="0"/>
          <w:numId w:val="8"/>
        </w:numPr>
      </w:pPr>
      <w:r>
        <w:t>Naar de effecten van klassenverkleining is Nederland weinig onderzoek gedaan.</w:t>
      </w:r>
    </w:p>
    <w:p w:rsidR="009C516A" w:rsidP="009C516A" w:rsidRDefault="009C516A">
      <w:pPr>
        <w:pStyle w:val="Lijstalinea"/>
        <w:numPr>
          <w:ilvl w:val="0"/>
          <w:numId w:val="8"/>
        </w:numPr>
      </w:pPr>
      <w:r w:rsidRPr="00945421">
        <w:t>In het voortgezet onderwijs zijn er geen effectstudies geweest naar effect van OAB; de VO-plus middelen zijn dusdanig dat echt grote effecten niet erg voor de hand liggen.</w:t>
      </w:r>
    </w:p>
    <w:p w:rsidR="00376AB2" w:rsidP="00376AB2" w:rsidRDefault="00376AB2">
      <w:pPr>
        <w:pStyle w:val="Lijstalinea"/>
        <w:ind w:left="360"/>
      </w:pPr>
    </w:p>
    <w:p w:rsidRPr="001046C7" w:rsidR="00350816" w:rsidP="001046C7" w:rsidRDefault="00327DA7">
      <w:pPr>
        <w:pStyle w:val="Kop2"/>
        <w:rPr>
          <w:rStyle w:val="Intensieveverwijzing"/>
          <w:sz w:val="24"/>
          <w:szCs w:val="24"/>
        </w:rPr>
      </w:pPr>
      <w:r w:rsidRPr="001046C7">
        <w:rPr>
          <w:rStyle w:val="Intensieveverwijzing"/>
          <w:sz w:val="24"/>
          <w:szCs w:val="24"/>
        </w:rPr>
        <w:t>W</w:t>
      </w:r>
      <w:r w:rsidRPr="001046C7" w:rsidR="00350816">
        <w:rPr>
          <w:rStyle w:val="Intensieveverwijzing"/>
          <w:sz w:val="24"/>
          <w:szCs w:val="24"/>
        </w:rPr>
        <w:t>aarom beleid niet altijd effectief is</w:t>
      </w:r>
      <w:r w:rsidRPr="001046C7">
        <w:rPr>
          <w:rStyle w:val="Intensieveverwijzing"/>
          <w:sz w:val="24"/>
          <w:szCs w:val="24"/>
        </w:rPr>
        <w:t xml:space="preserve"> of kan zijn</w:t>
      </w:r>
    </w:p>
    <w:p w:rsidR="0063405D" w:rsidP="00916A97" w:rsidRDefault="00B92991">
      <w:pPr>
        <w:pStyle w:val="Lijstalinea"/>
        <w:numPr>
          <w:ilvl w:val="0"/>
          <w:numId w:val="7"/>
        </w:numPr>
      </w:pPr>
      <w:r w:rsidRPr="0063405D">
        <w:rPr>
          <w:i/>
          <w:iCs/>
        </w:rPr>
        <w:t xml:space="preserve">Schools </w:t>
      </w:r>
      <w:proofErr w:type="spellStart"/>
      <w:r w:rsidRPr="0063405D">
        <w:rPr>
          <w:i/>
          <w:iCs/>
        </w:rPr>
        <w:t>cannot</w:t>
      </w:r>
      <w:proofErr w:type="spellEnd"/>
      <w:r w:rsidRPr="0063405D">
        <w:rPr>
          <w:i/>
          <w:iCs/>
        </w:rPr>
        <w:t xml:space="preserve"> </w:t>
      </w:r>
      <w:proofErr w:type="spellStart"/>
      <w:r w:rsidRPr="0063405D">
        <w:rPr>
          <w:i/>
          <w:iCs/>
        </w:rPr>
        <w:t>compensate</w:t>
      </w:r>
      <w:proofErr w:type="spellEnd"/>
      <w:r w:rsidRPr="0063405D">
        <w:rPr>
          <w:i/>
          <w:iCs/>
        </w:rPr>
        <w:t xml:space="preserve"> </w:t>
      </w:r>
      <w:proofErr w:type="spellStart"/>
      <w:r w:rsidRPr="0063405D">
        <w:rPr>
          <w:i/>
          <w:iCs/>
        </w:rPr>
        <w:t>for</w:t>
      </w:r>
      <w:proofErr w:type="spellEnd"/>
      <w:r w:rsidRPr="0063405D">
        <w:rPr>
          <w:i/>
          <w:iCs/>
        </w:rPr>
        <w:t xml:space="preserve"> societ</w:t>
      </w:r>
      <w:r w:rsidRPr="0063405D" w:rsidR="00704C14">
        <w:rPr>
          <w:i/>
          <w:iCs/>
        </w:rPr>
        <w:t xml:space="preserve">y </w:t>
      </w:r>
      <w:r w:rsidRPr="00704C14" w:rsidR="00704C14">
        <w:t>is een beke</w:t>
      </w:r>
      <w:r w:rsidR="00704C14">
        <w:t xml:space="preserve">nde uitspraak in dit verband. </w:t>
      </w:r>
      <w:r w:rsidR="00350816">
        <w:t>Het g</w:t>
      </w:r>
      <w:r w:rsidR="008D1B89">
        <w:t>aat</w:t>
      </w:r>
      <w:r w:rsidR="00350816">
        <w:t xml:space="preserve"> </w:t>
      </w:r>
      <w:r w:rsidR="008D1B89">
        <w:t xml:space="preserve">om grote doelen </w:t>
      </w:r>
      <w:r w:rsidR="008C5832">
        <w:t>(achterstand</w:t>
      </w:r>
      <w:r w:rsidR="006173D1">
        <w:t>en</w:t>
      </w:r>
      <w:r>
        <w:t xml:space="preserve">, </w:t>
      </w:r>
      <w:r w:rsidR="008C5832">
        <w:t xml:space="preserve">ongelijke kansen </w:t>
      </w:r>
      <w:r>
        <w:t>en segregatie</w:t>
      </w:r>
      <w:r w:rsidR="008C5832">
        <w:t xml:space="preserve">) </w:t>
      </w:r>
      <w:r w:rsidR="008D1B89">
        <w:t xml:space="preserve">die zich niet alleen </w:t>
      </w:r>
      <w:r w:rsidR="00DD6ADC">
        <w:t>voordoen in</w:t>
      </w:r>
      <w:r w:rsidR="008D1B89">
        <w:t xml:space="preserve"> het onderwijs</w:t>
      </w:r>
      <w:r w:rsidR="00350816">
        <w:t xml:space="preserve"> en ook niet alleen via het onderwijs/de school zijn op te lossen.</w:t>
      </w:r>
      <w:r w:rsidR="00DB0083">
        <w:t xml:space="preserve"> </w:t>
      </w:r>
    </w:p>
    <w:p w:rsidR="00DE59C4" w:rsidP="00916A97" w:rsidRDefault="001D0487">
      <w:pPr>
        <w:pStyle w:val="Lijstalinea"/>
        <w:numPr>
          <w:ilvl w:val="0"/>
          <w:numId w:val="7"/>
        </w:numPr>
      </w:pPr>
      <w:r>
        <w:t>Positieve effecten van OAB kunnen uitblijven of teniet worden gedaan door omstandigheden, kwaliteit</w:t>
      </w:r>
      <w:r w:rsidR="00BA3675">
        <w:t>s-</w:t>
      </w:r>
      <w:r>
        <w:t xml:space="preserve"> en u</w:t>
      </w:r>
      <w:r w:rsidR="000F63ED">
        <w:t>itvoeringsprobleme</w:t>
      </w:r>
      <w:r>
        <w:t>n</w:t>
      </w:r>
      <w:r w:rsidR="00A42CEE">
        <w:t>:</w:t>
      </w:r>
      <w:r w:rsidR="002C3D19">
        <w:t xml:space="preserve"> </w:t>
      </w:r>
      <w:r w:rsidR="002C3D19">
        <w:t xml:space="preserve">onderwijsprestaties dalen </w:t>
      </w:r>
      <w:r w:rsidR="002C3D19">
        <w:t>en een deel van de jongeren komt laaggeletterd van school</w:t>
      </w:r>
      <w:r w:rsidR="00A42CEE">
        <w:t>; e</w:t>
      </w:r>
      <w:r w:rsidR="00DE59C4">
        <w:t xml:space="preserve">r is </w:t>
      </w:r>
      <w:r w:rsidR="00254B8A">
        <w:t>e</w:t>
      </w:r>
      <w:r w:rsidR="00DE59C4">
        <w:t>en kwantitatief en kwalitatief lerarentekor</w:t>
      </w:r>
      <w:r w:rsidR="00BA3675">
        <w:t xml:space="preserve">t </w:t>
      </w:r>
      <w:r w:rsidR="00DE59C4">
        <w:t>en schoolleiders</w:t>
      </w:r>
      <w:r w:rsidR="00BA3675">
        <w:t>tekort</w:t>
      </w:r>
      <w:r w:rsidR="00A42CEE">
        <w:t xml:space="preserve"> en</w:t>
      </w:r>
      <w:r w:rsidR="009606A6">
        <w:t xml:space="preserve"> d</w:t>
      </w:r>
      <w:r w:rsidR="00DE59C4">
        <w:t xml:space="preserve">eze tekorten zijn groter op scholen die een grotere populatie </w:t>
      </w:r>
      <w:proofErr w:type="spellStart"/>
      <w:r w:rsidR="00DE59C4">
        <w:t>doelgroepleerlingen</w:t>
      </w:r>
      <w:proofErr w:type="spellEnd"/>
      <w:r w:rsidR="00DE59C4">
        <w:t xml:space="preserve"> hebben. Leerlingen die dus goede leraren</w:t>
      </w:r>
      <w:r w:rsidR="00BA3675">
        <w:t xml:space="preserve"> en schoolleiding</w:t>
      </w:r>
      <w:r w:rsidR="00DE59C4">
        <w:t xml:space="preserve"> het hardst nodig hebben, hebben minder kans deze ook echt te krijgen.</w:t>
      </w:r>
      <w:r>
        <w:t xml:space="preserve"> </w:t>
      </w:r>
    </w:p>
    <w:p w:rsidR="000F63ED" w:rsidP="001A724C" w:rsidRDefault="000F63ED">
      <w:pPr>
        <w:pStyle w:val="Lijstalinea"/>
        <w:numPr>
          <w:ilvl w:val="0"/>
          <w:numId w:val="7"/>
        </w:numPr>
      </w:pPr>
      <w:r>
        <w:t xml:space="preserve">Doelbereiking en impact van beleid met multiple doelstellingen en </w:t>
      </w:r>
      <w:r w:rsidR="00D92FBE">
        <w:t xml:space="preserve">diverse </w:t>
      </w:r>
      <w:r>
        <w:t>maatregelen zijn moeilijk vast te stellen. Kansen, talenten en potentie laten zich niet hard en duidelijk afbakenen; vele factoren zijn van invloed op de ontwikkeling ervan. OAB-middelen zijn niet geoormerkt en worden toegevoegd aan de lumpsum; scholen/schoolbesturen hoeven zich hierover maar beperkt te verantwoorden</w:t>
      </w:r>
      <w:r w:rsidR="00071BFF">
        <w:t>; v</w:t>
      </w:r>
      <w:r w:rsidR="00D12B1E">
        <w:t xml:space="preserve">eel schoolbesturen, schoolleiders en leraren zijn zich wellicht </w:t>
      </w:r>
      <w:r w:rsidR="00D12B1E">
        <w:lastRenderedPageBreak/>
        <w:t xml:space="preserve">nauwelijks bewust van deze </w:t>
      </w:r>
      <w:r w:rsidR="00071BFF">
        <w:t xml:space="preserve">extra </w:t>
      </w:r>
      <w:r w:rsidR="00D12B1E">
        <w:t>middelen. ‘</w:t>
      </w:r>
      <w:proofErr w:type="spellStart"/>
      <w:r w:rsidRPr="00DC1940" w:rsidR="00D12B1E">
        <w:rPr>
          <w:i/>
          <w:iCs/>
        </w:rPr>
        <w:t>Throwing</w:t>
      </w:r>
      <w:proofErr w:type="spellEnd"/>
      <w:r w:rsidRPr="00DC1940" w:rsidR="00D12B1E">
        <w:rPr>
          <w:i/>
          <w:iCs/>
        </w:rPr>
        <w:t xml:space="preserve"> money at schools’</w:t>
      </w:r>
      <w:r w:rsidR="00D12B1E">
        <w:t xml:space="preserve"> (</w:t>
      </w:r>
      <w:proofErr w:type="spellStart"/>
      <w:r w:rsidR="00D12B1E">
        <w:t>Hanusek</w:t>
      </w:r>
      <w:proofErr w:type="spellEnd"/>
      <w:r w:rsidR="000D38CC">
        <w:t xml:space="preserve"> 1981</w:t>
      </w:r>
      <w:r w:rsidR="00D12B1E">
        <w:t xml:space="preserve">) </w:t>
      </w:r>
      <w:r w:rsidR="00DC1940">
        <w:t>is</w:t>
      </w:r>
      <w:r w:rsidR="00D12B1E">
        <w:t xml:space="preserve"> niet zondermeer de oplossing</w:t>
      </w:r>
      <w:r w:rsidR="00DC1940">
        <w:t>; er zijn grote verschillen in kwaliteit tussen scholen met vergelijkbare problematiek, dus het maakt uit hoe de middelen worden ingezet.</w:t>
      </w:r>
    </w:p>
    <w:p w:rsidR="000F63ED" w:rsidP="001A724C" w:rsidRDefault="00E54087">
      <w:pPr>
        <w:pStyle w:val="Lijstalinea"/>
        <w:numPr>
          <w:ilvl w:val="0"/>
          <w:numId w:val="7"/>
        </w:numPr>
      </w:pPr>
      <w:r>
        <w:t>Harde effectmetingen</w:t>
      </w:r>
      <w:r w:rsidR="006844EC">
        <w:t xml:space="preserve"> zijn</w:t>
      </w:r>
      <w:r>
        <w:t xml:space="preserve"> vaak niet mogelijk: </w:t>
      </w:r>
      <w:r w:rsidR="000971E7">
        <w:t xml:space="preserve">een </w:t>
      </w:r>
      <w:r w:rsidR="002D6B41">
        <w:t xml:space="preserve">dergelijke </w:t>
      </w:r>
      <w:r>
        <w:t xml:space="preserve">opzet wordt </w:t>
      </w:r>
      <w:r w:rsidR="002D6B41">
        <w:t xml:space="preserve">soms </w:t>
      </w:r>
      <w:r>
        <w:t xml:space="preserve">onethisch geacht; </w:t>
      </w:r>
      <w:r w:rsidR="000971E7">
        <w:t>vaak ontbre</w:t>
      </w:r>
      <w:r w:rsidR="00071BFF">
        <w:t>ekt</w:t>
      </w:r>
      <w:r w:rsidR="000971E7">
        <w:t xml:space="preserve"> een </w:t>
      </w:r>
      <w:r w:rsidR="002D6B41">
        <w:t xml:space="preserve">goede </w:t>
      </w:r>
      <w:r>
        <w:t>controlegroep; h</w:t>
      </w:r>
      <w:r w:rsidR="000F63ED">
        <w:t>et breder uitrollen van bewezen maatregelen is in het onderwijs niet eenvoudig</w:t>
      </w:r>
      <w:r w:rsidR="006844EC">
        <w:t xml:space="preserve"> (het </w:t>
      </w:r>
      <w:r w:rsidR="000F63ED">
        <w:t>opschalingsprobleem</w:t>
      </w:r>
      <w:r w:rsidR="006844EC">
        <w:t xml:space="preserve">: </w:t>
      </w:r>
      <w:r>
        <w:t>w</w:t>
      </w:r>
      <w:r w:rsidR="000F63ED">
        <w:t>at werkt op de ene school of in de ene situatie, hoeft nog niet te werken in een andere situatie</w:t>
      </w:r>
      <w:r>
        <w:t>)</w:t>
      </w:r>
      <w:r w:rsidR="000F63ED">
        <w:t xml:space="preserve">. </w:t>
      </w:r>
      <w:r w:rsidR="0005402C">
        <w:t>In het buitenland (vaak de VS of het VK) genomen maatregelen die effectief blijken hoeven niet altijd ook in Nederland effectief te zijn.</w:t>
      </w:r>
    </w:p>
    <w:p w:rsidR="00F87940" w:rsidP="001A724C" w:rsidRDefault="000F63ED">
      <w:pPr>
        <w:pStyle w:val="Lijstalinea"/>
        <w:numPr>
          <w:ilvl w:val="0"/>
          <w:numId w:val="7"/>
        </w:numPr>
      </w:pPr>
      <w:r>
        <w:t>Omdat de meeste effecten verwacht worden bij zo vroeg mogelijk ingrijpen ligt de focus in achterstandsbestrijding/gelijke kansen op die eerste, vroege fase in de schoolloopbaan. De focus daarop leidt mogelijk af van het feit dat ook in de later</w:t>
      </w:r>
      <w:r w:rsidR="00DB0083">
        <w:t>e</w:t>
      </w:r>
      <w:r>
        <w:t xml:space="preserve"> schoolloopbaan en bij de overgang van studie naar arbeidsmarkt ongelijke kansen en achterstanden zich voor kunnen doen. </w:t>
      </w:r>
    </w:p>
    <w:p w:rsidR="000F63ED" w:rsidP="001A724C" w:rsidRDefault="0052611F">
      <w:pPr>
        <w:pStyle w:val="Lijstalinea"/>
        <w:numPr>
          <w:ilvl w:val="0"/>
          <w:numId w:val="7"/>
        </w:numPr>
      </w:pPr>
      <w:r>
        <w:t xml:space="preserve">Achterstanden zijn soms hardnekkig en kunnen opstapelen. </w:t>
      </w:r>
      <w:r w:rsidR="00164F3C">
        <w:t xml:space="preserve">Corona heeft bestaande ongelijkheid vergroot; leerlingen uit lagere sociaal economische milieus hebben de meeste leerachterstand opgelopen tijdens de </w:t>
      </w:r>
      <w:proofErr w:type="spellStart"/>
      <w:r w:rsidR="00164F3C">
        <w:t>lockdowns</w:t>
      </w:r>
      <w:proofErr w:type="spellEnd"/>
      <w:r w:rsidR="00164F3C">
        <w:t xml:space="preserve"> in coronatijd. </w:t>
      </w:r>
    </w:p>
    <w:p w:rsidR="002A60A0" w:rsidP="001A724C" w:rsidRDefault="002A60A0">
      <w:pPr>
        <w:pStyle w:val="Lijstalinea"/>
        <w:numPr>
          <w:ilvl w:val="0"/>
          <w:numId w:val="7"/>
        </w:numPr>
      </w:pPr>
      <w:r>
        <w:t xml:space="preserve">Vaak zijn er maatregelen gericht op </w:t>
      </w:r>
      <w:r w:rsidR="00164F3C">
        <w:t>éé</w:t>
      </w:r>
      <w:r w:rsidR="00763D5C">
        <w:t xml:space="preserve">n </w:t>
      </w:r>
      <w:r>
        <w:t xml:space="preserve">actor of </w:t>
      </w:r>
      <w:r w:rsidR="00164F3C">
        <w:t>éé</w:t>
      </w:r>
      <w:r>
        <w:t>n sector: het stelsel wordt zelden als geheel tegen het licht gehouden</w:t>
      </w:r>
      <w:r w:rsidR="006D7110">
        <w:t xml:space="preserve"> als het om achterstanden en kansenongelijkheid gaat.</w:t>
      </w:r>
      <w:r w:rsidR="00E80E93">
        <w:t xml:space="preserve"> </w:t>
      </w:r>
      <w:r w:rsidR="003B0D10">
        <w:t xml:space="preserve">Een zeer gedifferentieerd stelsel heeft het gevaar in zich om leerlingen in hokjes in te delen. </w:t>
      </w:r>
      <w:r w:rsidR="00E80E93">
        <w:t xml:space="preserve">Vroege selectie werkt ongunstig voor leerlingen die iets langer de tijd nodig hebben in </w:t>
      </w:r>
      <w:r w:rsidR="00763D5C">
        <w:t xml:space="preserve">hun ontwikkeling. Verder </w:t>
      </w:r>
      <w:r w:rsidR="00E80E93">
        <w:t xml:space="preserve">lijken de </w:t>
      </w:r>
      <w:proofErr w:type="spellStart"/>
      <w:r w:rsidR="00164F3C">
        <w:t>opstroom</w:t>
      </w:r>
      <w:proofErr w:type="spellEnd"/>
      <w:r w:rsidR="00164F3C">
        <w:t xml:space="preserve">- en </w:t>
      </w:r>
      <w:r w:rsidR="00E80E93">
        <w:t>stapelingsmogelijkheden af te nemen en kent het stelsel een rigide scheiding tussen algemeen vormend onderwijs en beroepsonderwijs, waarbij het beroepsgerichte onderwijs tot de lagere schoolniveaus behoort.</w:t>
      </w:r>
      <w:r w:rsidR="00763D5C">
        <w:t xml:space="preserve"> </w:t>
      </w:r>
    </w:p>
    <w:p w:rsidR="00DE59C4" w:rsidP="001A724C" w:rsidRDefault="00DE59C4">
      <w:pPr>
        <w:pStyle w:val="Lijstalinea"/>
        <w:numPr>
          <w:ilvl w:val="0"/>
          <w:numId w:val="7"/>
        </w:numPr>
      </w:pPr>
      <w:r>
        <w:t>Ouders met meer inkomen kunnen aanvullend onderwijs regelen en doen dat ook in toenemende mate. Er gaat steeds meer geld naar dit zogenoemde schaduwonderwijs (bijles, huiswerkklas/-hulp). Hierdoor neemt de ongelijkheid toe.</w:t>
      </w:r>
    </w:p>
    <w:p w:rsidRPr="005130B7" w:rsidR="0028035C" w:rsidP="001A724C" w:rsidRDefault="00605B69">
      <w:pPr>
        <w:pStyle w:val="Lijstalinea"/>
        <w:numPr>
          <w:ilvl w:val="0"/>
          <w:numId w:val="7"/>
        </w:numPr>
      </w:pPr>
      <w:r>
        <w:t>Voor de VVE zijn tw</w:t>
      </w:r>
      <w:r w:rsidR="00400B46">
        <w:t>ee partijen verantwoordelijk</w:t>
      </w:r>
      <w:r w:rsidR="00D65BAC">
        <w:t xml:space="preserve">: gemeenten </w:t>
      </w:r>
      <w:r w:rsidR="002C7D2A">
        <w:t xml:space="preserve">voor het voorschoolse deel </w:t>
      </w:r>
      <w:r w:rsidR="00D65BAC">
        <w:t xml:space="preserve">en basisscholen voor het vroegschoolse deel. </w:t>
      </w:r>
      <w:r w:rsidR="00400B46">
        <w:t>In beide delen kunnen de doelgroepen van elkaar verschillen en daarmee ontstaat een</w:t>
      </w:r>
      <w:r w:rsidR="00CC4AB2">
        <w:t xml:space="preserve"> (potentiële)</w:t>
      </w:r>
      <w:r w:rsidR="00400B46">
        <w:t xml:space="preserve"> breuk in het aanbod en b</w:t>
      </w:r>
      <w:r w:rsidR="00D85DAE">
        <w:t>ereik</w:t>
      </w:r>
      <w:r w:rsidR="00CB5D91">
        <w:t>.</w:t>
      </w:r>
      <w:r w:rsidR="005B72D0">
        <w:t xml:space="preserve"> </w:t>
      </w:r>
      <w:r w:rsidR="0028035C">
        <w:t xml:space="preserve">Deelname aan de vve is </w:t>
      </w:r>
      <w:r w:rsidRPr="005130B7" w:rsidR="0012290C">
        <w:t xml:space="preserve">bovendien </w:t>
      </w:r>
      <w:r w:rsidRPr="005130B7" w:rsidR="0028035C">
        <w:t>niet verplicht.</w:t>
      </w:r>
      <w:r w:rsidR="008F2E22">
        <w:t xml:space="preserve"> </w:t>
      </w:r>
      <w:r w:rsidRPr="005130B7" w:rsidR="0028035C">
        <w:t>Leerwinst van de vve is moeilijk vast te stellen om</w:t>
      </w:r>
      <w:r w:rsidR="00D44C98">
        <w:t>dat</w:t>
      </w:r>
      <w:r w:rsidRPr="005130B7" w:rsidR="0028035C">
        <w:t xml:space="preserve"> er </w:t>
      </w:r>
      <w:r w:rsidR="00D44C98">
        <w:t xml:space="preserve">bij aanvang van de vve </w:t>
      </w:r>
      <w:r w:rsidRPr="005130B7" w:rsidR="0028035C">
        <w:t xml:space="preserve">geen betrouwbare toetsen </w:t>
      </w:r>
      <w:r w:rsidR="00D44C98">
        <w:t xml:space="preserve">zijn die </w:t>
      </w:r>
      <w:r w:rsidR="00ED57DE">
        <w:t>ge</w:t>
      </w:r>
      <w:r w:rsidRPr="005130B7" w:rsidR="0028035C">
        <w:t>schik</w:t>
      </w:r>
      <w:r w:rsidR="00ED57DE">
        <w:t>t zijn voor heel jonge kinderen</w:t>
      </w:r>
      <w:r w:rsidRPr="005130B7" w:rsidR="0028035C">
        <w:t xml:space="preserve">. </w:t>
      </w:r>
    </w:p>
    <w:p w:rsidR="006D7110" w:rsidP="001A724C" w:rsidRDefault="00EC2B69">
      <w:pPr>
        <w:pStyle w:val="Lijstalinea"/>
        <w:numPr>
          <w:ilvl w:val="0"/>
          <w:numId w:val="7"/>
        </w:numPr>
      </w:pPr>
      <w:r>
        <w:t xml:space="preserve">Individuele keuzevrijheid en maatschappelijke doelen schuren soms. </w:t>
      </w:r>
      <w:r w:rsidR="00FC7E94">
        <w:t xml:space="preserve">De </w:t>
      </w:r>
      <w:r>
        <w:t>‘</w:t>
      </w:r>
      <w:r w:rsidR="00FC7E94">
        <w:t>markt</w:t>
      </w:r>
      <w:r>
        <w:t>’</w:t>
      </w:r>
      <w:r w:rsidR="00FC7E94">
        <w:t xml:space="preserve"> van vraag en aanbod </w:t>
      </w:r>
      <w:r>
        <w:t>in het onderwijs z</w:t>
      </w:r>
      <w:r w:rsidR="00FC7E94">
        <w:t xml:space="preserve">orgt er in positieve zin voor dat ouders en leerlingen kunnen kiezen </w:t>
      </w:r>
      <w:r>
        <w:t xml:space="preserve">uit </w:t>
      </w:r>
      <w:r w:rsidR="006C4102">
        <w:t>verschillende</w:t>
      </w:r>
      <w:r>
        <w:t xml:space="preserve"> scholen. D</w:t>
      </w:r>
      <w:r w:rsidR="00FC7E94">
        <w:t>e uitkomst van dit keuzeproces is echter</w:t>
      </w:r>
      <w:r w:rsidR="009442F0">
        <w:t xml:space="preserve"> gesegregeerd onderwijs</w:t>
      </w:r>
      <w:r w:rsidR="00F806A8">
        <w:t>,</w:t>
      </w:r>
      <w:r>
        <w:t xml:space="preserve"> en de </w:t>
      </w:r>
      <w:r w:rsidRPr="002415A8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segregatie</w:t>
      </w:r>
      <w:r>
        <w:t xml:space="preserve"> neemt toe</w:t>
      </w:r>
      <w:r w:rsidR="009442F0">
        <w:t xml:space="preserve">. In het basisonderwijs slagen sommige ouders er beter in hun kind (al vroeg) op populaire scholen in te schrijven; in het voortgezet onderwijs kiezen ouders met een kind met een havo/vwo-advies bij voorkeur voor ‘smal’, categoraal aangeboden onderwijs (gymnasia). </w:t>
      </w:r>
      <w:r w:rsidR="003C69F5">
        <w:t xml:space="preserve">Schoolbesturen spelen in op de wensen van ouders, ook al vinden ze vanuit maatschappelijk oogpunt meer menging wenselijk (Vogels et al, 2021). </w:t>
      </w:r>
      <w:r>
        <w:t xml:space="preserve">Met name in de grote steden gaat men van elkaar gescheiden naar school. </w:t>
      </w:r>
      <w:r w:rsidR="00A12042">
        <w:t>Het risico van een al te grote inperking van de vrije schoolkeuze is dat ouders het onderwijs mogelijk zelf gaan organiseren. Vanuit onderwijsachterstands- en segregatiebestrijding</w:t>
      </w:r>
      <w:r w:rsidR="00F806A8">
        <w:t xml:space="preserve"> bezien</w:t>
      </w:r>
      <w:r w:rsidR="00A12042">
        <w:t xml:space="preserve"> is meer privaat onderwijs onwenselijk.</w:t>
      </w:r>
    </w:p>
    <w:p w:rsidRPr="009E48BA" w:rsidR="00EB0597" w:rsidP="001A724C" w:rsidRDefault="00EB0597"/>
    <w:p w:rsidR="00A0544F" w:rsidP="001046C7" w:rsidRDefault="00A0544F">
      <w:pPr>
        <w:pStyle w:val="Kop2"/>
        <w:rPr>
          <w:rStyle w:val="Intensieveverwijzing"/>
          <w:sz w:val="24"/>
          <w:szCs w:val="24"/>
        </w:rPr>
      </w:pPr>
      <w:r w:rsidRPr="001046C7">
        <w:rPr>
          <w:rStyle w:val="Intensieveverwijzing"/>
          <w:sz w:val="24"/>
          <w:szCs w:val="24"/>
        </w:rPr>
        <w:t xml:space="preserve">Welke interventies zijn nog meer mogelijk? </w:t>
      </w:r>
    </w:p>
    <w:p w:rsidRPr="008B1871" w:rsidR="00CB1B9E" w:rsidP="00CB1B9E" w:rsidRDefault="00CB1B9E">
      <w:pPr>
        <w:pStyle w:val="Lijstalinea"/>
        <w:numPr>
          <w:ilvl w:val="0"/>
          <w:numId w:val="8"/>
        </w:numPr>
      </w:pPr>
      <w:r w:rsidRPr="008B1871">
        <w:rPr>
          <w:rStyle w:val="Intensieveverwijzing"/>
          <w:rFonts w:asciiTheme="majorHAnsi" w:hAnsiTheme="majorHAnsi" w:eastAsiaTheme="majorEastAsia" w:cstheme="majorBidi"/>
          <w:b w:val="0"/>
          <w:bCs w:val="0"/>
          <w:sz w:val="24"/>
          <w:szCs w:val="24"/>
        </w:rPr>
        <w:t>In het algemeen</w:t>
      </w:r>
      <w:r w:rsidRPr="008B1871">
        <w:t xml:space="preserve"> zijn m</w:t>
      </w:r>
      <w:r w:rsidRPr="008B1871" w:rsidR="001601E0">
        <w:t>aatregelen bij voorkeu</w:t>
      </w:r>
      <w:r w:rsidRPr="008B1871">
        <w:t>r</w:t>
      </w:r>
      <w:r w:rsidRPr="008B1871" w:rsidR="001601E0">
        <w:t xml:space="preserve"> gericht op duurzame verbetering.</w:t>
      </w:r>
      <w:r w:rsidRPr="008B1871">
        <w:t xml:space="preserve"> </w:t>
      </w:r>
      <w:r w:rsidRPr="008B1871" w:rsidR="00511F01">
        <w:t>Daarnaast is e</w:t>
      </w:r>
      <w:r w:rsidRPr="008B1871">
        <w:t>en leven lang leren of ontwikkelen voor iedereen relevant</w:t>
      </w:r>
      <w:r w:rsidRPr="008B1871" w:rsidR="00511F01">
        <w:t xml:space="preserve"> en kan</w:t>
      </w:r>
      <w:r w:rsidRPr="008B1871" w:rsidR="00B7699D">
        <w:t xml:space="preserve"> dit</w:t>
      </w:r>
      <w:r w:rsidRPr="008B1871" w:rsidR="00511F01">
        <w:t xml:space="preserve"> iets van de </w:t>
      </w:r>
      <w:r w:rsidRPr="008B1871" w:rsidR="00AA5747">
        <w:t xml:space="preserve">enorme </w:t>
      </w:r>
      <w:r w:rsidRPr="008B1871" w:rsidR="00511F01">
        <w:t xml:space="preserve">druk op </w:t>
      </w:r>
      <w:r w:rsidRPr="008B1871" w:rsidR="00C876A2">
        <w:t>de</w:t>
      </w:r>
      <w:r w:rsidRPr="008B1871" w:rsidR="00511F01">
        <w:t xml:space="preserve"> initiële </w:t>
      </w:r>
      <w:r w:rsidRPr="008B1871" w:rsidR="00C876A2">
        <w:t xml:space="preserve">fase in het </w:t>
      </w:r>
      <w:r w:rsidRPr="008B1871" w:rsidR="00511F01">
        <w:t>onderwijs wegnemen</w:t>
      </w:r>
      <w:r w:rsidRPr="008B1871" w:rsidR="00E917A9">
        <w:t>; d</w:t>
      </w:r>
      <w:r w:rsidRPr="008B1871">
        <w:t xml:space="preserve">e basis voor vanzelfsprekendheid </w:t>
      </w:r>
      <w:r w:rsidRPr="008B1871" w:rsidR="00E917A9">
        <w:t>van l</w:t>
      </w:r>
      <w:r w:rsidRPr="008B1871" w:rsidR="00C50814">
        <w:t xml:space="preserve">even lang leren </w:t>
      </w:r>
      <w:r w:rsidRPr="008B1871">
        <w:t>moet worden gelegd in het onderwijs</w:t>
      </w:r>
      <w:r w:rsidRPr="008B1871" w:rsidR="00511F01">
        <w:t>.</w:t>
      </w:r>
    </w:p>
    <w:p w:rsidRPr="001601E0" w:rsidR="001601E0" w:rsidP="001601E0" w:rsidRDefault="001601E0"/>
    <w:p w:rsidRPr="001046C7" w:rsidR="009E48BA" w:rsidP="001046C7" w:rsidRDefault="00A32AA5">
      <w:pPr>
        <w:pStyle w:val="Kop2"/>
        <w:rPr>
          <w:rStyle w:val="Intensieveverwijzing"/>
          <w:sz w:val="24"/>
          <w:szCs w:val="24"/>
        </w:rPr>
      </w:pPr>
      <w:r w:rsidRPr="00A32AA5">
        <w:rPr>
          <w:rStyle w:val="Intensieveverwijzing"/>
          <w:b w:val="0"/>
          <w:bCs w:val="0"/>
          <w:sz w:val="24"/>
          <w:szCs w:val="24"/>
        </w:rPr>
        <w:lastRenderedPageBreak/>
        <w:t>In de</w:t>
      </w:r>
      <w:r w:rsidRPr="00A32AA5" w:rsidR="00E80E93">
        <w:rPr>
          <w:rStyle w:val="Intensieveverwijzing"/>
          <w:b w:val="0"/>
          <w:bCs w:val="0"/>
          <w:sz w:val="24"/>
          <w:szCs w:val="24"/>
        </w:rPr>
        <w:t xml:space="preserve"> </w:t>
      </w:r>
      <w:r w:rsidRPr="00A32AA5" w:rsidR="00980F77">
        <w:rPr>
          <w:rStyle w:val="Intensieveverwijzing"/>
          <w:b w:val="0"/>
          <w:bCs w:val="0"/>
          <w:sz w:val="24"/>
          <w:szCs w:val="24"/>
        </w:rPr>
        <w:t>voor- en vroegschoolse periode</w:t>
      </w:r>
    </w:p>
    <w:p w:rsidR="00E06395" w:rsidP="000E4E9D" w:rsidRDefault="00266362">
      <w:pPr>
        <w:pStyle w:val="Lijstalinea"/>
        <w:numPr>
          <w:ilvl w:val="0"/>
          <w:numId w:val="8"/>
        </w:numPr>
      </w:pPr>
      <w:r>
        <w:t>Kwaliteit</w:t>
      </w:r>
      <w:r w:rsidR="00B11684">
        <w:t>:</w:t>
      </w:r>
      <w:r>
        <w:t xml:space="preserve"> </w:t>
      </w:r>
      <w:r w:rsidR="000971E7">
        <w:t>e</w:t>
      </w:r>
      <w:r w:rsidR="00B11684">
        <w:t>e</w:t>
      </w:r>
      <w:r w:rsidR="006D6DE0">
        <w:t>n van de meest bepalende factoren voor kwaliteit van het onderwijs en het terugdringen van onderwijsachterstanden</w:t>
      </w:r>
      <w:r w:rsidR="000971E7">
        <w:t xml:space="preserve"> </w:t>
      </w:r>
      <w:r w:rsidR="006D6DE0">
        <w:t>is de k</w:t>
      </w:r>
      <w:r w:rsidR="00534311">
        <w:t>waliteit van medewerkers en leerkrachten/leraren</w:t>
      </w:r>
      <w:r w:rsidR="006D6DE0">
        <w:t xml:space="preserve">. </w:t>
      </w:r>
      <w:r w:rsidR="000971E7">
        <w:t xml:space="preserve">Er zijn veel opleidingen voor personeel van de voorschool (de </w:t>
      </w:r>
      <w:proofErr w:type="spellStart"/>
      <w:r w:rsidRPr="00E06395" w:rsidR="000971E7">
        <w:rPr>
          <w:i/>
          <w:iCs/>
        </w:rPr>
        <w:t>oeso</w:t>
      </w:r>
      <w:proofErr w:type="spellEnd"/>
      <w:r w:rsidR="000971E7">
        <w:t xml:space="preserve"> dringt aan op harmonisatie) en in vergelijking met andere landen zijn de opleidingseisen in Nederland laag. Een hoger kwalificatieniveau van personeel in de voorschool (goed Nederlands taalniveau en meer hbo’ers</w:t>
      </w:r>
      <w:r w:rsidR="00BE5BB7">
        <w:t>)</w:t>
      </w:r>
      <w:r w:rsidR="000971E7">
        <w:t xml:space="preserve"> </w:t>
      </w:r>
      <w:r w:rsidR="00030830">
        <w:t xml:space="preserve">heeft effect en </w:t>
      </w:r>
      <w:r w:rsidR="002345C5">
        <w:t xml:space="preserve">resulteert bijvoorbeeld in minder verlengd kleuteren. </w:t>
      </w:r>
    </w:p>
    <w:p w:rsidR="0025636E" w:rsidP="000E4E9D" w:rsidRDefault="00282F9C">
      <w:pPr>
        <w:pStyle w:val="Lijstalinea"/>
        <w:numPr>
          <w:ilvl w:val="0"/>
          <w:numId w:val="8"/>
        </w:numPr>
      </w:pPr>
      <w:r>
        <w:t xml:space="preserve">Kwantiteit en intensivering: voldoende kindplaatsen en uitbreiding van de vve naar 24 uur per week en meer dagdelen hebben effect. Vervroegen van de instapleeftijd op de voorschool naar 2 jaar, heeft effect op de taalontwikkeling van </w:t>
      </w:r>
      <w:proofErr w:type="spellStart"/>
      <w:r>
        <w:t>doelgroeppeuters</w:t>
      </w:r>
      <w:proofErr w:type="spellEnd"/>
      <w:r>
        <w:t xml:space="preserve">. </w:t>
      </w:r>
    </w:p>
    <w:p w:rsidR="002345C5" w:rsidP="000E4E9D" w:rsidRDefault="00282F9C">
      <w:pPr>
        <w:pStyle w:val="Lijstalinea"/>
        <w:numPr>
          <w:ilvl w:val="0"/>
          <w:numId w:val="8"/>
        </w:numPr>
      </w:pPr>
      <w:r>
        <w:t xml:space="preserve">Het gratis toegang bieden aan kinderdagverblijven vergroot de toegankelijkheid voor </w:t>
      </w:r>
      <w:proofErr w:type="spellStart"/>
      <w:r>
        <w:t>doelgroeppeuters</w:t>
      </w:r>
      <w:proofErr w:type="spellEnd"/>
      <w:r>
        <w:t>.</w:t>
      </w:r>
    </w:p>
    <w:p w:rsidR="003373DB" w:rsidP="003373DB" w:rsidRDefault="003373DB">
      <w:pPr>
        <w:pStyle w:val="Lijstalinea"/>
        <w:ind w:left="360"/>
      </w:pPr>
    </w:p>
    <w:p w:rsidRPr="00A32AA5" w:rsidR="002345C5" w:rsidP="001046C7" w:rsidRDefault="00A32AA5">
      <w:pPr>
        <w:pStyle w:val="Kop2"/>
        <w:rPr>
          <w:rStyle w:val="Intensieveverwijzing"/>
          <w:b w:val="0"/>
          <w:bCs w:val="0"/>
          <w:sz w:val="24"/>
          <w:szCs w:val="24"/>
        </w:rPr>
      </w:pPr>
      <w:r>
        <w:rPr>
          <w:rStyle w:val="Intensieveverwijzing"/>
          <w:b w:val="0"/>
          <w:bCs w:val="0"/>
          <w:sz w:val="24"/>
          <w:szCs w:val="24"/>
        </w:rPr>
        <w:t xml:space="preserve">In </w:t>
      </w:r>
      <w:r w:rsidRPr="00A32AA5" w:rsidR="002345C5">
        <w:rPr>
          <w:rStyle w:val="Intensieveverwijzing"/>
          <w:b w:val="0"/>
          <w:bCs w:val="0"/>
          <w:sz w:val="24"/>
          <w:szCs w:val="24"/>
        </w:rPr>
        <w:t>het basisonderwijs</w:t>
      </w:r>
      <w:r w:rsidRPr="00A32AA5" w:rsidR="005720A7">
        <w:rPr>
          <w:rStyle w:val="Intensieveverwijzing"/>
          <w:b w:val="0"/>
          <w:bCs w:val="0"/>
          <w:sz w:val="24"/>
          <w:szCs w:val="24"/>
        </w:rPr>
        <w:t xml:space="preserve"> en voortgezet onderwijs</w:t>
      </w:r>
    </w:p>
    <w:p w:rsidRPr="008B1871" w:rsidR="00534311" w:rsidP="001A724C" w:rsidRDefault="00266362">
      <w:pPr>
        <w:pStyle w:val="Lijstalinea"/>
        <w:numPr>
          <w:ilvl w:val="0"/>
          <w:numId w:val="8"/>
        </w:numPr>
      </w:pPr>
      <w:r>
        <w:t>In het basis</w:t>
      </w:r>
      <w:r w:rsidR="00BE5BB7">
        <w:t>-</w:t>
      </w:r>
      <w:r>
        <w:t xml:space="preserve"> en voortgezet onderwijs</w:t>
      </w:r>
      <w:r w:rsidR="006D6DE0">
        <w:t xml:space="preserve"> valt winst te boeken door goede en </w:t>
      </w:r>
      <w:r w:rsidR="009C1B73">
        <w:t>ervaren</w:t>
      </w:r>
      <w:r w:rsidR="006D6DE0">
        <w:t xml:space="preserve"> leraren in te zetten op scholen die dat </w:t>
      </w:r>
      <w:r>
        <w:t xml:space="preserve">gezien de ongelijke kansen en achterstanden </w:t>
      </w:r>
      <w:r w:rsidR="006D6DE0">
        <w:t>het meest nodig hebben</w:t>
      </w:r>
      <w:r w:rsidR="003B6B88">
        <w:t>,</w:t>
      </w:r>
      <w:r w:rsidR="006D6DE0">
        <w:t xml:space="preserve"> en ze </w:t>
      </w:r>
      <w:r w:rsidR="003B6B88">
        <w:t xml:space="preserve">ook weten </w:t>
      </w:r>
      <w:r w:rsidR="006D6DE0">
        <w:t>te behouden</w:t>
      </w:r>
      <w:r w:rsidR="00930BC1">
        <w:t xml:space="preserve"> op </w:t>
      </w:r>
      <w:r w:rsidRPr="008B1871" w:rsidR="00930BC1">
        <w:t>die scholen</w:t>
      </w:r>
      <w:r w:rsidRPr="008B1871" w:rsidR="006D6DE0">
        <w:t>.</w:t>
      </w:r>
      <w:r w:rsidRPr="008B1871" w:rsidR="003B6B88">
        <w:t xml:space="preserve"> </w:t>
      </w:r>
      <w:r w:rsidRPr="008B1871" w:rsidR="00930BC1">
        <w:t>Daarvoor heeft een</w:t>
      </w:r>
      <w:r w:rsidRPr="008B1871" w:rsidR="003B6B88">
        <w:t xml:space="preserve"> extra beloning </w:t>
      </w:r>
      <w:r w:rsidRPr="008B1871" w:rsidR="00A62715">
        <w:t>mogelijk</w:t>
      </w:r>
      <w:r w:rsidRPr="008B1871" w:rsidR="003B6B88">
        <w:t xml:space="preserve"> effect</w:t>
      </w:r>
      <w:r w:rsidRPr="008B1871" w:rsidR="00A62715">
        <w:t>. A</w:t>
      </w:r>
      <w:r w:rsidRPr="008B1871" w:rsidR="00930BC1">
        <w:t>angezien</w:t>
      </w:r>
      <w:r w:rsidR="00E40AF4">
        <w:t xml:space="preserve"> echter</w:t>
      </w:r>
      <w:r w:rsidRPr="008B1871" w:rsidR="00930BC1">
        <w:t xml:space="preserve"> </w:t>
      </w:r>
      <w:r w:rsidRPr="008B1871" w:rsidR="00DF58E6">
        <w:t xml:space="preserve">het hele funderend onderwijs </w:t>
      </w:r>
      <w:r w:rsidRPr="008B1871" w:rsidR="00930BC1">
        <w:t xml:space="preserve">kampt </w:t>
      </w:r>
      <w:r w:rsidRPr="008B1871" w:rsidR="00DF58E6">
        <w:t xml:space="preserve">met een lerarentekort </w:t>
      </w:r>
      <w:r w:rsidRPr="008B1871" w:rsidR="00930BC1">
        <w:t xml:space="preserve">is </w:t>
      </w:r>
      <w:r w:rsidRPr="008B1871" w:rsidR="00DF58E6">
        <w:t>een waterbedeffect niet ondenkbaar.</w:t>
      </w:r>
    </w:p>
    <w:p w:rsidR="00843186" w:rsidP="00843186" w:rsidRDefault="00C043F6">
      <w:pPr>
        <w:pStyle w:val="Lijstalinea"/>
        <w:numPr>
          <w:ilvl w:val="0"/>
          <w:numId w:val="8"/>
        </w:numPr>
      </w:pPr>
      <w:r w:rsidRPr="008B1871">
        <w:t xml:space="preserve">Inzetten op permanente kwaliteitsverbetering van leraren en schoolleiders is van belang. </w:t>
      </w:r>
      <w:r w:rsidRPr="008B1871" w:rsidR="00B55574">
        <w:t xml:space="preserve">Het aantal jaren ervaring dat een leraar heeft, lijkt een positief effect te hebben. </w:t>
      </w:r>
      <w:r w:rsidRPr="008B1871" w:rsidR="00E04995">
        <w:t>G</w:t>
      </w:r>
      <w:r w:rsidRPr="008B1871" w:rsidR="00B47117">
        <w:t>oed inwerken,</w:t>
      </w:r>
      <w:r w:rsidRPr="008B1871" w:rsidR="00592BA9">
        <w:t xml:space="preserve"> coaching</w:t>
      </w:r>
      <w:r w:rsidRPr="008B1871" w:rsidR="00E04995">
        <w:t xml:space="preserve"> en intensieve samenwerking met een collega</w:t>
      </w:r>
      <w:r w:rsidRPr="008B1871" w:rsidR="00592BA9">
        <w:t xml:space="preserve"> </w:t>
      </w:r>
      <w:r w:rsidRPr="008B1871" w:rsidR="00B47117">
        <w:t>kunnen het leren tijdens het werk ondersteunen en versnellen</w:t>
      </w:r>
      <w:r w:rsidRPr="008B1871" w:rsidR="00E11413">
        <w:t>: de prestaties van leraren worden er beter door.</w:t>
      </w:r>
      <w:r w:rsidRPr="008B1871" w:rsidR="00E04995">
        <w:t xml:space="preserve"> Leraren worden mogelijk ook beter door een paar jaar aan hetzelfde leerjaar les te geven.</w:t>
      </w:r>
      <w:r w:rsidRPr="008B1871">
        <w:t xml:space="preserve"> Ook </w:t>
      </w:r>
      <w:r w:rsidRPr="008B1871" w:rsidR="007D184A">
        <w:t xml:space="preserve">het ontwikkelen van </w:t>
      </w:r>
      <w:r w:rsidRPr="008B1871">
        <w:t xml:space="preserve">goede </w:t>
      </w:r>
      <w:proofErr w:type="spellStart"/>
      <w:r w:rsidRPr="008B1871">
        <w:t>leerlinginteractievaardigheden</w:t>
      </w:r>
      <w:proofErr w:type="spellEnd"/>
      <w:r w:rsidRPr="008B1871">
        <w:t xml:space="preserve"> </w:t>
      </w:r>
      <w:r w:rsidRPr="008B1871" w:rsidR="007D184A">
        <w:t>sorteert een positief effect</w:t>
      </w:r>
      <w:r w:rsidRPr="008B1871">
        <w:t>.</w:t>
      </w:r>
      <w:r w:rsidRPr="008B1871" w:rsidR="00762105">
        <w:t xml:space="preserve"> Met nam</w:t>
      </w:r>
      <w:r w:rsidRPr="008B1871" w:rsidR="00EE647A">
        <w:t>e</w:t>
      </w:r>
      <w:r w:rsidRPr="008B1871" w:rsidR="00762105">
        <w:t xml:space="preserve"> voor achterstandsleerlingen is het van belang </w:t>
      </w:r>
      <w:r w:rsidRPr="008B1871" w:rsidR="00001AB4">
        <w:t>dat leraren</w:t>
      </w:r>
      <w:r w:rsidRPr="008B1871" w:rsidR="00762105">
        <w:t xml:space="preserve"> hoge verwachtingen </w:t>
      </w:r>
      <w:r w:rsidRPr="008B1871" w:rsidR="00001AB4">
        <w:t xml:space="preserve">van de leerlingen </w:t>
      </w:r>
      <w:r w:rsidRPr="008B1871" w:rsidR="00762105">
        <w:t>hebben.</w:t>
      </w:r>
      <w:r w:rsidR="00843186">
        <w:t xml:space="preserve"> </w:t>
      </w:r>
    </w:p>
    <w:p w:rsidRPr="008B1871" w:rsidR="008B759D" w:rsidP="00843186" w:rsidRDefault="00EC59EE">
      <w:pPr>
        <w:pStyle w:val="Lijstalinea"/>
        <w:numPr>
          <w:ilvl w:val="0"/>
          <w:numId w:val="8"/>
        </w:numPr>
      </w:pPr>
      <w:r>
        <w:t xml:space="preserve">Voor het terugdringen van </w:t>
      </w:r>
      <w:r w:rsidRPr="008B1871" w:rsidR="008B759D">
        <w:t>het lerarentekor</w:t>
      </w:r>
      <w:r>
        <w:t>t helpt het de</w:t>
      </w:r>
      <w:r w:rsidR="00364BEC">
        <w:t xml:space="preserve"> </w:t>
      </w:r>
      <w:proofErr w:type="spellStart"/>
      <w:r w:rsidRPr="008B1871" w:rsidR="008B759D">
        <w:t>zij-instroom</w:t>
      </w:r>
      <w:proofErr w:type="spellEnd"/>
      <w:r>
        <w:t xml:space="preserve"> te vergroten, </w:t>
      </w:r>
      <w:r w:rsidRPr="008B1871" w:rsidR="008B759D">
        <w:t>gepaard met</w:t>
      </w:r>
      <w:r>
        <w:t xml:space="preserve"> coaching en leren tijdens het werk</w:t>
      </w:r>
      <w:r w:rsidRPr="008B1871" w:rsidR="00526BC6">
        <w:t>.</w:t>
      </w:r>
      <w:r w:rsidRPr="008B1871" w:rsidR="00A11A0B">
        <w:t xml:space="preserve"> </w:t>
      </w:r>
      <w:r w:rsidRPr="008B1871" w:rsidR="008B759D">
        <w:t>Deeltijders kunnen worden verleid om meer uren te werken.</w:t>
      </w:r>
      <w:r w:rsidRPr="008B1871" w:rsidR="00A11A0B">
        <w:t xml:space="preserve"> </w:t>
      </w:r>
      <w:r>
        <w:t>De aantrekkelijkheid van het vak neemt toe met gunstige beloning en werkomstandigheden.</w:t>
      </w:r>
    </w:p>
    <w:p w:rsidR="00C043F6" w:rsidP="001A724C" w:rsidRDefault="007D184A">
      <w:pPr>
        <w:pStyle w:val="Lijstalinea"/>
        <w:numPr>
          <w:ilvl w:val="0"/>
          <w:numId w:val="8"/>
        </w:numPr>
      </w:pPr>
      <w:r w:rsidRPr="008B1871">
        <w:t>E</w:t>
      </w:r>
      <w:r w:rsidRPr="008B1871" w:rsidR="009C6600">
        <w:t>xtra les</w:t>
      </w:r>
      <w:r w:rsidRPr="008B1871">
        <w:t>- of leer</w:t>
      </w:r>
      <w:r w:rsidRPr="008B1871" w:rsidR="009C6600">
        <w:t>tijd voor leerlingen met een leerachterstand lever</w:t>
      </w:r>
      <w:r w:rsidRPr="008B1871">
        <w:t>t</w:t>
      </w:r>
      <w:r w:rsidRPr="008B1871" w:rsidR="009C6600">
        <w:t xml:space="preserve"> leerwinst op</w:t>
      </w:r>
      <w:r w:rsidR="009C6600">
        <w:t xml:space="preserve">; het moet wel gaan om een effectieve onderwijsvorm. </w:t>
      </w:r>
      <w:r>
        <w:t xml:space="preserve">Extra onderwijstijd (een maand extra kleuteren) voor kinderen uit achterstandsposities met laagopgeleide ouders leidt tot iets betere taal- en rekenvaardigheden. </w:t>
      </w:r>
      <w:r w:rsidR="009C6600">
        <w:t>Van extra digitale lessen zijn de resultaten niet zo duidelijk; veel oefenen thuis bijvoorbeeld met rekenen, is een belangrijke voorwaarde. (</w:t>
      </w:r>
      <w:r w:rsidR="008C7C9E">
        <w:t>N</w:t>
      </w:r>
      <w:r w:rsidR="009C6600">
        <w:t xml:space="preserve">b dit betreft onderzoek van voor corona en de </w:t>
      </w:r>
      <w:proofErr w:type="spellStart"/>
      <w:r w:rsidR="009C6600">
        <w:t>lockdown</w:t>
      </w:r>
      <w:proofErr w:type="spellEnd"/>
      <w:r w:rsidR="009C6600">
        <w:t xml:space="preserve"> waarbij leerlingen en studenten</w:t>
      </w:r>
      <w:r w:rsidR="004E493A">
        <w:t xml:space="preserve"> een poos</w:t>
      </w:r>
      <w:r w:rsidR="009C6600">
        <w:t xml:space="preserve"> </w:t>
      </w:r>
      <w:r w:rsidR="008C7C9E">
        <w:t>t</w:t>
      </w:r>
      <w:r w:rsidR="009C6600">
        <w:t>huis onderwijs volgden.)</w:t>
      </w:r>
    </w:p>
    <w:p w:rsidR="00C53B2F" w:rsidP="00024C54" w:rsidRDefault="00F74E02">
      <w:pPr>
        <w:pStyle w:val="Lijstalinea"/>
        <w:numPr>
          <w:ilvl w:val="0"/>
          <w:numId w:val="8"/>
        </w:numPr>
      </w:pPr>
      <w:r>
        <w:t xml:space="preserve">Extra ondersteuning in de klas door een </w:t>
      </w:r>
      <w:r w:rsidR="00C618F7">
        <w:t>klasse assistent</w:t>
      </w:r>
      <w:r>
        <w:t xml:space="preserve">, onderwijsassistent, een lerarenondersteuner of tweede docent voor de klas: met name een inzet </w:t>
      </w:r>
      <w:r w:rsidR="00B97DE7">
        <w:t xml:space="preserve">van iemand </w:t>
      </w:r>
      <w:r>
        <w:t xml:space="preserve">met veel onderwijsinhoudelijke taken </w:t>
      </w:r>
      <w:r w:rsidR="007D184A">
        <w:t>lijkt effect te hebben</w:t>
      </w:r>
      <w:r>
        <w:t>.</w:t>
      </w:r>
      <w:r w:rsidR="008B759D">
        <w:t xml:space="preserve"> </w:t>
      </w:r>
      <w:r w:rsidR="00C53B2F">
        <w:t>Andere mogelijkheden zijn pre-teaching</w:t>
      </w:r>
      <w:r w:rsidR="00C53B2F">
        <w:t xml:space="preserve"> en </w:t>
      </w:r>
      <w:r w:rsidR="00C53B2F">
        <w:t>remedial teaching.</w:t>
      </w:r>
    </w:p>
    <w:p w:rsidR="00F74E02" w:rsidP="001A724C" w:rsidRDefault="00F74E02">
      <w:pPr>
        <w:pStyle w:val="Lijstalinea"/>
        <w:numPr>
          <w:ilvl w:val="0"/>
          <w:numId w:val="8"/>
        </w:numPr>
      </w:pPr>
      <w:r>
        <w:t>Klassengrootte: kleinere klassen verbeteren de leerprestatie</w:t>
      </w:r>
      <w:r w:rsidR="006208FD">
        <w:t>s (hoe kleiner de klas, hoe beter de leerprestaties)</w:t>
      </w:r>
      <w:r w:rsidR="00727E09">
        <w:t xml:space="preserve"> dit is</w:t>
      </w:r>
      <w:r>
        <w:t xml:space="preserve"> zeker</w:t>
      </w:r>
      <w:r w:rsidR="00745174">
        <w:t xml:space="preserve"> waarschijnlijk </w:t>
      </w:r>
      <w:r>
        <w:t>voor de kortere termijn,</w:t>
      </w:r>
      <w:r w:rsidR="00634D25">
        <w:t xml:space="preserve"> en</w:t>
      </w:r>
      <w:r>
        <w:t xml:space="preserve"> voor de langere termijn </w:t>
      </w:r>
      <w:r w:rsidR="004F20C3">
        <w:t>lijkt er eerst sprak</w:t>
      </w:r>
      <w:r w:rsidR="0065644C">
        <w:t>e</w:t>
      </w:r>
      <w:r w:rsidR="004F20C3">
        <w:t xml:space="preserve"> te zijn van een wegeb-effect</w:t>
      </w:r>
      <w:r w:rsidR="0065644C">
        <w:t>, maar zou het effect daarna op de echt langere termijn (deelname aan hoger onderwijs, salaris) juist nog doorwerken</w:t>
      </w:r>
      <w:r>
        <w:t>.</w:t>
      </w:r>
      <w:r w:rsidR="0065644C">
        <w:t xml:space="preserve"> Leerlingen uit achterstandssituaties profiteren het meest van klassenverkleining.</w:t>
      </w:r>
    </w:p>
    <w:p w:rsidRPr="00E13C51" w:rsidR="00D37307" w:rsidP="001A724C" w:rsidRDefault="00D37307">
      <w:pPr>
        <w:pStyle w:val="Lijstalinea"/>
        <w:numPr>
          <w:ilvl w:val="0"/>
          <w:numId w:val="8"/>
        </w:numPr>
      </w:pPr>
      <w:r>
        <w:t xml:space="preserve">Behoud van objectieve toetsen is met name </w:t>
      </w:r>
      <w:r w:rsidR="00D2707A">
        <w:t>voor</w:t>
      </w:r>
      <w:r>
        <w:t xml:space="preserve"> achterstandsleerlingen</w:t>
      </w:r>
      <w:r w:rsidR="00D2707A">
        <w:t xml:space="preserve"> belangrijk</w:t>
      </w:r>
      <w:r>
        <w:t xml:space="preserve">. </w:t>
      </w:r>
      <w:r w:rsidR="00E13C51">
        <w:t>Ouders van achterstandsleerlingen hebben baat bij ondersteuning om de schoolkeuze naar boven bij te kunnen stellen</w:t>
      </w:r>
      <w:r w:rsidR="001D1863">
        <w:t xml:space="preserve">; hoogopgeleide ouders </w:t>
      </w:r>
      <w:r w:rsidR="00D2707A">
        <w:t xml:space="preserve">slagen </w:t>
      </w:r>
      <w:r w:rsidR="001D1863">
        <w:t xml:space="preserve">daar </w:t>
      </w:r>
      <w:r w:rsidR="007D184A">
        <w:t xml:space="preserve">nu </w:t>
      </w:r>
      <w:r w:rsidR="001D1863">
        <w:t>beter in</w:t>
      </w:r>
      <w:r w:rsidR="00E13C51">
        <w:t>.</w:t>
      </w:r>
    </w:p>
    <w:p w:rsidR="006D6DE0" w:rsidP="001A724C" w:rsidRDefault="00D37307">
      <w:pPr>
        <w:pStyle w:val="Lijstalinea"/>
        <w:numPr>
          <w:ilvl w:val="0"/>
          <w:numId w:val="8"/>
        </w:numPr>
      </w:pPr>
      <w:r>
        <w:t>Een meer fluïde overgang tussen basis- en voortgezet onderwijs</w:t>
      </w:r>
      <w:r w:rsidR="00F033CF">
        <w:t xml:space="preserve"> en pas een definitief advies na het tweede jaar van het voortgezet onderwijs</w:t>
      </w:r>
      <w:r>
        <w:t>, geeft laatbloeiers meer kansen en voorkomt al te vroege indeling naar niveau en richting.</w:t>
      </w:r>
      <w:r w:rsidR="00F033CF">
        <w:t xml:space="preserve"> </w:t>
      </w:r>
    </w:p>
    <w:p w:rsidRPr="008B1871" w:rsidR="005720A7" w:rsidP="001A724C" w:rsidRDefault="005720A7">
      <w:pPr>
        <w:pStyle w:val="Lijstalinea"/>
        <w:numPr>
          <w:ilvl w:val="0"/>
          <w:numId w:val="8"/>
        </w:numPr>
      </w:pPr>
      <w:r w:rsidRPr="008B1871">
        <w:lastRenderedPageBreak/>
        <w:t>Brede brugklassen in het voortgezet onderwijs passen daarbij</w:t>
      </w:r>
      <w:r w:rsidRPr="008B1871" w:rsidR="008775C0">
        <w:t xml:space="preserve">, </w:t>
      </w:r>
      <w:r w:rsidRPr="008B1871" w:rsidR="00FD178D">
        <w:t>en brede scho</w:t>
      </w:r>
      <w:r w:rsidRPr="008B1871" w:rsidR="00F42168">
        <w:t>olvestigingen</w:t>
      </w:r>
      <w:r w:rsidRPr="008B1871" w:rsidR="00FD178D">
        <w:t xml:space="preserve"> met meerdere schoolsoorten waarbij opstromen wordt gestimuleerd. Beide kunnen </w:t>
      </w:r>
      <w:r w:rsidRPr="008B1871" w:rsidR="00120FBE">
        <w:t>bijdragen aan minder kansenongelijkheid</w:t>
      </w:r>
      <w:r w:rsidRPr="008B1871" w:rsidR="00FD178D">
        <w:t xml:space="preserve"> </w:t>
      </w:r>
      <w:r w:rsidRPr="008B1871">
        <w:t>al zal het effect van uitstel van selectie vermoedelijk groter zijn.</w:t>
      </w:r>
    </w:p>
    <w:p w:rsidRPr="008B1871" w:rsidR="001601E0" w:rsidP="001A724C" w:rsidRDefault="001601E0">
      <w:pPr>
        <w:pStyle w:val="Lijstalinea"/>
        <w:numPr>
          <w:ilvl w:val="0"/>
          <w:numId w:val="8"/>
        </w:numPr>
      </w:pPr>
      <w:r w:rsidRPr="008B1871">
        <w:t xml:space="preserve">Intensieve </w:t>
      </w:r>
      <w:proofErr w:type="spellStart"/>
      <w:r w:rsidRPr="008B1871">
        <w:t>tutoring</w:t>
      </w:r>
      <w:proofErr w:type="spellEnd"/>
      <w:r w:rsidRPr="008B1871">
        <w:t xml:space="preserve"> werkt, bij voorkeur één o</w:t>
      </w:r>
      <w:r w:rsidRPr="008B1871" w:rsidR="002B6A0F">
        <w:t>p</w:t>
      </w:r>
      <w:r w:rsidRPr="008B1871">
        <w:t xml:space="preserve"> één of anders in kleine groepjes.</w:t>
      </w:r>
    </w:p>
    <w:p w:rsidRPr="00674503" w:rsidR="0058162F" w:rsidP="001A724C" w:rsidRDefault="00393815">
      <w:pPr>
        <w:pStyle w:val="Lijstalinea"/>
        <w:numPr>
          <w:ilvl w:val="0"/>
          <w:numId w:val="8"/>
        </w:numPr>
      </w:pPr>
      <w:r w:rsidRPr="008B1871">
        <w:t xml:space="preserve">Wellicht </w:t>
      </w:r>
      <w:r w:rsidR="009B2035">
        <w:t>zijn</w:t>
      </w:r>
      <w:r w:rsidRPr="008B1871">
        <w:t xml:space="preserve"> ook d</w:t>
      </w:r>
      <w:r w:rsidRPr="008B1871" w:rsidR="0058162F">
        <w:t xml:space="preserve">oor scholen gegeven huiswerkbegeleiding of een initiatief als Studiezalen </w:t>
      </w:r>
      <w:r w:rsidR="002E29EB">
        <w:t xml:space="preserve">een optie </w:t>
      </w:r>
      <w:r w:rsidRPr="008B1871">
        <w:t xml:space="preserve">waarbij </w:t>
      </w:r>
      <w:r w:rsidRPr="008B1871" w:rsidR="0058162F">
        <w:t xml:space="preserve">leerlingen uit minder welvarende gezinnen </w:t>
      </w:r>
      <w:r w:rsidRPr="008B1871" w:rsidR="00C63E79">
        <w:t xml:space="preserve">- </w:t>
      </w:r>
      <w:r w:rsidRPr="008B1871" w:rsidR="0058162F">
        <w:t>naast een plek om</w:t>
      </w:r>
      <w:r w:rsidRPr="00674503" w:rsidR="0058162F">
        <w:t xml:space="preserve"> rustig het huiswerk te kunnen maken</w:t>
      </w:r>
      <w:r w:rsidRPr="00674503" w:rsidR="00C63E79">
        <w:t>-</w:t>
      </w:r>
      <w:r w:rsidRPr="00674503" w:rsidR="0058162F">
        <w:t xml:space="preserve"> extra mogelijkheden</w:t>
      </w:r>
      <w:r w:rsidR="00C63F60">
        <w:t xml:space="preserve"> hebben</w:t>
      </w:r>
      <w:r w:rsidR="005A39E7">
        <w:t xml:space="preserve"> </w:t>
      </w:r>
      <w:r>
        <w:t>voor</w:t>
      </w:r>
      <w:r w:rsidRPr="00674503" w:rsidR="0058162F">
        <w:t xml:space="preserve"> bijspijkeren</w:t>
      </w:r>
      <w:bookmarkStart w:name="_GoBack" w:id="1"/>
      <w:bookmarkEnd w:id="1"/>
      <w:r w:rsidRPr="00674503" w:rsidR="0058162F">
        <w:t xml:space="preserve"> en </w:t>
      </w:r>
      <w:r>
        <w:t xml:space="preserve">het </w:t>
      </w:r>
      <w:r w:rsidRPr="00674503" w:rsidR="0058162F">
        <w:t>inhalen van leerachterstand.</w:t>
      </w:r>
    </w:p>
    <w:p w:rsidR="002B2157" w:rsidP="001A724C" w:rsidRDefault="002B2157">
      <w:pPr>
        <w:pStyle w:val="Lijstalinea"/>
      </w:pPr>
    </w:p>
    <w:p w:rsidRPr="008B1871" w:rsidR="006936DE" w:rsidP="001046C7" w:rsidRDefault="00A32AA5">
      <w:pPr>
        <w:pStyle w:val="Kop2"/>
        <w:rPr>
          <w:rStyle w:val="Intensieveverwijzing"/>
          <w:b w:val="0"/>
          <w:bCs w:val="0"/>
          <w:sz w:val="24"/>
          <w:szCs w:val="24"/>
        </w:rPr>
      </w:pPr>
      <w:r w:rsidRPr="008B1871">
        <w:rPr>
          <w:rStyle w:val="Intensieveverwijzing"/>
          <w:b w:val="0"/>
          <w:bCs w:val="0"/>
          <w:sz w:val="24"/>
          <w:szCs w:val="24"/>
        </w:rPr>
        <w:t xml:space="preserve">In </w:t>
      </w:r>
      <w:r w:rsidRPr="008B1871" w:rsidR="006936DE">
        <w:rPr>
          <w:rStyle w:val="Intensieveverwijzing"/>
          <w:b w:val="0"/>
          <w:bCs w:val="0"/>
          <w:sz w:val="24"/>
          <w:szCs w:val="24"/>
        </w:rPr>
        <w:t xml:space="preserve">het </w:t>
      </w:r>
      <w:r w:rsidRPr="008B1871">
        <w:rPr>
          <w:rStyle w:val="Intensieveverwijzing"/>
          <w:b w:val="0"/>
          <w:bCs w:val="0"/>
          <w:sz w:val="24"/>
          <w:szCs w:val="24"/>
        </w:rPr>
        <w:t xml:space="preserve">mbo en </w:t>
      </w:r>
      <w:r w:rsidRPr="008B1871" w:rsidR="006936DE">
        <w:rPr>
          <w:rStyle w:val="Intensieveverwijzing"/>
          <w:b w:val="0"/>
          <w:bCs w:val="0"/>
          <w:sz w:val="24"/>
          <w:szCs w:val="24"/>
        </w:rPr>
        <w:t>hoger onderwijs</w:t>
      </w:r>
    </w:p>
    <w:p w:rsidRPr="008B1871" w:rsidR="00A97D03" w:rsidP="001A724C" w:rsidRDefault="00AE476C">
      <w:pPr>
        <w:pStyle w:val="Lijstalinea"/>
        <w:numPr>
          <w:ilvl w:val="0"/>
          <w:numId w:val="8"/>
        </w:numPr>
      </w:pPr>
      <w:r w:rsidRPr="008B1871">
        <w:t>Jongeren in het mbo zijn gebaat bij goede stages en andere mogelijkheden om</w:t>
      </w:r>
      <w:r w:rsidRPr="008B1871" w:rsidR="00A97D03">
        <w:t xml:space="preserve"> een netwerk op te bouwen</w:t>
      </w:r>
      <w:r w:rsidRPr="008B1871">
        <w:t>; stagediscriminatie</w:t>
      </w:r>
      <w:r w:rsidRPr="008B1871" w:rsidR="00A97D03">
        <w:t xml:space="preserve"> is uiteraard funest.</w:t>
      </w:r>
      <w:r w:rsidRPr="008B1871">
        <w:t xml:space="preserve"> </w:t>
      </w:r>
    </w:p>
    <w:p w:rsidRPr="008B1871" w:rsidR="00A97D03" w:rsidP="001A724C" w:rsidRDefault="00A97D03">
      <w:pPr>
        <w:pStyle w:val="Lijstalinea"/>
        <w:numPr>
          <w:ilvl w:val="0"/>
          <w:numId w:val="8"/>
        </w:numPr>
      </w:pPr>
      <w:r w:rsidRPr="008B1871">
        <w:t xml:space="preserve">Meer maatschappelijke waardering voor vakmanschap </w:t>
      </w:r>
      <w:r w:rsidRPr="008B1871">
        <w:t>hel</w:t>
      </w:r>
      <w:r w:rsidRPr="008B1871" w:rsidR="00EB589E">
        <w:t xml:space="preserve">pt </w:t>
      </w:r>
      <w:r w:rsidRPr="008B1871" w:rsidR="00EA541A">
        <w:t xml:space="preserve">vmbo-leerlingen en </w:t>
      </w:r>
      <w:r w:rsidRPr="008B1871" w:rsidR="00EB589E">
        <w:t>mbo-studenten</w:t>
      </w:r>
      <w:r w:rsidRPr="008B1871" w:rsidR="00EA541A">
        <w:t xml:space="preserve"> in hun </w:t>
      </w:r>
      <w:r w:rsidRPr="008B1871" w:rsidR="006E7874">
        <w:t>schoolloopbaan</w:t>
      </w:r>
      <w:r w:rsidRPr="008B1871" w:rsidR="00EA541A">
        <w:t>keuzes en zelfvertrouwen</w:t>
      </w:r>
      <w:r w:rsidRPr="008B1871">
        <w:t>.</w:t>
      </w:r>
    </w:p>
    <w:p w:rsidRPr="008B1871" w:rsidR="006936DE" w:rsidP="001A724C" w:rsidRDefault="006936DE">
      <w:pPr>
        <w:pStyle w:val="Lijstalinea"/>
        <w:numPr>
          <w:ilvl w:val="0"/>
          <w:numId w:val="8"/>
        </w:numPr>
      </w:pPr>
      <w:r w:rsidRPr="008B1871">
        <w:t xml:space="preserve">Herinvoering van de basisbeurs of </w:t>
      </w:r>
      <w:r w:rsidR="000458B8">
        <w:t xml:space="preserve">verhogen </w:t>
      </w:r>
      <w:r w:rsidRPr="008B1871">
        <w:t xml:space="preserve">van de aanvullende beurs </w:t>
      </w:r>
      <w:r w:rsidR="000458B8">
        <w:t>en/</w:t>
      </w:r>
      <w:r w:rsidRPr="008B1871">
        <w:t xml:space="preserve">of een bredere groep die ervoor in aanmerking komt, kan bijdragen aan de doorstroom van mbo naar hbo. </w:t>
      </w:r>
      <w:r w:rsidR="000458B8">
        <w:t>Nu weerhoudt leenaversie met name jongeren met lager</w:t>
      </w:r>
      <w:r w:rsidR="0072497A">
        <w:t>e</w:t>
      </w:r>
      <w:r w:rsidR="000458B8">
        <w:t xml:space="preserve">- en middelbaaropgeleide ouders. </w:t>
      </w:r>
    </w:p>
    <w:p w:rsidRPr="008B1871" w:rsidR="00E56F90" w:rsidP="00E56F90" w:rsidRDefault="00E56F90">
      <w:pPr>
        <w:pStyle w:val="Lijstalinea"/>
        <w:numPr>
          <w:ilvl w:val="0"/>
          <w:numId w:val="8"/>
        </w:numPr>
      </w:pPr>
      <w:r w:rsidRPr="008B1871">
        <w:t xml:space="preserve">De doorstroom van mbo naar hbo is een route die vooral voor jongeren uit minder bevoorrechte </w:t>
      </w:r>
      <w:r w:rsidRPr="008B1871" w:rsidR="001227FB">
        <w:t xml:space="preserve">milieus </w:t>
      </w:r>
      <w:r w:rsidRPr="008B1871">
        <w:t xml:space="preserve">belangrijk is. De aansluiting tussen beide onderwijstypen kan beter; </w:t>
      </w:r>
      <w:r w:rsidRPr="008B1871">
        <w:t>zowel</w:t>
      </w:r>
      <w:r w:rsidRPr="008B1871">
        <w:t xml:space="preserve"> studie</w:t>
      </w:r>
      <w:r w:rsidRPr="008B1871" w:rsidR="007C69C9">
        <w:t>-</w:t>
      </w:r>
      <w:r w:rsidRPr="008B1871">
        <w:t xml:space="preserve">inhoudelijk alsook </w:t>
      </w:r>
      <w:r w:rsidRPr="008B1871">
        <w:t>qua</w:t>
      </w:r>
      <w:r w:rsidRPr="008B1871">
        <w:t xml:space="preserve"> cultuur</w:t>
      </w:r>
      <w:r w:rsidRPr="008B1871">
        <w:t xml:space="preserve"> en gevraagde vaardigheden</w:t>
      </w:r>
      <w:r w:rsidRPr="008B1871">
        <w:t>.</w:t>
      </w:r>
    </w:p>
    <w:p w:rsidRPr="008B1871" w:rsidR="009C71E9" w:rsidP="001A724C" w:rsidRDefault="009C71E9">
      <w:pPr>
        <w:pStyle w:val="Lijstalinea"/>
        <w:numPr>
          <w:ilvl w:val="0"/>
          <w:numId w:val="8"/>
        </w:numPr>
      </w:pPr>
      <w:r w:rsidRPr="008B1871">
        <w:t xml:space="preserve">Minder selectieve opleidingen draagt bij aan minder ongelijkheid in toegang tot de betreffende opleidingen. </w:t>
      </w:r>
    </w:p>
    <w:p w:rsidR="009C71E9" w:rsidP="001A724C" w:rsidRDefault="009C71E9">
      <w:pPr>
        <w:pStyle w:val="Lijstalinea"/>
        <w:numPr>
          <w:ilvl w:val="0"/>
          <w:numId w:val="8"/>
        </w:numPr>
      </w:pPr>
      <w:r>
        <w:t>Herinvoering van de (gewogen) loting zorgt voor minder afschrikking dan decentrale selectie.</w:t>
      </w:r>
    </w:p>
    <w:p w:rsidRPr="006936DE" w:rsidR="009C71E9" w:rsidP="001A724C" w:rsidRDefault="009C71E9">
      <w:pPr>
        <w:pStyle w:val="Lijstalinea"/>
      </w:pPr>
    </w:p>
    <w:p w:rsidRPr="001046C7" w:rsidR="00534311" w:rsidP="001046C7" w:rsidRDefault="006936DE">
      <w:pPr>
        <w:pStyle w:val="Kop2"/>
        <w:rPr>
          <w:rStyle w:val="Intensieveverwijzing"/>
          <w:sz w:val="24"/>
          <w:szCs w:val="24"/>
        </w:rPr>
      </w:pPr>
      <w:r w:rsidRPr="00A32AA5">
        <w:rPr>
          <w:rStyle w:val="Intensieveverwijzing"/>
          <w:b w:val="0"/>
          <w:bCs w:val="0"/>
          <w:sz w:val="24"/>
          <w:szCs w:val="24"/>
        </w:rPr>
        <w:t xml:space="preserve">Wat betreft </w:t>
      </w:r>
      <w:r w:rsidRPr="00A32AA5" w:rsidR="003B4884">
        <w:rPr>
          <w:rStyle w:val="Intensieveverwijzing"/>
          <w:b w:val="0"/>
          <w:bCs w:val="0"/>
          <w:sz w:val="24"/>
          <w:szCs w:val="24"/>
        </w:rPr>
        <w:t>het tegengaan van se</w:t>
      </w:r>
      <w:r w:rsidRPr="00A32AA5" w:rsidR="002B2157">
        <w:rPr>
          <w:rStyle w:val="Intensieveverwijzing"/>
          <w:b w:val="0"/>
          <w:bCs w:val="0"/>
          <w:sz w:val="24"/>
          <w:szCs w:val="24"/>
        </w:rPr>
        <w:t>gregatie</w:t>
      </w:r>
    </w:p>
    <w:p w:rsidR="002B2157" w:rsidP="0030265D" w:rsidRDefault="003C69F5">
      <w:pPr>
        <w:pStyle w:val="Lijstalinea"/>
        <w:numPr>
          <w:ilvl w:val="0"/>
          <w:numId w:val="17"/>
        </w:numPr>
      </w:pPr>
      <w:r>
        <w:t>Het verminderen van segregatie in het basisonderwijs kan door lokaal normen te stellen over inschrijving en samenstelling van de leerlingenpopulatie per school</w:t>
      </w:r>
      <w:r w:rsidR="004E55C8">
        <w:t>, en loting voor populaire scholen</w:t>
      </w:r>
      <w:r>
        <w:t xml:space="preserve">. In het voortgezet onderwijs is </w:t>
      </w:r>
      <w:r w:rsidR="00537954">
        <w:t>de trend</w:t>
      </w:r>
      <w:r>
        <w:t xml:space="preserve"> naar versmalling (met name in de grote sted</w:t>
      </w:r>
      <w:r w:rsidR="003E4071">
        <w:t>e</w:t>
      </w:r>
      <w:r>
        <w:t xml:space="preserve">n een fenomeen) mogelijk </w:t>
      </w:r>
      <w:r w:rsidR="00C63E79">
        <w:t>te keren d</w:t>
      </w:r>
      <w:r>
        <w:t>oor het onderwijs breder te organiseren: meer</w:t>
      </w:r>
      <w:r w:rsidR="00537954">
        <w:t xml:space="preserve"> </w:t>
      </w:r>
      <w:r>
        <w:t>scholengemeenschappen en brede brugklassen.</w:t>
      </w:r>
      <w:r w:rsidR="003E4071">
        <w:t xml:space="preserve"> Het </w:t>
      </w:r>
      <w:r w:rsidR="00A12042">
        <w:t xml:space="preserve">moet gaan om </w:t>
      </w:r>
      <w:r w:rsidR="003E4071">
        <w:t>goed onderwijs waarbij iedereen les krijgt op het eigen niveau, maar ook samen doe</w:t>
      </w:r>
      <w:r w:rsidR="00A12042">
        <w:t>t</w:t>
      </w:r>
      <w:r w:rsidR="003E4071">
        <w:t xml:space="preserve"> wat samen kan</w:t>
      </w:r>
      <w:r w:rsidR="00041D7D">
        <w:t xml:space="preserve"> (sporten, pauzeren</w:t>
      </w:r>
      <w:r w:rsidR="00F03B81">
        <w:t>, practica, samenwerkingsprojecten</w:t>
      </w:r>
      <w:r w:rsidR="00041D7D">
        <w:t>)</w:t>
      </w:r>
      <w:r w:rsidR="00A12042">
        <w:t>. Dergelijk onderwijs</w:t>
      </w:r>
      <w:r w:rsidR="003E4071">
        <w:t xml:space="preserve"> kan bijdragen aan sociale cohesie.</w:t>
      </w:r>
      <w:r w:rsidR="006C050C">
        <w:t xml:space="preserve"> </w:t>
      </w:r>
      <w:r w:rsidR="002746A0">
        <w:t xml:space="preserve">Een gericht vestigingsbeleid voor schoollocaties kan zorgen voor meer menging/minder segregatie door geen locaties toe te wijzen in eenzijdig samengestelde woonwijken. </w:t>
      </w:r>
      <w:r w:rsidR="006C050C">
        <w:t xml:space="preserve">Op schoolniveau kan het onderwijs zo georganiseerd worden dat leerlingen van de verschillende schoolniveaus </w:t>
      </w:r>
      <w:r w:rsidR="00A12042">
        <w:t xml:space="preserve">elkaar volop kunnen ontmoeten en </w:t>
      </w:r>
      <w:r w:rsidR="006C050C">
        <w:t>niet strikt van elkaar gescheiden gebruik maken van het schoolgebouw</w:t>
      </w:r>
      <w:r w:rsidR="00041D7D">
        <w:t>.</w:t>
      </w:r>
    </w:p>
    <w:p w:rsidR="002B2157" w:rsidP="001A724C" w:rsidRDefault="003E4071">
      <w:pPr>
        <w:pStyle w:val="Lijstalinea"/>
        <w:numPr>
          <w:ilvl w:val="0"/>
          <w:numId w:val="11"/>
        </w:numPr>
        <w:ind w:left="360"/>
      </w:pPr>
      <w:r>
        <w:t>Pilot</w:t>
      </w:r>
      <w:r w:rsidR="00DD0F72">
        <w:t>s</w:t>
      </w:r>
      <w:r>
        <w:t xml:space="preserve"> met praktische vakken op havo en vwo-niveau k</w:t>
      </w:r>
      <w:r w:rsidR="00A4128B">
        <w:t>unnen</w:t>
      </w:r>
      <w:r>
        <w:t xml:space="preserve"> </w:t>
      </w:r>
      <w:r w:rsidR="00D964F4">
        <w:t>de</w:t>
      </w:r>
      <w:r w:rsidR="00041D7D">
        <w:t xml:space="preserve"> </w:t>
      </w:r>
      <w:r>
        <w:t xml:space="preserve">strikte scheiding tussen beroepsonderwijs en algemeen vormend onderwijs </w:t>
      </w:r>
      <w:r w:rsidR="00041D7D">
        <w:t>(die tevens een scheiding inhoudt naar onderwijsniveau</w:t>
      </w:r>
      <w:r w:rsidR="00D964F4">
        <w:t>) tegengaan</w:t>
      </w:r>
      <w:r>
        <w:t>.</w:t>
      </w:r>
      <w:r w:rsidR="006C050C">
        <w:t xml:space="preserve"> </w:t>
      </w:r>
    </w:p>
    <w:p w:rsidR="00551CDA" w:rsidP="001A724C" w:rsidRDefault="00551CDA">
      <w:pPr>
        <w:rPr>
          <w:b/>
          <w:bCs/>
        </w:rPr>
      </w:pPr>
    </w:p>
    <w:p w:rsidRPr="00176CC9" w:rsidR="00176CC9" w:rsidP="001A724C" w:rsidRDefault="00176CC9">
      <w:pPr>
        <w:rPr>
          <w:b/>
          <w:bCs/>
        </w:rPr>
      </w:pPr>
    </w:p>
    <w:p w:rsidRPr="00AE476C" w:rsidR="00D74951" w:rsidP="001A724C" w:rsidRDefault="00707FA0">
      <w:pPr>
        <w:pStyle w:val="Kop1"/>
        <w:spacing w:before="0"/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</w:pPr>
      <w:r w:rsidRPr="00AE476C"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  <w:t>Monique T</w:t>
      </w:r>
      <w:r w:rsidRPr="00AE476C" w:rsidR="00D74951"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  <w:t>urkenburg (</w:t>
      </w:r>
      <w:hyperlink w:history="1" r:id="rId7">
        <w:r w:rsidRPr="00AE476C" w:rsidR="00176CC9">
          <w:rPr>
            <w:rFonts w:ascii="Calibri" w:hAnsi="Calibri" w:cs="Calibri" w:eastAsiaTheme="minorHAnsi"/>
            <w:color w:val="auto"/>
            <w:sz w:val="22"/>
            <w:szCs w:val="22"/>
            <w:lang w:val="en-US"/>
          </w:rPr>
          <w:t>m.turkenburg@scp.nl</w:t>
        </w:r>
      </w:hyperlink>
      <w:r w:rsidRPr="00AE476C" w:rsidR="00D74951"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  <w:t>)</w:t>
      </w:r>
      <w:r w:rsidR="00E95BEF"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  <w:t xml:space="preserve"> </w:t>
      </w:r>
      <w:r w:rsidRPr="00AE476C" w:rsidR="00176CC9"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  <w:t xml:space="preserve"> </w:t>
      </w:r>
      <w:r w:rsidR="00E82612"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  <w:t>4</w:t>
      </w:r>
      <w:r w:rsidRPr="00AE476C" w:rsidR="00176CC9">
        <w:rPr>
          <w:rFonts w:ascii="Calibri" w:hAnsi="Calibri" w:cs="Calibri" w:eastAsiaTheme="minorHAnsi"/>
          <w:i/>
          <w:iCs/>
          <w:color w:val="auto"/>
          <w:sz w:val="22"/>
          <w:szCs w:val="22"/>
          <w:lang w:val="en-US"/>
        </w:rPr>
        <w:t>-11-2021</w:t>
      </w:r>
    </w:p>
    <w:p w:rsidRPr="00AE476C" w:rsidR="00E21983" w:rsidP="001A724C" w:rsidRDefault="00E21983">
      <w:pPr>
        <w:rPr>
          <w:lang w:val="en-US"/>
        </w:rPr>
      </w:pPr>
    </w:p>
    <w:p w:rsidRPr="00AE476C" w:rsidR="002746A0" w:rsidRDefault="002746A0">
      <w:pPr>
        <w:spacing w:after="160" w:line="259" w:lineRule="auto"/>
        <w:rPr>
          <w:rStyle w:val="Intensieveverwijzing"/>
          <w:sz w:val="24"/>
          <w:szCs w:val="24"/>
          <w:lang w:val="en-US"/>
        </w:rPr>
      </w:pPr>
      <w:r w:rsidRPr="00AE476C">
        <w:rPr>
          <w:rStyle w:val="Intensieveverwijzing"/>
          <w:sz w:val="24"/>
          <w:szCs w:val="24"/>
          <w:lang w:val="en-US"/>
        </w:rPr>
        <w:br w:type="page"/>
      </w:r>
    </w:p>
    <w:p w:rsidRPr="00707FA0" w:rsidR="00A2103B" w:rsidP="001A724C" w:rsidRDefault="00A2103B">
      <w:pPr>
        <w:spacing w:after="160"/>
        <w:rPr>
          <w:rStyle w:val="Intensieveverwijzing"/>
          <w:sz w:val="24"/>
          <w:szCs w:val="24"/>
        </w:rPr>
      </w:pPr>
      <w:r w:rsidRPr="00707FA0">
        <w:rPr>
          <w:rStyle w:val="Intensieveverwijzing"/>
          <w:sz w:val="24"/>
          <w:szCs w:val="24"/>
        </w:rPr>
        <w:lastRenderedPageBreak/>
        <w:t>Bronnen</w:t>
      </w:r>
      <w:r w:rsidRPr="00707FA0" w:rsidR="00E267DE">
        <w:rPr>
          <w:rStyle w:val="Intensieveverwijzing"/>
          <w:sz w:val="24"/>
          <w:szCs w:val="24"/>
        </w:rPr>
        <w:t xml:space="preserve"> en relevante links</w:t>
      </w:r>
    </w:p>
    <w:p w:rsidR="0059419F" w:rsidP="001A724C" w:rsidRDefault="0059419F">
      <w:pPr>
        <w:pStyle w:val="Geenafstand"/>
        <w:rPr>
          <w:i/>
          <w:iCs/>
        </w:rPr>
      </w:pPr>
    </w:p>
    <w:p w:rsidR="00DF2EC5" w:rsidP="001A724C" w:rsidRDefault="00C54B5C">
      <w:pPr>
        <w:pStyle w:val="Geenafstand"/>
      </w:pPr>
      <w:r>
        <w:t xml:space="preserve">Herweijer, L., Maslowski R. en J. </w:t>
      </w:r>
      <w:proofErr w:type="spellStart"/>
      <w:r>
        <w:t>Rözer</w:t>
      </w:r>
      <w:proofErr w:type="spellEnd"/>
      <w:r>
        <w:t xml:space="preserve"> (2021).</w:t>
      </w:r>
      <w:r w:rsidR="00516EAB">
        <w:t xml:space="preserve"> </w:t>
      </w:r>
      <w:r w:rsidR="00787BBA">
        <w:t>Ongelijke kansen in het onderwij</w:t>
      </w:r>
      <w:r w:rsidR="00516EAB">
        <w:t>s.</w:t>
      </w:r>
      <w:r w:rsidR="00787BBA">
        <w:t xml:space="preserve"> In: </w:t>
      </w:r>
      <w:r w:rsidRPr="00976776" w:rsidR="00DF2EC5">
        <w:rPr>
          <w:i/>
          <w:iCs/>
        </w:rPr>
        <w:t>Kwesties voor het kiezen</w:t>
      </w:r>
      <w:r w:rsidR="00DF2EC5">
        <w:rPr>
          <w:i/>
          <w:iCs/>
        </w:rPr>
        <w:t>,</w:t>
      </w:r>
      <w:r w:rsidR="00DF2EC5">
        <w:t xml:space="preserve"> Van </w:t>
      </w:r>
      <w:proofErr w:type="spellStart"/>
      <w:r w:rsidR="00DF2EC5">
        <w:t>Noije</w:t>
      </w:r>
      <w:proofErr w:type="spellEnd"/>
      <w:r w:rsidR="00DF2EC5">
        <w:t>, L. Verbeek-</w:t>
      </w:r>
      <w:proofErr w:type="spellStart"/>
      <w:r w:rsidR="00DF2EC5">
        <w:t>Oudijk</w:t>
      </w:r>
      <w:proofErr w:type="spellEnd"/>
      <w:r w:rsidR="00DF2EC5">
        <w:t>, D. en J. de Haan (red.) 2021. Den Haag: Sociaal en Cultureel Planbureau, 2021.</w:t>
      </w:r>
    </w:p>
    <w:p w:rsidR="00E267DE" w:rsidP="001A724C" w:rsidRDefault="000B0C4A">
      <w:hyperlink w:history="1" r:id="rId8">
        <w:r w:rsidR="00E267DE">
          <w:rPr>
            <w:rStyle w:val="Hyperlink"/>
          </w:rPr>
          <w:t>Kwesties voor het kiezen 2021 | Publicatie | Sociaal en Cultureel Planbureau (scp.nl)</w:t>
        </w:r>
      </w:hyperlink>
    </w:p>
    <w:p w:rsidR="00DF2EC5" w:rsidP="001A724C" w:rsidRDefault="00DF2EC5">
      <w:pPr>
        <w:pStyle w:val="Geenafstand"/>
      </w:pPr>
    </w:p>
    <w:p w:rsidRPr="00E17007" w:rsidR="00E17007" w:rsidP="00E17007" w:rsidRDefault="00E17007">
      <w:pPr>
        <w:autoSpaceDE w:val="0"/>
        <w:autoSpaceDN w:val="0"/>
        <w:adjustRightInd w:val="0"/>
      </w:pPr>
      <w:r w:rsidRPr="005037D8">
        <w:rPr>
          <w:rFonts w:asciiTheme="minorHAnsi" w:hAnsiTheme="minorHAnsi" w:cstheme="minorBidi"/>
        </w:rPr>
        <w:t>CPB Achtergronddocument | 6 juni 2018</w:t>
      </w:r>
      <w:r w:rsidRPr="005037D8">
        <w:rPr>
          <w:rFonts w:asciiTheme="minorHAnsi" w:hAnsiTheme="minorHAnsi" w:cstheme="minorBidi"/>
          <w:i/>
          <w:iCs/>
        </w:rPr>
        <w:t xml:space="preserve"> Bewezen (in)effectieve</w:t>
      </w:r>
      <w:r>
        <w:rPr>
          <w:i/>
          <w:iCs/>
        </w:rPr>
        <w:t xml:space="preserve"> </w:t>
      </w:r>
      <w:r w:rsidRPr="005037D8">
        <w:rPr>
          <w:rFonts w:asciiTheme="minorHAnsi" w:hAnsiTheme="minorHAnsi" w:cstheme="minorBidi"/>
          <w:i/>
          <w:iCs/>
        </w:rPr>
        <w:t>maatregelen tegen</w:t>
      </w:r>
      <w:r>
        <w:rPr>
          <w:i/>
          <w:iCs/>
        </w:rPr>
        <w:t xml:space="preserve"> </w:t>
      </w:r>
      <w:r w:rsidRPr="005037D8">
        <w:rPr>
          <w:rFonts w:asciiTheme="minorHAnsi" w:hAnsiTheme="minorHAnsi" w:cstheme="minorBidi"/>
          <w:i/>
          <w:iCs/>
        </w:rPr>
        <w:t>leerachterstanden in</w:t>
      </w:r>
      <w:r>
        <w:rPr>
          <w:i/>
          <w:iCs/>
        </w:rPr>
        <w:t xml:space="preserve"> </w:t>
      </w:r>
      <w:r w:rsidRPr="005037D8">
        <w:rPr>
          <w:rFonts w:asciiTheme="minorHAnsi" w:hAnsiTheme="minorHAnsi" w:cstheme="minorBidi"/>
          <w:i/>
          <w:iCs/>
        </w:rPr>
        <w:t xml:space="preserve">het primair onderwijs, </w:t>
      </w:r>
      <w:proofErr w:type="spellStart"/>
      <w:r w:rsidRPr="005037D8">
        <w:rPr>
          <w:rFonts w:asciiTheme="minorHAnsi" w:hAnsiTheme="minorHAnsi" w:cstheme="minorBidi"/>
        </w:rPr>
        <w:t>Bolhaar</w:t>
      </w:r>
      <w:proofErr w:type="spellEnd"/>
      <w:r w:rsidRPr="005037D8">
        <w:rPr>
          <w:rFonts w:asciiTheme="minorHAnsi" w:hAnsiTheme="minorHAnsi" w:cstheme="minorBidi"/>
        </w:rPr>
        <w:t xml:space="preserve">, </w:t>
      </w:r>
      <w:r>
        <w:rPr>
          <w:rFonts w:asciiTheme="minorHAnsi" w:hAnsiTheme="minorHAnsi" w:cstheme="minorBidi"/>
        </w:rPr>
        <w:t xml:space="preserve">J., </w:t>
      </w:r>
      <w:proofErr w:type="spellStart"/>
      <w:r w:rsidRPr="005037D8">
        <w:rPr>
          <w:rFonts w:asciiTheme="minorHAnsi" w:hAnsiTheme="minorHAnsi" w:cstheme="minorBidi"/>
        </w:rPr>
        <w:t>Houkes</w:t>
      </w:r>
      <w:proofErr w:type="spellEnd"/>
      <w:r w:rsidRPr="005037D8">
        <w:rPr>
          <w:rFonts w:asciiTheme="minorHAnsi" w:hAnsiTheme="minorHAnsi" w:cstheme="minorBidi"/>
        </w:rPr>
        <w:t>-Hommes</w:t>
      </w:r>
      <w:r>
        <w:rPr>
          <w:rFonts w:asciiTheme="minorHAnsi" w:hAnsiTheme="minorHAnsi" w:cstheme="minorBidi"/>
        </w:rPr>
        <w:t xml:space="preserve"> A. en K. V</w:t>
      </w:r>
      <w:r w:rsidRPr="005037D8">
        <w:rPr>
          <w:rFonts w:asciiTheme="minorHAnsi" w:hAnsiTheme="minorHAnsi" w:cstheme="minorBidi"/>
        </w:rPr>
        <w:t>an der Ven</w:t>
      </w:r>
      <w:r>
        <w:t xml:space="preserve">. </w:t>
      </w:r>
      <w:r w:rsidRPr="00E17007">
        <w:t>Den Haag: Centraal Planbureau, 2018.</w:t>
      </w:r>
    </w:p>
    <w:p w:rsidR="00E17007" w:rsidP="001A724C" w:rsidRDefault="00E17007"/>
    <w:p w:rsidRPr="00FD5ABE" w:rsidR="00FD5ABE" w:rsidP="001A724C" w:rsidRDefault="00FD5ABE">
      <w:r w:rsidRPr="00FD5ABE">
        <w:t xml:space="preserve">Vogels, R., M. Turkenburg en L. Herweijer (2021). </w:t>
      </w:r>
      <w:r w:rsidRPr="00FD5ABE">
        <w:rPr>
          <w:i/>
        </w:rPr>
        <w:t xml:space="preserve">Samen of gescheiden naar school. De betekenis van sociale scheiding en ontmoeting in het voortgezet onderwijs. </w:t>
      </w:r>
      <w:r w:rsidRPr="00FD5ABE">
        <w:t xml:space="preserve">Den Haag: Sociaal en Cultureel Planbureau. </w:t>
      </w:r>
    </w:p>
    <w:p w:rsidR="00E267DE" w:rsidP="001A724C" w:rsidRDefault="000B0C4A">
      <w:hyperlink w:history="1" r:id="rId9">
        <w:r w:rsidR="00E267DE">
          <w:rPr>
            <w:rStyle w:val="Hyperlink"/>
          </w:rPr>
          <w:t>Samen of gescheiden naar school | Publicatie | Sociaal en Cultureel Planbureau (scp.nl)</w:t>
        </w:r>
      </w:hyperlink>
    </w:p>
    <w:p w:rsidRPr="00DF2EC5" w:rsidR="005037D8" w:rsidP="001A724C" w:rsidRDefault="005037D8">
      <w:pPr>
        <w:pStyle w:val="Geenafstand"/>
        <w:rPr>
          <w:i/>
          <w:iCs/>
        </w:rPr>
      </w:pPr>
    </w:p>
    <w:p w:rsidRPr="00716FC0" w:rsidR="004A3540" w:rsidP="001A724C" w:rsidRDefault="004A3540">
      <w:pPr>
        <w:rPr>
          <w:rFonts w:asciiTheme="minorHAnsi" w:hAnsiTheme="minorHAnsi" w:cstheme="minorBidi"/>
          <w:lang w:val="en-US"/>
        </w:rPr>
      </w:pPr>
      <w:proofErr w:type="spellStart"/>
      <w:r w:rsidRPr="004A3540">
        <w:rPr>
          <w:rFonts w:asciiTheme="minorHAnsi" w:hAnsiTheme="minorHAnsi" w:cstheme="minorBidi"/>
          <w:lang w:val="en-US"/>
        </w:rPr>
        <w:t>Hanusek</w:t>
      </w:r>
      <w:proofErr w:type="spellEnd"/>
      <w:r w:rsidRPr="004A3540">
        <w:rPr>
          <w:rFonts w:asciiTheme="minorHAnsi" w:hAnsiTheme="minorHAnsi" w:cstheme="minorBidi"/>
          <w:lang w:val="en-US"/>
        </w:rPr>
        <w:t xml:space="preserve">, Eric, A. </w:t>
      </w:r>
      <w:r w:rsidRPr="004A3540">
        <w:rPr>
          <w:rFonts w:asciiTheme="minorHAnsi" w:hAnsiTheme="minorHAnsi" w:cstheme="minorBidi"/>
          <w:i/>
          <w:iCs/>
          <w:lang w:val="en-US"/>
        </w:rPr>
        <w:t>Throwing Money at Schools</w:t>
      </w:r>
      <w:r>
        <w:rPr>
          <w:rFonts w:asciiTheme="minorHAnsi" w:hAnsiTheme="minorHAnsi" w:cstheme="minorBidi"/>
          <w:i/>
          <w:iCs/>
          <w:lang w:val="en-US"/>
        </w:rPr>
        <w:t>.</w:t>
      </w:r>
      <w:r>
        <w:rPr>
          <w:rFonts w:asciiTheme="minorHAnsi" w:hAnsiTheme="minorHAnsi" w:cstheme="minorBidi"/>
          <w:lang w:val="en-US"/>
        </w:rPr>
        <w:t xml:space="preserve"> </w:t>
      </w:r>
      <w:r w:rsidRPr="004A3540">
        <w:rPr>
          <w:rFonts w:asciiTheme="minorHAnsi" w:hAnsiTheme="minorHAnsi" w:cstheme="minorBidi"/>
          <w:lang w:val="en-US"/>
        </w:rPr>
        <w:t>Journal of Policy Analysis and Management</w:t>
      </w:r>
      <w:r>
        <w:rPr>
          <w:rFonts w:asciiTheme="minorHAnsi" w:hAnsiTheme="minorHAnsi" w:cstheme="minorBidi"/>
          <w:lang w:val="en-US"/>
        </w:rPr>
        <w:t xml:space="preserve"> </w:t>
      </w:r>
      <w:hyperlink w:history="1" r:id="rId10">
        <w:r w:rsidRPr="004A3540">
          <w:rPr>
            <w:rFonts w:asciiTheme="minorHAnsi" w:hAnsiTheme="minorHAnsi" w:cstheme="minorBidi"/>
            <w:lang w:val="en-US"/>
          </w:rPr>
          <w:t>Vol. 1, No. 1 (Autumn, 1981)</w:t>
        </w:r>
      </w:hyperlink>
      <w:r w:rsidRPr="004A3540">
        <w:rPr>
          <w:rFonts w:asciiTheme="minorHAnsi" w:hAnsiTheme="minorHAnsi" w:cstheme="minorBidi"/>
          <w:lang w:val="en-US"/>
        </w:rPr>
        <w:t>, pp. 19-41 (23 pages)</w:t>
      </w:r>
      <w:r>
        <w:rPr>
          <w:rFonts w:asciiTheme="minorHAnsi" w:hAnsiTheme="minorHAnsi" w:cstheme="minorBidi"/>
          <w:lang w:val="en-US"/>
        </w:rPr>
        <w:t xml:space="preserve">. </w:t>
      </w:r>
      <w:r w:rsidRPr="00716FC0">
        <w:rPr>
          <w:rFonts w:asciiTheme="minorHAnsi" w:hAnsiTheme="minorHAnsi" w:cstheme="minorBidi"/>
          <w:lang w:val="en-US"/>
        </w:rPr>
        <w:t>Published By: Wiley</w:t>
      </w:r>
    </w:p>
    <w:p w:rsidRPr="00716FC0" w:rsidR="004A3540" w:rsidP="001A724C" w:rsidRDefault="000B0C4A">
      <w:pPr>
        <w:rPr>
          <w:rStyle w:val="Hyperlink"/>
          <w:lang w:val="en-US"/>
        </w:rPr>
      </w:pPr>
      <w:hyperlink w:tgtFrame="_blank" w:tooltip="This link opens in a new window" w:history="1" r:id="rId11">
        <w:r w:rsidRPr="00716FC0" w:rsidR="004A3540">
          <w:rPr>
            <w:rStyle w:val="Hyperlink"/>
            <w:lang w:val="en-US"/>
          </w:rPr>
          <w:t>https://doi.org/10.2307/3324107</w:t>
        </w:r>
      </w:hyperlink>
    </w:p>
    <w:p w:rsidRPr="00716FC0" w:rsidR="004A3540" w:rsidP="001A724C" w:rsidRDefault="004A3540">
      <w:pPr>
        <w:rPr>
          <w:rStyle w:val="Hyperlink"/>
          <w:lang w:val="en-US"/>
        </w:rPr>
      </w:pPr>
      <w:r w:rsidRPr="00716FC0">
        <w:rPr>
          <w:rStyle w:val="Hyperlink"/>
          <w:lang w:val="en-US"/>
        </w:rPr>
        <w:t>https://www.jstor.org/stable/3324107</w:t>
      </w:r>
    </w:p>
    <w:p w:rsidRPr="00716FC0" w:rsidR="004A3540" w:rsidP="001A724C" w:rsidRDefault="004A3540">
      <w:pPr>
        <w:rPr>
          <w:rFonts w:asciiTheme="minorHAnsi" w:hAnsiTheme="minorHAnsi" w:cstheme="minorBidi"/>
          <w:lang w:val="en-US"/>
        </w:rPr>
      </w:pPr>
    </w:p>
    <w:p w:rsidRPr="0059419F" w:rsidR="00E17007" w:rsidP="00E17007" w:rsidRDefault="00E17007">
      <w:pPr>
        <w:pStyle w:val="Geenafstand"/>
      </w:pPr>
      <w:r>
        <w:rPr>
          <w:i/>
          <w:iCs/>
        </w:rPr>
        <w:t>Onderwijsachterstandenbeleid, een duwtje in de rug?</w:t>
      </w:r>
      <w:r>
        <w:t xml:space="preserve"> Interdepartementaal beleidsonderzoek naar onderwijsachterstandenbeleid. Den Haag, april 2017.</w:t>
      </w:r>
    </w:p>
    <w:bookmarkEnd w:id="0"/>
    <w:p w:rsidRPr="00E17007" w:rsidR="00E267DE" w:rsidP="001A724C" w:rsidRDefault="00E267DE"/>
    <w:sectPr w:rsidRPr="00E17007" w:rsidR="00E267D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1E7" w:rsidRDefault="000971E7" w:rsidP="00A2103B">
      <w:r>
        <w:separator/>
      </w:r>
    </w:p>
  </w:endnote>
  <w:endnote w:type="continuationSeparator" w:id="0">
    <w:p w:rsidR="000971E7" w:rsidRDefault="000971E7" w:rsidP="00A2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346324"/>
      <w:docPartObj>
        <w:docPartGallery w:val="Page Numbers (Bottom of Page)"/>
        <w:docPartUnique/>
      </w:docPartObj>
    </w:sdtPr>
    <w:sdtEndPr/>
    <w:sdtContent>
      <w:p w:rsidR="000971E7" w:rsidRDefault="000971E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71E7" w:rsidRDefault="00097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1E7" w:rsidRDefault="000971E7" w:rsidP="00A2103B">
      <w:r>
        <w:separator/>
      </w:r>
    </w:p>
  </w:footnote>
  <w:footnote w:type="continuationSeparator" w:id="0">
    <w:p w:rsidR="000971E7" w:rsidRDefault="000971E7" w:rsidP="00A2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46E7"/>
    <w:multiLevelType w:val="hybridMultilevel"/>
    <w:tmpl w:val="8760E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5B43"/>
    <w:multiLevelType w:val="hybridMultilevel"/>
    <w:tmpl w:val="A6406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D6E"/>
    <w:multiLevelType w:val="hybridMultilevel"/>
    <w:tmpl w:val="B85E8B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606"/>
    <w:multiLevelType w:val="hybridMultilevel"/>
    <w:tmpl w:val="96DE2B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E3C84"/>
    <w:multiLevelType w:val="hybridMultilevel"/>
    <w:tmpl w:val="B6741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15E60"/>
    <w:multiLevelType w:val="hybridMultilevel"/>
    <w:tmpl w:val="8E8E5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40C8"/>
    <w:multiLevelType w:val="hybridMultilevel"/>
    <w:tmpl w:val="2CCA96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356"/>
    <w:multiLevelType w:val="hybridMultilevel"/>
    <w:tmpl w:val="15DAB59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0264C"/>
    <w:multiLevelType w:val="hybridMultilevel"/>
    <w:tmpl w:val="BCD03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10BD9"/>
    <w:multiLevelType w:val="hybridMultilevel"/>
    <w:tmpl w:val="65B2B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D4C08"/>
    <w:multiLevelType w:val="hybridMultilevel"/>
    <w:tmpl w:val="05061C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C7CDB"/>
    <w:multiLevelType w:val="hybridMultilevel"/>
    <w:tmpl w:val="737A9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D4BD4"/>
    <w:multiLevelType w:val="hybridMultilevel"/>
    <w:tmpl w:val="B21424E8"/>
    <w:lvl w:ilvl="0" w:tplc="D54203D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52E82"/>
    <w:multiLevelType w:val="hybridMultilevel"/>
    <w:tmpl w:val="C02CED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1B1659"/>
    <w:multiLevelType w:val="hybridMultilevel"/>
    <w:tmpl w:val="156424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057A47"/>
    <w:multiLevelType w:val="hybridMultilevel"/>
    <w:tmpl w:val="BAEED0C0"/>
    <w:lvl w:ilvl="0" w:tplc="1618DA0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4F"/>
    <w:rsid w:val="00001AB4"/>
    <w:rsid w:val="00004545"/>
    <w:rsid w:val="00013C8C"/>
    <w:rsid w:val="00023C74"/>
    <w:rsid w:val="00030830"/>
    <w:rsid w:val="00033433"/>
    <w:rsid w:val="00041D7D"/>
    <w:rsid w:val="00042B6D"/>
    <w:rsid w:val="000458B8"/>
    <w:rsid w:val="00053204"/>
    <w:rsid w:val="0005402C"/>
    <w:rsid w:val="00057863"/>
    <w:rsid w:val="00071B13"/>
    <w:rsid w:val="00071BFF"/>
    <w:rsid w:val="00074402"/>
    <w:rsid w:val="00083248"/>
    <w:rsid w:val="00095823"/>
    <w:rsid w:val="000971E7"/>
    <w:rsid w:val="000A42C1"/>
    <w:rsid w:val="000D38CC"/>
    <w:rsid w:val="000D46E3"/>
    <w:rsid w:val="000E1282"/>
    <w:rsid w:val="000E1601"/>
    <w:rsid w:val="000E2E93"/>
    <w:rsid w:val="000E35DE"/>
    <w:rsid w:val="000F63ED"/>
    <w:rsid w:val="00102DA4"/>
    <w:rsid w:val="001046C7"/>
    <w:rsid w:val="00106575"/>
    <w:rsid w:val="00113592"/>
    <w:rsid w:val="00113DB4"/>
    <w:rsid w:val="00114E90"/>
    <w:rsid w:val="00116EB6"/>
    <w:rsid w:val="00120FBE"/>
    <w:rsid w:val="001227FB"/>
    <w:rsid w:val="0012290C"/>
    <w:rsid w:val="0012450A"/>
    <w:rsid w:val="001312DA"/>
    <w:rsid w:val="00142EE7"/>
    <w:rsid w:val="00147F26"/>
    <w:rsid w:val="00155DF8"/>
    <w:rsid w:val="001601E0"/>
    <w:rsid w:val="00164F3C"/>
    <w:rsid w:val="00176CC9"/>
    <w:rsid w:val="0018403E"/>
    <w:rsid w:val="00195C49"/>
    <w:rsid w:val="0019764B"/>
    <w:rsid w:val="001A724C"/>
    <w:rsid w:val="001A7E31"/>
    <w:rsid w:val="001B03F8"/>
    <w:rsid w:val="001B0EF7"/>
    <w:rsid w:val="001B1923"/>
    <w:rsid w:val="001C3FFE"/>
    <w:rsid w:val="001C60AE"/>
    <w:rsid w:val="001D0487"/>
    <w:rsid w:val="001D1863"/>
    <w:rsid w:val="001E3300"/>
    <w:rsid w:val="001E3BF1"/>
    <w:rsid w:val="001E3E72"/>
    <w:rsid w:val="0020213E"/>
    <w:rsid w:val="00210D95"/>
    <w:rsid w:val="002139A9"/>
    <w:rsid w:val="002345C5"/>
    <w:rsid w:val="002415A8"/>
    <w:rsid w:val="00242051"/>
    <w:rsid w:val="00245B26"/>
    <w:rsid w:val="00254B8A"/>
    <w:rsid w:val="0025636E"/>
    <w:rsid w:val="00257EEC"/>
    <w:rsid w:val="00266362"/>
    <w:rsid w:val="00266455"/>
    <w:rsid w:val="002746A0"/>
    <w:rsid w:val="0027745C"/>
    <w:rsid w:val="0028035C"/>
    <w:rsid w:val="002829FF"/>
    <w:rsid w:val="00282F9C"/>
    <w:rsid w:val="00291F65"/>
    <w:rsid w:val="002A60A0"/>
    <w:rsid w:val="002B2157"/>
    <w:rsid w:val="002B6A0F"/>
    <w:rsid w:val="002B6F77"/>
    <w:rsid w:val="002C3D19"/>
    <w:rsid w:val="002C7D2A"/>
    <w:rsid w:val="002D277C"/>
    <w:rsid w:val="002D3722"/>
    <w:rsid w:val="002D6B41"/>
    <w:rsid w:val="002E0215"/>
    <w:rsid w:val="002E0353"/>
    <w:rsid w:val="002E29EB"/>
    <w:rsid w:val="002F4B14"/>
    <w:rsid w:val="00300744"/>
    <w:rsid w:val="0030265D"/>
    <w:rsid w:val="00314D4D"/>
    <w:rsid w:val="00325EDA"/>
    <w:rsid w:val="00327DA7"/>
    <w:rsid w:val="00330DF8"/>
    <w:rsid w:val="00336120"/>
    <w:rsid w:val="003373DB"/>
    <w:rsid w:val="003446FF"/>
    <w:rsid w:val="003501F4"/>
    <w:rsid w:val="00350816"/>
    <w:rsid w:val="00364501"/>
    <w:rsid w:val="00364BEC"/>
    <w:rsid w:val="00367D46"/>
    <w:rsid w:val="003705D0"/>
    <w:rsid w:val="00376AB2"/>
    <w:rsid w:val="0038733B"/>
    <w:rsid w:val="00393815"/>
    <w:rsid w:val="003A37F4"/>
    <w:rsid w:val="003B0D10"/>
    <w:rsid w:val="003B17CB"/>
    <w:rsid w:val="003B357B"/>
    <w:rsid w:val="003B4884"/>
    <w:rsid w:val="003B6B88"/>
    <w:rsid w:val="003C0394"/>
    <w:rsid w:val="003C69F5"/>
    <w:rsid w:val="003D282D"/>
    <w:rsid w:val="003D4D1B"/>
    <w:rsid w:val="003E4071"/>
    <w:rsid w:val="00400B46"/>
    <w:rsid w:val="004116EC"/>
    <w:rsid w:val="00426D7E"/>
    <w:rsid w:val="00446249"/>
    <w:rsid w:val="00476968"/>
    <w:rsid w:val="004A3540"/>
    <w:rsid w:val="004B47F3"/>
    <w:rsid w:val="004D176F"/>
    <w:rsid w:val="004E493A"/>
    <w:rsid w:val="004E55C8"/>
    <w:rsid w:val="004F20C3"/>
    <w:rsid w:val="004F4B5E"/>
    <w:rsid w:val="005037D8"/>
    <w:rsid w:val="00511803"/>
    <w:rsid w:val="00511F01"/>
    <w:rsid w:val="005130B7"/>
    <w:rsid w:val="00516EAB"/>
    <w:rsid w:val="005217B0"/>
    <w:rsid w:val="005234F7"/>
    <w:rsid w:val="0052611F"/>
    <w:rsid w:val="00526BC6"/>
    <w:rsid w:val="00534311"/>
    <w:rsid w:val="00537954"/>
    <w:rsid w:val="00542EE2"/>
    <w:rsid w:val="00543357"/>
    <w:rsid w:val="00551CDA"/>
    <w:rsid w:val="00567AD2"/>
    <w:rsid w:val="005720A7"/>
    <w:rsid w:val="0058162F"/>
    <w:rsid w:val="00590D65"/>
    <w:rsid w:val="00592BA9"/>
    <w:rsid w:val="0059419F"/>
    <w:rsid w:val="005A39E7"/>
    <w:rsid w:val="005B29FE"/>
    <w:rsid w:val="005B72D0"/>
    <w:rsid w:val="005D5796"/>
    <w:rsid w:val="005E4ED9"/>
    <w:rsid w:val="005E5BFB"/>
    <w:rsid w:val="00605B69"/>
    <w:rsid w:val="006173D1"/>
    <w:rsid w:val="006208FD"/>
    <w:rsid w:val="0063405D"/>
    <w:rsid w:val="00634D25"/>
    <w:rsid w:val="0064578D"/>
    <w:rsid w:val="00650835"/>
    <w:rsid w:val="00654BC6"/>
    <w:rsid w:val="0065644C"/>
    <w:rsid w:val="0066108D"/>
    <w:rsid w:val="006615C2"/>
    <w:rsid w:val="00674503"/>
    <w:rsid w:val="006844EC"/>
    <w:rsid w:val="006936DE"/>
    <w:rsid w:val="006C050C"/>
    <w:rsid w:val="006C4102"/>
    <w:rsid w:val="006D6DE0"/>
    <w:rsid w:val="006D7110"/>
    <w:rsid w:val="006E23DC"/>
    <w:rsid w:val="006E37CF"/>
    <w:rsid w:val="006E7874"/>
    <w:rsid w:val="006F1115"/>
    <w:rsid w:val="00704C14"/>
    <w:rsid w:val="00707FA0"/>
    <w:rsid w:val="007113EF"/>
    <w:rsid w:val="00716FC0"/>
    <w:rsid w:val="007227DF"/>
    <w:rsid w:val="0072497A"/>
    <w:rsid w:val="00727E09"/>
    <w:rsid w:val="00745174"/>
    <w:rsid w:val="00755546"/>
    <w:rsid w:val="00762105"/>
    <w:rsid w:val="00763D5C"/>
    <w:rsid w:val="00773779"/>
    <w:rsid w:val="00787BBA"/>
    <w:rsid w:val="00795D55"/>
    <w:rsid w:val="007A378E"/>
    <w:rsid w:val="007B3C75"/>
    <w:rsid w:val="007B6C89"/>
    <w:rsid w:val="007C0164"/>
    <w:rsid w:val="007C3D54"/>
    <w:rsid w:val="007C69C9"/>
    <w:rsid w:val="007D184A"/>
    <w:rsid w:val="007D3FCE"/>
    <w:rsid w:val="007E5F22"/>
    <w:rsid w:val="007F6EB5"/>
    <w:rsid w:val="00811E1C"/>
    <w:rsid w:val="00813FF9"/>
    <w:rsid w:val="008255B1"/>
    <w:rsid w:val="0083484E"/>
    <w:rsid w:val="00843186"/>
    <w:rsid w:val="00855F44"/>
    <w:rsid w:val="00867E97"/>
    <w:rsid w:val="0087451C"/>
    <w:rsid w:val="00874CB3"/>
    <w:rsid w:val="008775C0"/>
    <w:rsid w:val="00883279"/>
    <w:rsid w:val="00883463"/>
    <w:rsid w:val="0088389D"/>
    <w:rsid w:val="0089160F"/>
    <w:rsid w:val="008B1871"/>
    <w:rsid w:val="008B45B9"/>
    <w:rsid w:val="008B759D"/>
    <w:rsid w:val="008C0C4C"/>
    <w:rsid w:val="008C5832"/>
    <w:rsid w:val="008C7C9E"/>
    <w:rsid w:val="008D1B89"/>
    <w:rsid w:val="008D4070"/>
    <w:rsid w:val="008E7412"/>
    <w:rsid w:val="008F0B73"/>
    <w:rsid w:val="008F2E22"/>
    <w:rsid w:val="008F4977"/>
    <w:rsid w:val="00910E87"/>
    <w:rsid w:val="009137B1"/>
    <w:rsid w:val="00921CFF"/>
    <w:rsid w:val="00924977"/>
    <w:rsid w:val="00926859"/>
    <w:rsid w:val="00930BC1"/>
    <w:rsid w:val="00932CCE"/>
    <w:rsid w:val="009442F0"/>
    <w:rsid w:val="00945421"/>
    <w:rsid w:val="00947138"/>
    <w:rsid w:val="009606A6"/>
    <w:rsid w:val="00960E3E"/>
    <w:rsid w:val="0097039B"/>
    <w:rsid w:val="00974ABE"/>
    <w:rsid w:val="00976776"/>
    <w:rsid w:val="0097785E"/>
    <w:rsid w:val="00980F77"/>
    <w:rsid w:val="00991FB0"/>
    <w:rsid w:val="00994BCB"/>
    <w:rsid w:val="009B177B"/>
    <w:rsid w:val="009B2035"/>
    <w:rsid w:val="009B7D26"/>
    <w:rsid w:val="009C1697"/>
    <w:rsid w:val="009C1B73"/>
    <w:rsid w:val="009C516A"/>
    <w:rsid w:val="009C5A90"/>
    <w:rsid w:val="009C6600"/>
    <w:rsid w:val="009C6FD7"/>
    <w:rsid w:val="009C71E9"/>
    <w:rsid w:val="009E48BA"/>
    <w:rsid w:val="009E732C"/>
    <w:rsid w:val="009F47AB"/>
    <w:rsid w:val="00A029F9"/>
    <w:rsid w:val="00A02C45"/>
    <w:rsid w:val="00A033FF"/>
    <w:rsid w:val="00A0544F"/>
    <w:rsid w:val="00A11A0B"/>
    <w:rsid w:val="00A12042"/>
    <w:rsid w:val="00A2103B"/>
    <w:rsid w:val="00A32AA5"/>
    <w:rsid w:val="00A4128B"/>
    <w:rsid w:val="00A42CEE"/>
    <w:rsid w:val="00A62715"/>
    <w:rsid w:val="00A8299B"/>
    <w:rsid w:val="00A93080"/>
    <w:rsid w:val="00A97D03"/>
    <w:rsid w:val="00AA5747"/>
    <w:rsid w:val="00AB0EB2"/>
    <w:rsid w:val="00AB4004"/>
    <w:rsid w:val="00AC430A"/>
    <w:rsid w:val="00AD6E8F"/>
    <w:rsid w:val="00AD7A30"/>
    <w:rsid w:val="00AE476C"/>
    <w:rsid w:val="00B04D31"/>
    <w:rsid w:val="00B11006"/>
    <w:rsid w:val="00B114D1"/>
    <w:rsid w:val="00B11684"/>
    <w:rsid w:val="00B47117"/>
    <w:rsid w:val="00B55574"/>
    <w:rsid w:val="00B632AD"/>
    <w:rsid w:val="00B7699D"/>
    <w:rsid w:val="00B92991"/>
    <w:rsid w:val="00B97DE7"/>
    <w:rsid w:val="00BA3675"/>
    <w:rsid w:val="00BD03F7"/>
    <w:rsid w:val="00BD0B01"/>
    <w:rsid w:val="00BD3972"/>
    <w:rsid w:val="00BE3B32"/>
    <w:rsid w:val="00BE5BB7"/>
    <w:rsid w:val="00BF7E9E"/>
    <w:rsid w:val="00C00123"/>
    <w:rsid w:val="00C00399"/>
    <w:rsid w:val="00C01BE5"/>
    <w:rsid w:val="00C02B8E"/>
    <w:rsid w:val="00C043F6"/>
    <w:rsid w:val="00C1693B"/>
    <w:rsid w:val="00C4207A"/>
    <w:rsid w:val="00C46001"/>
    <w:rsid w:val="00C47E89"/>
    <w:rsid w:val="00C50814"/>
    <w:rsid w:val="00C51ADA"/>
    <w:rsid w:val="00C53278"/>
    <w:rsid w:val="00C53B2F"/>
    <w:rsid w:val="00C54B5C"/>
    <w:rsid w:val="00C60669"/>
    <w:rsid w:val="00C618F7"/>
    <w:rsid w:val="00C63E79"/>
    <w:rsid w:val="00C63F60"/>
    <w:rsid w:val="00C648A8"/>
    <w:rsid w:val="00C6503A"/>
    <w:rsid w:val="00C71EAE"/>
    <w:rsid w:val="00C763B2"/>
    <w:rsid w:val="00C876A2"/>
    <w:rsid w:val="00C95DDB"/>
    <w:rsid w:val="00C96794"/>
    <w:rsid w:val="00CB1B9E"/>
    <w:rsid w:val="00CB5D91"/>
    <w:rsid w:val="00CC0D54"/>
    <w:rsid w:val="00CC1813"/>
    <w:rsid w:val="00CC4AB2"/>
    <w:rsid w:val="00CE700A"/>
    <w:rsid w:val="00CF268A"/>
    <w:rsid w:val="00D01161"/>
    <w:rsid w:val="00D0149F"/>
    <w:rsid w:val="00D12B1E"/>
    <w:rsid w:val="00D2707A"/>
    <w:rsid w:val="00D37307"/>
    <w:rsid w:val="00D43244"/>
    <w:rsid w:val="00D44733"/>
    <w:rsid w:val="00D44C98"/>
    <w:rsid w:val="00D45083"/>
    <w:rsid w:val="00D51844"/>
    <w:rsid w:val="00D56A4E"/>
    <w:rsid w:val="00D65BAC"/>
    <w:rsid w:val="00D74951"/>
    <w:rsid w:val="00D85DAE"/>
    <w:rsid w:val="00D92582"/>
    <w:rsid w:val="00D92FBE"/>
    <w:rsid w:val="00D964F4"/>
    <w:rsid w:val="00DA0A9A"/>
    <w:rsid w:val="00DB0083"/>
    <w:rsid w:val="00DB466B"/>
    <w:rsid w:val="00DC0303"/>
    <w:rsid w:val="00DC1940"/>
    <w:rsid w:val="00DD0F72"/>
    <w:rsid w:val="00DD6ADC"/>
    <w:rsid w:val="00DE59C4"/>
    <w:rsid w:val="00DE6F85"/>
    <w:rsid w:val="00DF19EA"/>
    <w:rsid w:val="00DF2EC5"/>
    <w:rsid w:val="00DF58E6"/>
    <w:rsid w:val="00DF65B6"/>
    <w:rsid w:val="00E04995"/>
    <w:rsid w:val="00E06395"/>
    <w:rsid w:val="00E07E84"/>
    <w:rsid w:val="00E11413"/>
    <w:rsid w:val="00E13C51"/>
    <w:rsid w:val="00E17007"/>
    <w:rsid w:val="00E21983"/>
    <w:rsid w:val="00E267DE"/>
    <w:rsid w:val="00E37F1B"/>
    <w:rsid w:val="00E40AF4"/>
    <w:rsid w:val="00E50F04"/>
    <w:rsid w:val="00E54087"/>
    <w:rsid w:val="00E56F90"/>
    <w:rsid w:val="00E71628"/>
    <w:rsid w:val="00E77218"/>
    <w:rsid w:val="00E80E93"/>
    <w:rsid w:val="00E82612"/>
    <w:rsid w:val="00E83EB5"/>
    <w:rsid w:val="00E917A9"/>
    <w:rsid w:val="00E95BEF"/>
    <w:rsid w:val="00E965F1"/>
    <w:rsid w:val="00EA108E"/>
    <w:rsid w:val="00EA541A"/>
    <w:rsid w:val="00EB0597"/>
    <w:rsid w:val="00EB589E"/>
    <w:rsid w:val="00EB655C"/>
    <w:rsid w:val="00EC2610"/>
    <w:rsid w:val="00EC2B69"/>
    <w:rsid w:val="00EC59EE"/>
    <w:rsid w:val="00EC6117"/>
    <w:rsid w:val="00ED4AC5"/>
    <w:rsid w:val="00ED57DE"/>
    <w:rsid w:val="00EE0CD5"/>
    <w:rsid w:val="00EE4FDB"/>
    <w:rsid w:val="00EE647A"/>
    <w:rsid w:val="00F033CF"/>
    <w:rsid w:val="00F03B81"/>
    <w:rsid w:val="00F33D74"/>
    <w:rsid w:val="00F42168"/>
    <w:rsid w:val="00F60FCB"/>
    <w:rsid w:val="00F74E02"/>
    <w:rsid w:val="00F806A8"/>
    <w:rsid w:val="00F81B33"/>
    <w:rsid w:val="00F86AF9"/>
    <w:rsid w:val="00F87940"/>
    <w:rsid w:val="00F90936"/>
    <w:rsid w:val="00F92A8E"/>
    <w:rsid w:val="00F95DE6"/>
    <w:rsid w:val="00FC62E1"/>
    <w:rsid w:val="00FC7E94"/>
    <w:rsid w:val="00FD178D"/>
    <w:rsid w:val="00FD3DFC"/>
    <w:rsid w:val="00FD4CCC"/>
    <w:rsid w:val="00FD5ABE"/>
    <w:rsid w:val="00FE187D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1B70"/>
  <w15:chartTrackingRefBased/>
  <w15:docId w15:val="{D0639E3C-19D4-4500-9226-33AEDA43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44F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891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5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0E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60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60F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1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55D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615C2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976776"/>
    <w:pPr>
      <w:spacing w:after="0" w:line="240" w:lineRule="auto"/>
    </w:pPr>
  </w:style>
  <w:style w:type="table" w:styleId="Lijsttabel2">
    <w:name w:val="List Table 2"/>
    <w:basedOn w:val="Standaardtabel"/>
    <w:uiPriority w:val="47"/>
    <w:rsid w:val="009767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976776"/>
  </w:style>
  <w:style w:type="paragraph" w:styleId="Koptekst">
    <w:name w:val="header"/>
    <w:basedOn w:val="Standaard"/>
    <w:link w:val="KoptekstChar"/>
    <w:uiPriority w:val="99"/>
    <w:unhideWhenUsed/>
    <w:rsid w:val="00A2103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2103B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A2103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2103B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E267DE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E80E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1046C7"/>
    <w:rPr>
      <w:b/>
      <w:bCs/>
      <w:smallCaps/>
      <w:color w:val="4472C4" w:themeColor="accent1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p.nl/publicaties/publicaties/2021/03/10/kwesties-voor-het-kiez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turkenburg@scp.n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307/33241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stor.org/stable/i275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p.nl/publicaties/publicaties/2021/02/04/samen-of-gescheiden-naar-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2543</ap:Words>
  <ap:Characters>13988</ap:Characters>
  <ap:DocSecurity>0</ap:DocSecurity>
  <ap:Lines>116</ap:Lines>
  <ap:Paragraphs>32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2021-11-04T16:44:00.0000000Z</dcterms:created>
  <dcterms:modified xsi:type="dcterms:W3CDTF">2021-11-04T16:44:00.0000000Z</dcterms:modified>
  <version/>
  <category/>
</coreProperties>
</file>