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14:paraId="1D58C16C" w14:textId="74F7AE7B">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8F6D2A" w14:paraId="258EB843" w14:textId="00637D34">
                            <w:pPr>
                              <w:pStyle w:val="Huisstijl-Agendatitel"/>
                              <w:ind w:left="0" w:firstLine="0"/>
                              <w:jc w:val="right"/>
                            </w:pPr>
                            <w:r>
                              <w:t>5 november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14:paraId="2E4C0BAB" w14:textId="774CACBD">
                      <w:pPr>
                        <w:pStyle w:val="Huisstijl-Agendatitel"/>
                        <w:ind w:left="0" w:firstLine="0"/>
                        <w:jc w:val="right"/>
                      </w:pPr>
                      <w:r>
                        <w:t xml:space="preserve">Commissie </w:t>
                      </w:r>
                      <w:r w:rsidR="00795E61">
                        <w:t>BuHaOS</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8F6D2A" w14:paraId="258EB843" w14:textId="00637D34">
                      <w:pPr>
                        <w:pStyle w:val="Huisstijl-Agendatitel"/>
                        <w:ind w:left="0" w:firstLine="0"/>
                        <w:jc w:val="right"/>
                      </w:pPr>
                      <w:r>
                        <w:t>5 november 2021</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14:paraId="4C01BB0B" w14:textId="77777777"/>
                  </w:txbxContent>
                </v:textbox>
                <w10:wrap anchory="page"/>
              </v:shape>
            </w:pict>
          </mc:Fallback>
        </mc:AlternateContent>
      </w:r>
    </w:p>
    <w:p w:rsidR="00E02D08" w:rsidP="00C727FA" w:rsidRDefault="00E02D08" w14:paraId="05CDB571" w14:textId="47CE6B3B">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14:paraId="54F4943E" w14:textId="77777777">
      <w:pPr>
        <w:rPr>
          <w:b/>
          <w:sz w:val="22"/>
          <w:szCs w:val="18"/>
        </w:rPr>
      </w:pPr>
    </w:p>
    <w:p w:rsidRPr="00E02D08" w:rsidR="006F2511" w:rsidP="00C727FA" w:rsidRDefault="006F2511" w14:paraId="5B687A43" w14:textId="1AA76E07">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sidR="008F6D2A">
        <w:rPr>
          <w:sz w:val="16"/>
          <w:szCs w:val="18"/>
        </w:rPr>
        <w:t xml:space="preserve"> 10 september en 5 novembe</w:t>
      </w:r>
      <w:r w:rsidR="00EC1BCB">
        <w:rPr>
          <w:sz w:val="16"/>
          <w:szCs w:val="18"/>
        </w:rPr>
        <w:t xml:space="preserve">r 2021 </w:t>
      </w:r>
      <w:r w:rsidRPr="00E02D08">
        <w:rPr>
          <w:sz w:val="16"/>
          <w:szCs w:val="18"/>
        </w:rPr>
        <w:t xml:space="preserve">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14:paraId="594D8C14" w14:textId="7519FF2E">
      <w:pPr>
        <w:rPr>
          <w:szCs w:val="18"/>
        </w:rPr>
      </w:pPr>
    </w:p>
    <w:p w:rsidRPr="00A306F6" w:rsidR="00E36118" w:rsidP="00E36118" w:rsidRDefault="00D27FE7" w14:paraId="5C08DE51" w14:textId="2EF659F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A306F6" w:rsidP="00A306F6" w:rsidRDefault="00A306F6" w14:paraId="3BE622D6" w14:textId="2609D78B"/>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A306F6" w:rsidTr="00A306F6" w14:paraId="3947EBF2"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A306F6" w:rsidP="00A306F6" w:rsidRDefault="00A306F6" w14:paraId="03DD60C2" w14:textId="77777777">
            <w:pPr>
              <w:pStyle w:val="Lijstalinea"/>
              <w:numPr>
                <w:ilvl w:val="0"/>
                <w:numId w:val="11"/>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306F6" w:rsidR="00A306F6" w:rsidRDefault="00A306F6" w14:paraId="5ED5B60F" w14:textId="77777777">
            <w:pPr>
              <w:spacing w:after="240"/>
              <w:rPr>
                <w:rFonts w:cs="Calibri"/>
              </w:rPr>
            </w:pPr>
            <w:r w:rsidRPr="00A306F6">
              <w:rPr>
                <w:rFonts w:cs="Calibri"/>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306F6" w:rsidR="00A306F6" w:rsidRDefault="00A306F6" w14:paraId="47B65782" w14:textId="77777777">
            <w:pPr>
              <w:spacing w:after="240"/>
              <w:rPr>
                <w:rFonts w:cs="Calibri"/>
              </w:rPr>
            </w:pPr>
            <w:r w:rsidRPr="00A306F6">
              <w:rPr>
                <w:rFonts w:cs="Calibri"/>
              </w:rPr>
              <w:t xml:space="preserve">Voorstel voor een besluit van de Raad betreffende het standpunt dat namens de Europese Unie moet worden ingenomen in het Gemengd Comité dat is opgericht bij artikel 63, lid 1, van de Euro-mediterrane Interim-associatieovereenkomst voor handel en samenwerking tussen de Europese Gemeenschap, enerzijds, en de Palestijnse Bevrijdingsorganisatie (PLO) ten behoeve van de Palestijnse Autoriteit van de Westelijke Jordaanoever en de Gazastrook, anderzijds </w:t>
            </w:r>
            <w:hyperlink w:history="1" r:id="rId14">
              <w:r w:rsidRPr="00A306F6">
                <w:rPr>
                  <w:rStyle w:val="Hyperlink"/>
                  <w:rFonts w:cs="Calibri"/>
                </w:rPr>
                <w:t>COM (2021) 651</w:t>
              </w:r>
            </w:hyperlink>
          </w:p>
        </w:tc>
      </w:tr>
      <w:tr w:rsidR="00A306F6" w:rsidTr="00A306F6" w14:paraId="0BB7DE49"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A306F6" w:rsidRDefault="00A306F6" w14:paraId="173374F7" w14:textId="77777777">
            <w:pPr>
              <w:rPr>
                <w:rFonts w:eastAsiaTheme="minorHAnsi"/>
                <w:szCs w:val="18"/>
              </w:rPr>
            </w:pPr>
          </w:p>
        </w:tc>
        <w:tc>
          <w:tcPr>
            <w:tcW w:w="1134" w:type="dxa"/>
            <w:tcMar>
              <w:top w:w="0" w:type="dxa"/>
              <w:left w:w="108" w:type="dxa"/>
              <w:bottom w:w="0" w:type="dxa"/>
              <w:right w:w="108" w:type="dxa"/>
            </w:tcMar>
            <w:hideMark/>
          </w:tcPr>
          <w:p w:rsidRPr="00A306F6" w:rsidR="00A306F6" w:rsidRDefault="00A306F6" w14:paraId="2C1AD73D" w14:textId="4114D892">
            <w:pPr>
              <w:spacing w:after="240"/>
              <w:rPr>
                <w:rFonts w:cs="Calibri"/>
              </w:rPr>
            </w:pPr>
            <w:r>
              <w:rPr>
                <w:rFonts w:cs="Calibri"/>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4A40C5" w:rsidR="00A306F6" w:rsidRDefault="004A40C5" w14:paraId="1CBFF8C8" w14:textId="6CC6C875">
            <w:pPr>
              <w:spacing w:after="240"/>
              <w:rPr>
                <w:rFonts w:cs="Calibri"/>
                <w:bCs/>
              </w:rPr>
            </w:pPr>
            <w:r w:rsidRPr="004A40C5">
              <w:rPr>
                <w:rFonts w:cs="Calibri"/>
                <w:bCs/>
              </w:rPr>
              <w:t>Ter informatie.</w:t>
            </w:r>
          </w:p>
        </w:tc>
      </w:tr>
      <w:tr w:rsidR="00A306F6" w:rsidTr="00A306F6" w14:paraId="6FCAB83C" w14:textId="77777777">
        <w:tc>
          <w:tcPr>
            <w:tcW w:w="0" w:type="auto"/>
            <w:vMerge/>
            <w:tcBorders>
              <w:top w:val="single" w:color="D9D9D9" w:sz="8" w:space="0"/>
              <w:left w:val="single" w:color="D9D9D9" w:sz="8" w:space="0"/>
              <w:bottom w:val="single" w:color="D9D9D9" w:sz="8" w:space="0"/>
              <w:right w:val="nil"/>
            </w:tcBorders>
            <w:vAlign w:val="center"/>
            <w:hideMark/>
          </w:tcPr>
          <w:p w:rsidR="00A306F6" w:rsidRDefault="00A306F6" w14:paraId="27D750E4"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A306F6" w:rsidR="00A306F6" w:rsidRDefault="00A306F6" w14:paraId="0A47016A" w14:textId="4EF990F8">
            <w:pPr>
              <w:spacing w:after="240"/>
              <w:rPr>
                <w:rFonts w:cs="Calibri"/>
              </w:rPr>
            </w:pPr>
            <w:r>
              <w:rPr>
                <w:rFonts w:cs="Calibri"/>
              </w:rPr>
              <w:b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4A40C5" w:rsidR="00A306F6" w:rsidP="004A40C5" w:rsidRDefault="0067438A" w14:paraId="610DF707" w14:textId="46FB2E80">
            <w:pPr>
              <w:spacing w:before="240" w:after="210"/>
              <w:rPr>
                <w:szCs w:val="18"/>
                <w:shd w:val="clear" w:color="auto" w:fill="FFFFFF"/>
              </w:rPr>
            </w:pPr>
            <w:r>
              <w:rPr>
                <w:szCs w:val="18"/>
                <w:shd w:val="clear" w:color="auto" w:fill="FFFFFF"/>
              </w:rPr>
              <w:t>In h</w:t>
            </w:r>
            <w:r w:rsidR="00BD1972">
              <w:rPr>
                <w:szCs w:val="18"/>
                <w:shd w:val="clear" w:color="auto" w:fill="FFFFFF"/>
              </w:rPr>
              <w:t xml:space="preserve">et besluit is vastgesteld dat de </w:t>
            </w:r>
            <w:r w:rsidR="004A40C5">
              <w:rPr>
                <w:szCs w:val="18"/>
                <w:shd w:val="clear" w:color="auto" w:fill="FFFFFF"/>
              </w:rPr>
              <w:t>tijdelijke wijzigingen nog eens tien jaar van toepassing zijn, met ingang van 1</w:t>
            </w:r>
            <w:r w:rsidR="00BD1972">
              <w:rPr>
                <w:szCs w:val="18"/>
                <w:shd w:val="clear" w:color="auto" w:fill="FFFFFF"/>
              </w:rPr>
              <w:t xml:space="preserve"> </w:t>
            </w:r>
            <w:r w:rsidR="004A40C5">
              <w:rPr>
                <w:szCs w:val="18"/>
                <w:shd w:val="clear" w:color="auto" w:fill="FFFFFF"/>
              </w:rPr>
              <w:t xml:space="preserve">januari 2022. Het betreft </w:t>
            </w:r>
            <w:r w:rsidRPr="004A40C5" w:rsidR="004A40C5">
              <w:rPr>
                <w:szCs w:val="18"/>
                <w:shd w:val="clear" w:color="auto" w:fill="FFFFFF"/>
              </w:rPr>
              <w:t>verdere liberalisering van de handel in landbouwproducten, verwerkte landbouwproducten en vis en visserijproducten en</w:t>
            </w:r>
            <w:r w:rsidR="00BD1972">
              <w:rPr>
                <w:szCs w:val="18"/>
                <w:shd w:val="clear" w:color="auto" w:fill="FFFFFF"/>
              </w:rPr>
              <w:t xml:space="preserve"> de </w:t>
            </w:r>
            <w:r w:rsidRPr="004A40C5" w:rsidR="004A40C5">
              <w:rPr>
                <w:szCs w:val="18"/>
                <w:shd w:val="clear" w:color="auto" w:fill="FFFFFF"/>
              </w:rPr>
              <w:t xml:space="preserve"> wijziging van de Euro-mediterrane Interim-associatieovereenkomst inzake de handel en samenwerking </w:t>
            </w:r>
            <w:r w:rsidR="004A40C5">
              <w:rPr>
                <w:szCs w:val="18"/>
                <w:shd w:val="clear" w:color="auto" w:fill="FFFFFF"/>
              </w:rPr>
              <w:t xml:space="preserve">tussen de Europese Gemeenschap </w:t>
            </w:r>
            <w:r w:rsidRPr="004A40C5" w:rsidR="004A40C5">
              <w:rPr>
                <w:szCs w:val="18"/>
                <w:shd w:val="clear" w:color="auto" w:fill="FFFFFF"/>
              </w:rPr>
              <w:t>en de Palestijnse Bevrijdingsorganisatie (PLO) ten behoeve van de Palestijnse Autoriteit van de Westelijke</w:t>
            </w:r>
            <w:r w:rsidR="004A40C5">
              <w:rPr>
                <w:szCs w:val="18"/>
                <w:shd w:val="clear" w:color="auto" w:fill="FFFFFF"/>
              </w:rPr>
              <w:t xml:space="preserve"> Jordaanoever en de Gazastrook.</w:t>
            </w:r>
          </w:p>
        </w:tc>
      </w:tr>
    </w:tbl>
    <w:p w:rsidR="0084243A" w:rsidP="002A4BD8" w:rsidRDefault="0084243A" w14:paraId="48907BEB" w14:textId="7AA2E55B">
      <w:pPr>
        <w:rPr>
          <w:szCs w:val="18"/>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Pr="00694757" w:rsidR="00F3480D" w:rsidTr="002F38A6" w14:paraId="60AD947B"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A71BB" w:rsidR="00F3480D" w:rsidP="002F38A6" w:rsidRDefault="00F3480D" w14:paraId="6169D5B7" w14:textId="249A352B">
            <w:pPr>
              <w:spacing w:after="240"/>
              <w:rPr>
                <w:szCs w:val="18"/>
              </w:rPr>
            </w:pPr>
            <w:r>
              <w:rPr>
                <w:szCs w:val="18"/>
              </w:rPr>
              <w:t>2.</w:t>
            </w:r>
          </w:p>
        </w:tc>
        <w:tc>
          <w:tcPr>
            <w:tcW w:w="1134" w:type="dxa"/>
            <w:tcBorders>
              <w:top w:val="single" w:color="D9D9D9" w:sz="8" w:space="0"/>
              <w:left w:val="nil"/>
              <w:bottom w:val="nil"/>
              <w:right w:val="nil"/>
            </w:tcBorders>
            <w:tcMar>
              <w:top w:w="0" w:type="dxa"/>
              <w:left w:w="108" w:type="dxa"/>
              <w:bottom w:w="0" w:type="dxa"/>
              <w:right w:w="108" w:type="dxa"/>
            </w:tcMar>
            <w:hideMark/>
          </w:tcPr>
          <w:p w:rsidRPr="00073C57" w:rsidR="00F3480D" w:rsidP="002F38A6" w:rsidRDefault="00F3480D" w14:paraId="3438B0C3" w14:textId="77777777">
            <w:pPr>
              <w:spacing w:after="240"/>
              <w:rPr>
                <w:rFonts w:cs="Calibri"/>
              </w:rPr>
            </w:pPr>
            <w:r w:rsidRPr="00073C57">
              <w:rPr>
                <w:rFonts w:cs="Calibri"/>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CB1D57" w:rsidR="00F3480D" w:rsidP="00CB1D57" w:rsidRDefault="00F3480D" w14:paraId="7DE1F62A" w14:textId="23D1BAC8">
            <w:pPr>
              <w:spacing w:after="240"/>
              <w:rPr>
                <w:rFonts w:cs="Calibri"/>
                <w:lang w:val="en-GB"/>
              </w:rPr>
            </w:pPr>
            <w:r w:rsidRPr="00CB1D57">
              <w:rPr>
                <w:rFonts w:cs="Calibri"/>
                <w:lang w:val="en-GB"/>
              </w:rPr>
              <w:t>Proposal for a COUNCIL DECISION on the position to be taken on behalf of the European Union in the ACP-EU Comm</w:t>
            </w:r>
            <w:r w:rsidRPr="00CB1D57">
              <w:rPr>
                <w:rFonts w:cs="Calibri"/>
                <w:lang w:val="en-US"/>
              </w:rPr>
              <w:t xml:space="preserve">ittee of Ambassadors, with regard to amending Decision No 3/2019 of the ACP-EU Committee of Ambassadors of 17 December 2019 to adopt transitional measures pursuant to Article 95(4) of the ACP-EU Partnership Agreement </w:t>
            </w:r>
            <w:hyperlink w:history="1" r:id="rId15">
              <w:r w:rsidRPr="00694757">
                <w:rPr>
                  <w:rStyle w:val="Hyperlink"/>
                  <w:rFonts w:cs="Calibri"/>
                  <w:lang w:val="en-US"/>
                </w:rPr>
                <w:t>COM (2021) 686</w:t>
              </w:r>
            </w:hyperlink>
            <w:r w:rsidR="00694757">
              <w:rPr>
                <w:rStyle w:val="Hyperlink"/>
                <w:rFonts w:cs="Calibri"/>
                <w:color w:val="auto"/>
                <w:lang w:val="en-US"/>
              </w:rPr>
              <w:t xml:space="preserve"> </w:t>
            </w:r>
          </w:p>
        </w:tc>
      </w:tr>
      <w:tr w:rsidRPr="00073C57" w:rsidR="00F3480D" w:rsidTr="002F38A6" w14:paraId="2A70A2A9"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1F6CB1" w:rsidR="00F3480D" w:rsidP="002F38A6" w:rsidRDefault="00F3480D" w14:paraId="7E2609D2" w14:textId="77777777">
            <w:pPr>
              <w:rPr>
                <w:rFonts w:eastAsiaTheme="minorHAnsi"/>
                <w:szCs w:val="18"/>
                <w:lang w:val="en-GB"/>
              </w:rPr>
            </w:pPr>
          </w:p>
        </w:tc>
        <w:tc>
          <w:tcPr>
            <w:tcW w:w="1134" w:type="dxa"/>
            <w:tcMar>
              <w:top w:w="0" w:type="dxa"/>
              <w:left w:w="108" w:type="dxa"/>
              <w:bottom w:w="0" w:type="dxa"/>
              <w:right w:w="108" w:type="dxa"/>
            </w:tcMar>
            <w:hideMark/>
          </w:tcPr>
          <w:p w:rsidRPr="00073C57" w:rsidR="00F3480D" w:rsidP="002F38A6" w:rsidRDefault="00F3480D" w14:paraId="1453C703" w14:textId="77777777">
            <w:pPr>
              <w:spacing w:after="240"/>
              <w:rPr>
                <w:rFonts w:cs="Calibri"/>
              </w:rPr>
            </w:pPr>
            <w:r w:rsidRPr="00073C57">
              <w:rPr>
                <w:rFonts w:cs="Calibri"/>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CB1D57" w:rsidR="00F3480D" w:rsidP="00CB1D57" w:rsidRDefault="00923F69" w14:paraId="6D066C2B" w14:textId="4889A265">
            <w:pPr>
              <w:spacing w:after="240"/>
              <w:rPr>
                <w:rFonts w:cs="Calibri"/>
                <w:bCs/>
              </w:rPr>
            </w:pPr>
            <w:r w:rsidRPr="00CB1D57">
              <w:rPr>
                <w:rFonts w:cs="Calibri"/>
                <w:bCs/>
              </w:rPr>
              <w:t>Ter informatie.</w:t>
            </w:r>
          </w:p>
        </w:tc>
      </w:tr>
      <w:tr w:rsidRPr="00CB1D57" w:rsidR="00F3480D" w:rsidTr="002F38A6" w14:paraId="331D6376" w14:textId="77777777">
        <w:tc>
          <w:tcPr>
            <w:tcW w:w="0" w:type="auto"/>
            <w:vMerge/>
            <w:tcBorders>
              <w:top w:val="single" w:color="D9D9D9" w:sz="8" w:space="0"/>
              <w:left w:val="single" w:color="D9D9D9" w:sz="8" w:space="0"/>
              <w:bottom w:val="single" w:color="D9D9D9" w:sz="8" w:space="0"/>
              <w:right w:val="nil"/>
            </w:tcBorders>
            <w:vAlign w:val="center"/>
            <w:hideMark/>
          </w:tcPr>
          <w:p w:rsidR="00F3480D" w:rsidP="002F38A6" w:rsidRDefault="00F3480D" w14:paraId="3E1CFCBE"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073C57" w:rsidR="00F3480D" w:rsidP="002F38A6" w:rsidRDefault="00F3480D" w14:paraId="7918EC92" w14:textId="77777777">
            <w:pPr>
              <w:spacing w:after="240"/>
              <w:rPr>
                <w:rFonts w:cs="Calibri"/>
              </w:rPr>
            </w:pPr>
            <w:r w:rsidRPr="00073C57">
              <w:rPr>
                <w:rFonts w:cs="Calibri"/>
              </w:rPr>
              <w:b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CB1D57" w:rsidR="00F3480D" w:rsidP="00617E74" w:rsidRDefault="00392DCB" w14:paraId="4C389E4A" w14:textId="0F52C6BB">
            <w:pPr>
              <w:spacing w:before="240" w:after="210"/>
              <w:rPr>
                <w:szCs w:val="18"/>
                <w:shd w:val="clear" w:color="auto" w:fill="FFFFFF"/>
              </w:rPr>
            </w:pPr>
            <w:r w:rsidRPr="00CB1D57">
              <w:rPr>
                <w:szCs w:val="18"/>
                <w:shd w:val="clear" w:color="auto" w:fill="FFFFFF"/>
              </w:rPr>
              <w:t xml:space="preserve">Het besluit betreft </w:t>
            </w:r>
            <w:r w:rsidRPr="00CB1D57" w:rsidR="004C5EA3">
              <w:rPr>
                <w:szCs w:val="18"/>
                <w:shd w:val="clear" w:color="auto" w:fill="FFFFFF"/>
              </w:rPr>
              <w:t xml:space="preserve">de verlenging van de toepassing van </w:t>
            </w:r>
            <w:r w:rsidRPr="00CB1D57" w:rsidR="00E67493">
              <w:rPr>
                <w:szCs w:val="18"/>
                <w:shd w:val="clear" w:color="auto" w:fill="FFFFFF"/>
              </w:rPr>
              <w:t>het huidige Verdrag van Co</w:t>
            </w:r>
            <w:r w:rsidRPr="00CB1D57" w:rsidR="008926C6">
              <w:rPr>
                <w:szCs w:val="18"/>
                <w:shd w:val="clear" w:color="auto" w:fill="FFFFFF"/>
              </w:rPr>
              <w:t xml:space="preserve">tonou tot 30 juni 2022, of </w:t>
            </w:r>
            <w:r w:rsidRPr="00CB1D57" w:rsidR="004C5EA3">
              <w:rPr>
                <w:szCs w:val="18"/>
                <w:shd w:val="clear" w:color="auto" w:fill="FFFFFF"/>
              </w:rPr>
              <w:t xml:space="preserve">zoveel eerder </w:t>
            </w:r>
            <w:r w:rsidR="001E1C7F">
              <w:rPr>
                <w:szCs w:val="18"/>
                <w:shd w:val="clear" w:color="auto" w:fill="FFFFFF"/>
              </w:rPr>
              <w:t>tot</w:t>
            </w:r>
            <w:r w:rsidRPr="00CB1D57" w:rsidR="008926C6">
              <w:rPr>
                <w:szCs w:val="18"/>
                <w:shd w:val="clear" w:color="auto" w:fill="FFFFFF"/>
              </w:rPr>
              <w:t xml:space="preserve"> het nieuwe </w:t>
            </w:r>
            <w:r w:rsidRPr="00CB1D57" w:rsidR="00E67493">
              <w:rPr>
                <w:szCs w:val="18"/>
                <w:shd w:val="clear" w:color="auto" w:fill="FFFFFF"/>
              </w:rPr>
              <w:t>AC</w:t>
            </w:r>
            <w:r w:rsidRPr="00CB1D57" w:rsidR="008926C6">
              <w:rPr>
                <w:szCs w:val="18"/>
                <w:shd w:val="clear" w:color="auto" w:fill="FFFFFF"/>
              </w:rPr>
              <w:t>S</w:t>
            </w:r>
            <w:r w:rsidRPr="00CB1D57" w:rsidR="00E67493">
              <w:rPr>
                <w:szCs w:val="18"/>
                <w:shd w:val="clear" w:color="auto" w:fill="FFFFFF"/>
              </w:rPr>
              <w:t>-partnerschapsverdrag tussen de EU en de organisatie van staten in Afrika, de Cariben en de Stille O</w:t>
            </w:r>
            <w:r w:rsidR="001E1C7F">
              <w:rPr>
                <w:szCs w:val="18"/>
                <w:shd w:val="clear" w:color="auto" w:fill="FFFFFF"/>
              </w:rPr>
              <w:t>ceaan</w:t>
            </w:r>
            <w:r w:rsidRPr="00CB1D57" w:rsidR="008926C6">
              <w:rPr>
                <w:szCs w:val="18"/>
                <w:shd w:val="clear" w:color="auto" w:fill="FFFFFF"/>
              </w:rPr>
              <w:t xml:space="preserve"> in werking zal treden</w:t>
            </w:r>
            <w:r w:rsidRPr="00CB1D57" w:rsidR="004C5EA3">
              <w:rPr>
                <w:szCs w:val="18"/>
                <w:shd w:val="clear" w:color="auto" w:fill="FFFFFF"/>
              </w:rPr>
              <w:t xml:space="preserve"> of voorlopig zal worden toegepast</w:t>
            </w:r>
            <w:r w:rsidRPr="00CB1D57" w:rsidR="008926C6">
              <w:rPr>
                <w:szCs w:val="18"/>
                <w:shd w:val="clear" w:color="auto" w:fill="FFFFFF"/>
              </w:rPr>
              <w:t>.</w:t>
            </w:r>
            <w:r w:rsidRPr="00CB1D57" w:rsidR="00E67493">
              <w:rPr>
                <w:szCs w:val="18"/>
                <w:shd w:val="clear" w:color="auto" w:fill="FFFFFF"/>
              </w:rPr>
              <w:t xml:space="preserve">  </w:t>
            </w:r>
          </w:p>
        </w:tc>
      </w:tr>
    </w:tbl>
    <w:p w:rsidRPr="00CB1D57" w:rsidR="00F3480D" w:rsidP="002A4BD8" w:rsidRDefault="00F3480D" w14:paraId="5645D3F6" w14:textId="77777777">
      <w:pPr>
        <w:rPr>
          <w:szCs w:val="18"/>
        </w:rPr>
      </w:pPr>
    </w:p>
    <w:p w:rsidRPr="00661272" w:rsidR="002A4BD8" w:rsidP="002A4BD8" w:rsidRDefault="00D27FE7" w14:paraId="5753E768" w14:textId="6F1E04CB">
      <w:pPr>
        <w:pStyle w:val="Lijstalinea"/>
        <w:numPr>
          <w:ilvl w:val="0"/>
          <w:numId w:val="2"/>
        </w:numPr>
        <w:rPr>
          <w:b/>
          <w:szCs w:val="18"/>
        </w:rPr>
      </w:pPr>
      <w:r>
        <w:rPr>
          <w:b/>
          <w:szCs w:val="18"/>
        </w:rPr>
        <w:lastRenderedPageBreak/>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DF5A2E" w:rsidP="002A4BD8" w:rsidRDefault="00DF5A2E" w14:paraId="47A9638E" w14:textId="162103E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DF5A2E" w:rsidTr="000279E0" w14:paraId="092E0C6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E54F00" w:rsidR="00DF5A2E" w:rsidP="00E54F00" w:rsidRDefault="00DF5A2E" w14:paraId="66B80061" w14:textId="33374842">
            <w:pPr>
              <w:pStyle w:val="Lijstalinea"/>
              <w:numPr>
                <w:ilvl w:val="0"/>
                <w:numId w:val="11"/>
              </w:numPr>
              <w:spacing w:after="240"/>
              <w:rPr>
                <w:szCs w:val="18"/>
              </w:rPr>
            </w:pPr>
          </w:p>
        </w:tc>
        <w:tc>
          <w:tcPr>
            <w:tcW w:w="1035" w:type="dxa"/>
          </w:tcPr>
          <w:p w:rsidRPr="00A306F6" w:rsidR="00DF5A2E" w:rsidP="000279E0" w:rsidRDefault="00DF5A2E" w14:paraId="3BF36ED7" w14:textId="77777777">
            <w:pPr>
              <w:spacing w:after="240"/>
              <w:rPr>
                <w:szCs w:val="18"/>
              </w:rPr>
            </w:pPr>
            <w:r w:rsidRPr="00A306F6">
              <w:rPr>
                <w:szCs w:val="18"/>
              </w:rPr>
              <w:t>Titel</w:t>
            </w:r>
          </w:p>
        </w:tc>
        <w:tc>
          <w:tcPr>
            <w:tcW w:w="6529" w:type="dxa"/>
          </w:tcPr>
          <w:p w:rsidR="00A005F0" w:rsidP="00A005F0" w:rsidRDefault="008F6D2A" w14:paraId="3DFC950D" w14:textId="77777777">
            <w:pPr>
              <w:shd w:val="clear" w:color="auto" w:fill="FFFFFF"/>
              <w:spacing w:after="75"/>
              <w:rPr>
                <w:rStyle w:val="Hyperlink"/>
                <w:rFonts w:cs="Calibri"/>
              </w:rPr>
            </w:pPr>
            <w:r w:rsidRPr="008F6D2A">
              <w:rPr>
                <w:rFonts w:cs="Calibri"/>
              </w:rPr>
              <w:t xml:space="preserve">Handelsovereenkomsten met Georgië en Moldavië – evaluatie </w:t>
            </w:r>
            <w:hyperlink w:history="1" r:id="rId16">
              <w:r w:rsidRPr="008F6D2A">
                <w:rPr>
                  <w:rStyle w:val="Hyperlink"/>
                  <w:rFonts w:cs="Calibri"/>
                </w:rPr>
                <w:t>Raadpleging</w:t>
              </w:r>
            </w:hyperlink>
          </w:p>
          <w:p w:rsidRPr="00A005F0" w:rsidR="00DF5A2E" w:rsidP="00A005F0" w:rsidRDefault="00DF5A2E" w14:paraId="04F013A3" w14:textId="4FF67BEA">
            <w:pPr>
              <w:shd w:val="clear" w:color="auto" w:fill="FFFFFF"/>
              <w:spacing w:after="75"/>
              <w:rPr>
                <w:rFonts w:cs="Calibri"/>
                <w:sz w:val="24"/>
                <w:szCs w:val="24"/>
                <w:lang w:eastAsia="nl-NL"/>
              </w:rPr>
            </w:pPr>
          </w:p>
        </w:tc>
      </w:tr>
      <w:tr w:rsidR="00DF5A2E" w:rsidTr="000279E0" w14:paraId="2C35CD73" w14:textId="77777777">
        <w:tc>
          <w:tcPr>
            <w:tcW w:w="421" w:type="dxa"/>
            <w:vMerge/>
            <w:tcBorders>
              <w:top w:val="nil"/>
              <w:bottom w:val="single" w:color="D9D9D9" w:themeColor="background1" w:themeShade="D9" w:sz="4" w:space="0"/>
            </w:tcBorders>
            <w:shd w:val="clear" w:color="auto" w:fill="F2F2F2" w:themeFill="background1" w:themeFillShade="F2"/>
          </w:tcPr>
          <w:p w:rsidR="00DF5A2E" w:rsidP="000279E0" w:rsidRDefault="00DF5A2E" w14:paraId="469EFAD3" w14:textId="77777777">
            <w:pPr>
              <w:spacing w:after="240"/>
              <w:rPr>
                <w:szCs w:val="18"/>
              </w:rPr>
            </w:pPr>
          </w:p>
        </w:tc>
        <w:tc>
          <w:tcPr>
            <w:tcW w:w="1035" w:type="dxa"/>
          </w:tcPr>
          <w:p w:rsidRPr="002A4BD8" w:rsidR="00DF5A2E" w:rsidP="000279E0" w:rsidRDefault="00DF5A2E" w14:paraId="5C0952F5" w14:textId="77777777">
            <w:pPr>
              <w:spacing w:after="240"/>
              <w:rPr>
                <w:szCs w:val="18"/>
              </w:rPr>
            </w:pPr>
            <w:r w:rsidRPr="002A4BD8">
              <w:rPr>
                <w:szCs w:val="18"/>
              </w:rPr>
              <w:t>Voorstel</w:t>
            </w:r>
          </w:p>
        </w:tc>
        <w:tc>
          <w:tcPr>
            <w:tcW w:w="6529" w:type="dxa"/>
          </w:tcPr>
          <w:p w:rsidRPr="002A4BD8" w:rsidR="00DF5A2E" w:rsidP="00D364E8" w:rsidRDefault="00CC038F" w14:paraId="6CC066D4" w14:textId="38354761">
            <w:pPr>
              <w:spacing w:after="240"/>
              <w:rPr>
                <w:szCs w:val="18"/>
              </w:rPr>
            </w:pPr>
            <w:r>
              <w:rPr>
                <w:szCs w:val="18"/>
              </w:rPr>
              <w:t>Ter informatie.</w:t>
            </w:r>
            <w:r w:rsidR="00A005F0">
              <w:rPr>
                <w:szCs w:val="18"/>
              </w:rPr>
              <w:t xml:space="preserve"> </w:t>
            </w:r>
          </w:p>
        </w:tc>
      </w:tr>
      <w:tr w:rsidR="00DF5A2E" w:rsidTr="00A306F6" w14:paraId="2B792069" w14:textId="77777777">
        <w:tc>
          <w:tcPr>
            <w:tcW w:w="421" w:type="dxa"/>
            <w:vMerge/>
            <w:tcBorders>
              <w:top w:val="nil"/>
              <w:bottom w:val="nil"/>
            </w:tcBorders>
            <w:shd w:val="clear" w:color="auto" w:fill="F2F2F2" w:themeFill="background1" w:themeFillShade="F2"/>
          </w:tcPr>
          <w:p w:rsidRPr="00D75535" w:rsidR="00DF5A2E" w:rsidP="000279E0" w:rsidRDefault="00DF5A2E" w14:paraId="27178720" w14:textId="77777777">
            <w:pPr>
              <w:spacing w:after="240"/>
              <w:rPr>
                <w:color w:val="595959" w:themeColor="text1" w:themeTint="A6"/>
                <w:szCs w:val="18"/>
              </w:rPr>
            </w:pPr>
          </w:p>
        </w:tc>
        <w:tc>
          <w:tcPr>
            <w:tcW w:w="1035" w:type="dxa"/>
          </w:tcPr>
          <w:p w:rsidRPr="00A306F6" w:rsidR="00DF5A2E" w:rsidP="000279E0" w:rsidRDefault="00DF5A2E" w14:paraId="4CA7A201" w14:textId="77777777">
            <w:pPr>
              <w:spacing w:after="240"/>
              <w:rPr>
                <w:szCs w:val="18"/>
              </w:rPr>
            </w:pPr>
            <w:r w:rsidRPr="00A306F6">
              <w:rPr>
                <w:szCs w:val="18"/>
              </w:rPr>
              <w:t>Noot</w:t>
            </w:r>
          </w:p>
        </w:tc>
        <w:tc>
          <w:tcPr>
            <w:tcW w:w="6529" w:type="dxa"/>
          </w:tcPr>
          <w:p w:rsidRPr="00A306F6" w:rsidR="00DF5A2E" w:rsidP="00A34A0B" w:rsidRDefault="0054524A" w14:paraId="55FECFDC" w14:textId="132CF3E5">
            <w:pPr>
              <w:shd w:val="clear" w:color="auto" w:fill="FFFFFF"/>
              <w:spacing w:before="100" w:beforeAutospacing="1" w:after="100" w:afterAutospacing="1"/>
              <w:rPr>
                <w:rFonts w:eastAsia="Times New Roman" w:cs="Arial"/>
                <w:szCs w:val="18"/>
                <w:lang w:eastAsia="nl-NL"/>
              </w:rPr>
            </w:pPr>
            <w:r w:rsidRPr="00A306F6">
              <w:rPr>
                <w:rFonts w:eastAsia="Times New Roman" w:cs="Arial"/>
                <w:szCs w:val="18"/>
                <w:lang w:eastAsia="nl-NL"/>
              </w:rPr>
              <w:t xml:space="preserve">Deze raadpleging richt zich </w:t>
            </w:r>
            <w:r w:rsidRPr="00A306F6" w:rsidR="00A005F0">
              <w:rPr>
                <w:rFonts w:eastAsia="Times New Roman" w:cs="Arial"/>
                <w:szCs w:val="18"/>
                <w:lang w:eastAsia="nl-NL"/>
              </w:rPr>
              <w:t>de EU-</w:t>
            </w:r>
            <w:r w:rsidRPr="00A306F6" w:rsidR="005C5BF7">
              <w:rPr>
                <w:rFonts w:eastAsia="Times New Roman" w:cs="Arial"/>
                <w:szCs w:val="18"/>
                <w:lang w:eastAsia="nl-NL"/>
              </w:rPr>
              <w:t xml:space="preserve"> handelsovereenkomsten</w:t>
            </w:r>
            <w:r w:rsidRPr="00A306F6" w:rsidR="00A005F0">
              <w:rPr>
                <w:rFonts w:eastAsia="Times New Roman" w:cs="Arial"/>
                <w:szCs w:val="18"/>
                <w:lang w:eastAsia="nl-NL"/>
              </w:rPr>
              <w:t xml:space="preserve"> met Georgië en Moldavië</w:t>
            </w:r>
            <w:r w:rsidR="00E54A7C">
              <w:rPr>
                <w:rFonts w:eastAsia="Times New Roman" w:cs="Arial"/>
                <w:szCs w:val="18"/>
                <w:lang w:eastAsia="nl-NL"/>
              </w:rPr>
              <w:t>, die onderdeel uitmaken van de bredere</w:t>
            </w:r>
            <w:r w:rsidRPr="00A306F6" w:rsidR="003B30DD">
              <w:rPr>
                <w:rFonts w:eastAsia="Times New Roman" w:cs="Arial"/>
                <w:szCs w:val="18"/>
                <w:lang w:eastAsia="nl-NL"/>
              </w:rPr>
              <w:t xml:space="preserve"> </w:t>
            </w:r>
            <w:r w:rsidRPr="00A306F6" w:rsidR="00CC038F">
              <w:rPr>
                <w:rFonts w:eastAsia="Times New Roman" w:cs="Arial"/>
                <w:szCs w:val="18"/>
                <w:lang w:eastAsia="nl-NL"/>
              </w:rPr>
              <w:t>EU-associatieovereenkomsten</w:t>
            </w:r>
            <w:r w:rsidR="00A34A0B">
              <w:rPr>
                <w:rFonts w:eastAsia="Times New Roman" w:cs="Arial"/>
                <w:szCs w:val="18"/>
                <w:lang w:eastAsia="nl-NL"/>
              </w:rPr>
              <w:t xml:space="preserve">. Het betreft de gevolgen </w:t>
            </w:r>
            <w:r w:rsidRPr="00A306F6" w:rsidR="00A34A0B">
              <w:rPr>
                <w:rFonts w:eastAsia="Times New Roman" w:cs="Arial"/>
                <w:szCs w:val="18"/>
                <w:lang w:eastAsia="nl-NL"/>
              </w:rPr>
              <w:t xml:space="preserve">voor beide landen </w:t>
            </w:r>
            <w:r w:rsidRPr="00A306F6" w:rsidR="003B30DD">
              <w:rPr>
                <w:rFonts w:eastAsia="Times New Roman" w:cs="Arial"/>
                <w:szCs w:val="18"/>
                <w:lang w:eastAsia="nl-NL"/>
              </w:rPr>
              <w:t>voor</w:t>
            </w:r>
            <w:r w:rsidRPr="00A306F6">
              <w:rPr>
                <w:rFonts w:eastAsia="Times New Roman" w:cs="Arial"/>
                <w:szCs w:val="18"/>
                <w:lang w:eastAsia="nl-NL"/>
              </w:rPr>
              <w:t xml:space="preserve"> </w:t>
            </w:r>
            <w:r w:rsidRPr="00A306F6" w:rsidR="005C5BF7">
              <w:rPr>
                <w:rFonts w:eastAsia="Times New Roman" w:cs="Arial"/>
                <w:szCs w:val="18"/>
                <w:lang w:eastAsia="nl-NL"/>
              </w:rPr>
              <w:t>de handel en de econ</w:t>
            </w:r>
            <w:r w:rsidR="00A34A0B">
              <w:rPr>
                <w:rFonts w:eastAsia="Times New Roman" w:cs="Arial"/>
                <w:szCs w:val="18"/>
                <w:lang w:eastAsia="nl-NL"/>
              </w:rPr>
              <w:t>omie, maatschappij</w:t>
            </w:r>
            <w:r w:rsidRPr="00A306F6">
              <w:rPr>
                <w:rFonts w:eastAsia="Times New Roman" w:cs="Arial"/>
                <w:szCs w:val="18"/>
                <w:lang w:eastAsia="nl-NL"/>
              </w:rPr>
              <w:t xml:space="preserve">, werknemers, mensenrechten, </w:t>
            </w:r>
            <w:r w:rsidRPr="00A306F6" w:rsidR="005C5BF7">
              <w:rPr>
                <w:rFonts w:eastAsia="Times New Roman" w:cs="Arial"/>
                <w:szCs w:val="18"/>
                <w:lang w:eastAsia="nl-NL"/>
              </w:rPr>
              <w:t>milieu</w:t>
            </w:r>
            <w:r w:rsidRPr="00A306F6">
              <w:rPr>
                <w:rFonts w:eastAsia="Times New Roman" w:cs="Arial"/>
                <w:szCs w:val="18"/>
                <w:lang w:eastAsia="nl-NL"/>
              </w:rPr>
              <w:t xml:space="preserve">, kleine ondernemingen en consumenten. </w:t>
            </w:r>
            <w:r w:rsidRPr="00A306F6" w:rsidR="005C5BF7">
              <w:rPr>
                <w:rFonts w:eastAsia="Times New Roman" w:cs="Arial"/>
                <w:szCs w:val="18"/>
                <w:lang w:eastAsia="nl-NL"/>
              </w:rPr>
              <w:t xml:space="preserve"> </w:t>
            </w:r>
          </w:p>
        </w:tc>
      </w:tr>
      <w:tr w:rsidR="00A306F6" w:rsidTr="000279E0" w14:paraId="30B11B59" w14:textId="77777777">
        <w:tc>
          <w:tcPr>
            <w:tcW w:w="421" w:type="dxa"/>
            <w:tcBorders>
              <w:top w:val="nil"/>
              <w:bottom w:val="single" w:color="D9D9D9" w:themeColor="background1" w:themeShade="D9" w:sz="4" w:space="0"/>
            </w:tcBorders>
            <w:shd w:val="clear" w:color="auto" w:fill="F2F2F2" w:themeFill="background1" w:themeFillShade="F2"/>
          </w:tcPr>
          <w:p w:rsidRPr="00D75535" w:rsidR="00A306F6" w:rsidP="000279E0" w:rsidRDefault="00A306F6" w14:paraId="362449F4" w14:textId="77777777">
            <w:pPr>
              <w:spacing w:after="240"/>
              <w:rPr>
                <w:color w:val="595959" w:themeColor="text1" w:themeTint="A6"/>
                <w:szCs w:val="18"/>
              </w:rPr>
            </w:pPr>
          </w:p>
        </w:tc>
        <w:tc>
          <w:tcPr>
            <w:tcW w:w="1035" w:type="dxa"/>
          </w:tcPr>
          <w:p w:rsidRPr="00D75535" w:rsidR="00A306F6" w:rsidP="000279E0" w:rsidRDefault="00A306F6" w14:paraId="2935E1D8" w14:textId="77777777">
            <w:pPr>
              <w:spacing w:after="240"/>
              <w:rPr>
                <w:color w:val="595959" w:themeColor="text1" w:themeTint="A6"/>
                <w:szCs w:val="18"/>
              </w:rPr>
            </w:pPr>
          </w:p>
        </w:tc>
        <w:tc>
          <w:tcPr>
            <w:tcW w:w="6529" w:type="dxa"/>
          </w:tcPr>
          <w:p w:rsidR="00A306F6" w:rsidP="003B30DD" w:rsidRDefault="00A306F6" w14:paraId="1325EAE5" w14:textId="48B71D25">
            <w:pPr>
              <w:shd w:val="clear" w:color="auto" w:fill="FFFFFF"/>
              <w:spacing w:before="100" w:beforeAutospacing="1" w:after="100" w:afterAutospacing="1"/>
              <w:rPr>
                <w:rFonts w:eastAsia="Times New Roman" w:cs="Arial"/>
                <w:color w:val="333333"/>
                <w:szCs w:val="18"/>
                <w:lang w:eastAsia="nl-NL"/>
              </w:rPr>
            </w:pPr>
          </w:p>
        </w:tc>
      </w:tr>
    </w:tbl>
    <w:p w:rsidR="00A306F6" w:rsidP="002A4BD8" w:rsidRDefault="00A306F6" w14:paraId="1E42CE35" w14:textId="5A3AEE07">
      <w:pPr>
        <w:rPr>
          <w:szCs w:val="18"/>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A306F6" w:rsidTr="00A306F6" w14:paraId="1A39DD89"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306F6" w:rsidR="00A306F6" w:rsidP="00A306F6" w:rsidRDefault="00E54F00" w14:paraId="7A6EC6C7" w14:textId="3CBB1B9E">
            <w:pPr>
              <w:spacing w:after="240"/>
              <w:rPr>
                <w:szCs w:val="18"/>
              </w:rPr>
            </w:pPr>
            <w:r>
              <w:t>4</w:t>
            </w:r>
            <w:r w:rsidR="00A306F6">
              <w:t>.</w:t>
            </w:r>
          </w:p>
        </w:tc>
        <w:tc>
          <w:tcPr>
            <w:tcW w:w="1134" w:type="dxa"/>
            <w:tcBorders>
              <w:top w:val="single" w:color="D9D9D9" w:sz="8" w:space="0"/>
              <w:left w:val="nil"/>
              <w:bottom w:val="nil"/>
              <w:right w:val="nil"/>
            </w:tcBorders>
            <w:tcMar>
              <w:top w:w="0" w:type="dxa"/>
              <w:left w:w="108" w:type="dxa"/>
              <w:bottom w:w="0" w:type="dxa"/>
              <w:right w:w="108" w:type="dxa"/>
            </w:tcMar>
            <w:hideMark/>
          </w:tcPr>
          <w:p w:rsidRPr="00A306F6" w:rsidR="00A306F6" w:rsidP="002F513D" w:rsidRDefault="00A306F6" w14:paraId="06CCB017" w14:textId="77777777">
            <w:pPr>
              <w:spacing w:after="240"/>
              <w:rPr>
                <w:rFonts w:cs="Calibri"/>
              </w:rPr>
            </w:pPr>
            <w:r w:rsidRPr="00A306F6">
              <w:rPr>
                <w:rFonts w:cs="Calibri"/>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A306F6" w:rsidR="00A306F6" w:rsidP="002F513D" w:rsidRDefault="00A306F6" w14:paraId="758C1621" w14:textId="77777777">
            <w:pPr>
              <w:spacing w:after="240"/>
              <w:rPr>
                <w:rFonts w:cs="Calibri"/>
              </w:rPr>
            </w:pPr>
            <w:r w:rsidRPr="00A306F6">
              <w:rPr>
                <w:rFonts w:cs="Calibri"/>
              </w:rPr>
              <w:t xml:space="preserve">VERSLAG VAN DE COMMISSIE AAN HET EUROPEES PARLEMENT EN DE RAAD Jaarverslag over de in 2020 gefinancierde humanitaire hulpacties van de Europese Unie </w:t>
            </w:r>
            <w:hyperlink w:history="1" r:id="rId17">
              <w:r w:rsidRPr="00A306F6">
                <w:rPr>
                  <w:rStyle w:val="Hyperlink"/>
                  <w:rFonts w:cs="Calibri"/>
                </w:rPr>
                <w:t>COM (2021) 659</w:t>
              </w:r>
            </w:hyperlink>
          </w:p>
        </w:tc>
      </w:tr>
      <w:tr w:rsidR="00A306F6" w:rsidTr="00A306F6" w14:paraId="240C433B"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Pr="00A306F6" w:rsidR="00A306F6" w:rsidRDefault="00A306F6" w14:paraId="38F499D3" w14:textId="77777777">
            <w:pPr>
              <w:rPr>
                <w:rFonts w:eastAsiaTheme="minorHAnsi"/>
                <w:szCs w:val="18"/>
              </w:rPr>
            </w:pPr>
          </w:p>
        </w:tc>
        <w:tc>
          <w:tcPr>
            <w:tcW w:w="1134" w:type="dxa"/>
            <w:tcMar>
              <w:top w:w="0" w:type="dxa"/>
              <w:left w:w="108" w:type="dxa"/>
              <w:bottom w:w="0" w:type="dxa"/>
              <w:right w:w="108" w:type="dxa"/>
            </w:tcMar>
          </w:tcPr>
          <w:p w:rsidRPr="00A306F6" w:rsidR="00A306F6" w:rsidP="002F513D" w:rsidRDefault="00A306F6" w14:paraId="1ABE1151" w14:textId="181258DE">
            <w:pPr>
              <w:spacing w:after="240"/>
              <w:rPr>
                <w:rFonts w:cs="Calibri"/>
              </w:rPr>
            </w:pPr>
            <w:r>
              <w:rPr>
                <w:rFonts w:cs="Calibri"/>
              </w:rPr>
              <w:t xml:space="preserve">Voorstel </w:t>
            </w:r>
          </w:p>
        </w:tc>
        <w:tc>
          <w:tcPr>
            <w:tcW w:w="6378" w:type="dxa"/>
            <w:tcBorders>
              <w:top w:val="nil"/>
              <w:left w:val="nil"/>
              <w:bottom w:val="nil"/>
              <w:right w:val="single" w:color="D9D9D9" w:sz="8" w:space="0"/>
            </w:tcBorders>
            <w:tcMar>
              <w:top w:w="0" w:type="dxa"/>
              <w:left w:w="108" w:type="dxa"/>
              <w:bottom w:w="0" w:type="dxa"/>
              <w:right w:w="108" w:type="dxa"/>
            </w:tcMar>
          </w:tcPr>
          <w:p w:rsidRPr="004B364F" w:rsidR="00A306F6" w:rsidP="00694757" w:rsidRDefault="004B364F" w14:paraId="08AB05DA" w14:textId="2AA8A164">
            <w:pPr>
              <w:spacing w:after="240"/>
              <w:rPr>
                <w:rFonts w:cs="Calibri"/>
                <w:bCs/>
              </w:rPr>
            </w:pPr>
            <w:r w:rsidRPr="004B364F">
              <w:rPr>
                <w:rFonts w:cs="Calibri"/>
                <w:bCs/>
              </w:rPr>
              <w:t>D</w:t>
            </w:r>
            <w:r>
              <w:rPr>
                <w:rFonts w:cs="Calibri"/>
                <w:bCs/>
              </w:rPr>
              <w:t xml:space="preserve">esgewenst betrekken bij het </w:t>
            </w:r>
            <w:r w:rsidR="00694757">
              <w:rPr>
                <w:rFonts w:cs="Calibri"/>
                <w:bCs/>
              </w:rPr>
              <w:t xml:space="preserve">schriftelijk </w:t>
            </w:r>
            <w:r w:rsidR="007C66DC">
              <w:rPr>
                <w:rFonts w:cs="Calibri"/>
                <w:bCs/>
              </w:rPr>
              <w:t>overleg</w:t>
            </w:r>
            <w:r>
              <w:rPr>
                <w:rFonts w:cs="Calibri"/>
                <w:bCs/>
              </w:rPr>
              <w:t xml:space="preserve"> </w:t>
            </w:r>
            <w:r w:rsidR="00694757">
              <w:rPr>
                <w:rFonts w:cs="Calibri"/>
                <w:bCs/>
              </w:rPr>
              <w:t xml:space="preserve">d.d. 12 november 2021 </w:t>
            </w:r>
            <w:r>
              <w:rPr>
                <w:rFonts w:cs="Calibri"/>
                <w:bCs/>
              </w:rPr>
              <w:t xml:space="preserve">over </w:t>
            </w:r>
            <w:r w:rsidR="00694757">
              <w:rPr>
                <w:rFonts w:cs="Calibri"/>
                <w:bCs/>
              </w:rPr>
              <w:t xml:space="preserve">de </w:t>
            </w:r>
            <w:r>
              <w:rPr>
                <w:rFonts w:cs="Calibri"/>
                <w:bCs/>
              </w:rPr>
              <w:t xml:space="preserve">RBZ/OS </w:t>
            </w:r>
            <w:r w:rsidR="007C66DC">
              <w:rPr>
                <w:rFonts w:cs="Calibri"/>
                <w:bCs/>
              </w:rPr>
              <w:t xml:space="preserve">van 19 november 2021. </w:t>
            </w:r>
          </w:p>
        </w:tc>
      </w:tr>
      <w:tr w:rsidR="00A306F6" w:rsidTr="00A306F6" w14:paraId="22F10181" w14:textId="77777777">
        <w:tc>
          <w:tcPr>
            <w:tcW w:w="0" w:type="auto"/>
            <w:vMerge/>
            <w:tcBorders>
              <w:top w:val="single" w:color="D9D9D9" w:sz="8" w:space="0"/>
              <w:left w:val="single" w:color="D9D9D9" w:sz="8" w:space="0"/>
              <w:bottom w:val="single" w:color="D9D9D9" w:sz="8" w:space="0"/>
              <w:right w:val="nil"/>
            </w:tcBorders>
            <w:vAlign w:val="center"/>
            <w:hideMark/>
          </w:tcPr>
          <w:p w:rsidRPr="00A306F6" w:rsidR="00A306F6" w:rsidRDefault="00A306F6" w14:paraId="057BE96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721B0D" w:rsidR="00A306F6" w:rsidP="002F513D" w:rsidRDefault="00A306F6" w14:paraId="7DB5EC61" w14:textId="77AD819C">
            <w:pPr>
              <w:spacing w:after="240"/>
              <w:rPr>
                <w:rFonts w:cs="Calibri"/>
                <w:szCs w:val="18"/>
              </w:rPr>
            </w:pPr>
            <w:r w:rsidRPr="00721B0D">
              <w:rPr>
                <w:rFonts w:cs="Calibri"/>
                <w:szCs w:val="18"/>
              </w:rPr>
              <w:br/>
              <w:t xml:space="preserve">Noot </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721B0D" w:rsidR="00A306F6" w:rsidP="0003599C" w:rsidRDefault="00721B0D" w14:paraId="473A4EE2" w14:textId="715764FD">
            <w:pPr>
              <w:spacing w:before="240" w:after="210"/>
              <w:rPr>
                <w:rFonts w:cs="Calibri"/>
                <w:szCs w:val="18"/>
              </w:rPr>
            </w:pPr>
            <w:r w:rsidRPr="002F513D">
              <w:rPr>
                <w:szCs w:val="18"/>
                <w:shd w:val="clear" w:color="auto" w:fill="FFFFFF"/>
              </w:rPr>
              <w:t xml:space="preserve">Dit verslag bevat een overzicht van de belangrijkste activiteiten en beleidsresultaten van de EU op het gebied van humanitaire hulp in 2020, </w:t>
            </w:r>
            <w:r w:rsidRPr="002F513D" w:rsidR="002F513D">
              <w:rPr>
                <w:szCs w:val="18"/>
                <w:shd w:val="clear" w:color="auto" w:fill="FFFFFF"/>
              </w:rPr>
              <w:t>die door</w:t>
            </w:r>
            <w:r w:rsidRPr="002F513D">
              <w:rPr>
                <w:szCs w:val="18"/>
                <w:shd w:val="clear" w:color="auto" w:fill="FFFFFF"/>
              </w:rPr>
              <w:t xml:space="preserve"> de Commissie zijn gefinancierd.</w:t>
            </w:r>
            <w:r w:rsidRPr="002F513D" w:rsidR="002F513D">
              <w:rPr>
                <w:szCs w:val="18"/>
                <w:shd w:val="clear" w:color="auto" w:fill="FFFFFF"/>
              </w:rPr>
              <w:t xml:space="preserve"> </w:t>
            </w:r>
          </w:p>
        </w:tc>
      </w:tr>
    </w:tbl>
    <w:p w:rsidR="00A306F6" w:rsidP="002A4BD8" w:rsidRDefault="00A306F6" w14:paraId="57D9098A" w14:textId="6C0FBFD7">
      <w:pPr>
        <w:rPr>
          <w:szCs w:val="18"/>
        </w:rPr>
      </w:pPr>
    </w:p>
    <w:tbl>
      <w:tblPr>
        <w:tblW w:w="0" w:type="dxa"/>
        <w:tblInd w:w="-5" w:type="dxa"/>
        <w:tblCellMar>
          <w:left w:w="0" w:type="dxa"/>
          <w:right w:w="0" w:type="dxa"/>
        </w:tblCellMar>
        <w:tblLook w:val="04A0" w:firstRow="1" w:lastRow="0" w:firstColumn="1" w:lastColumn="0" w:noHBand="0" w:noVBand="1"/>
      </w:tblPr>
      <w:tblGrid>
        <w:gridCol w:w="426"/>
        <w:gridCol w:w="1134"/>
        <w:gridCol w:w="6378"/>
      </w:tblGrid>
      <w:tr w:rsidR="00A306F6" w:rsidTr="00A306F6" w14:paraId="5800E841" w14:textId="77777777">
        <w:tc>
          <w:tcPr>
            <w:tcW w:w="42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EA71BB" w:rsidR="00A306F6" w:rsidP="00EA71BB" w:rsidRDefault="00E54F00" w14:paraId="7522C28C" w14:textId="5A822433">
            <w:pPr>
              <w:spacing w:after="240"/>
              <w:rPr>
                <w:szCs w:val="18"/>
              </w:rPr>
            </w:pPr>
            <w:r>
              <w:rPr>
                <w:szCs w:val="18"/>
              </w:rPr>
              <w:t>5</w:t>
            </w:r>
            <w:r w:rsidR="00EA71BB">
              <w:rPr>
                <w:szCs w:val="18"/>
              </w:rPr>
              <w:t>.</w:t>
            </w:r>
          </w:p>
        </w:tc>
        <w:tc>
          <w:tcPr>
            <w:tcW w:w="1134" w:type="dxa"/>
            <w:tcBorders>
              <w:top w:val="single" w:color="D9D9D9" w:sz="8" w:space="0"/>
              <w:left w:val="nil"/>
              <w:bottom w:val="nil"/>
              <w:right w:val="nil"/>
            </w:tcBorders>
            <w:tcMar>
              <w:top w:w="0" w:type="dxa"/>
              <w:left w:w="108" w:type="dxa"/>
              <w:bottom w:w="0" w:type="dxa"/>
              <w:right w:w="108" w:type="dxa"/>
            </w:tcMar>
            <w:hideMark/>
          </w:tcPr>
          <w:p w:rsidRPr="00073C57" w:rsidR="00A306F6" w:rsidRDefault="00A306F6" w14:paraId="518E5F42" w14:textId="77777777">
            <w:pPr>
              <w:spacing w:after="240"/>
              <w:rPr>
                <w:rFonts w:cs="Calibri"/>
              </w:rPr>
            </w:pPr>
            <w:r w:rsidRPr="00073C57">
              <w:rPr>
                <w:rFonts w:cs="Calibri"/>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073C57" w:rsidR="00A306F6" w:rsidP="00BF34F6" w:rsidRDefault="00A306F6" w14:paraId="5DE93E1E" w14:textId="77777777">
            <w:pPr>
              <w:spacing w:after="240"/>
              <w:rPr>
                <w:rFonts w:cs="Calibri"/>
              </w:rPr>
            </w:pPr>
            <w:r w:rsidRPr="00073C57">
              <w:rPr>
                <w:rFonts w:cs="Calibri"/>
              </w:rPr>
              <w:t xml:space="preserve">VERSLAG VAN DE COMMISSIE AAN HET EUROPEES PARLEMENT, DE RAAD, HET EUROPEES ECONOMISCH EN SOCIAAL COMITÉ EN HET COMITÉ VAN DE REGIO'S over de tenuitvoerlegging en handhaving van de handelsovereenkomsten van de EU </w:t>
            </w:r>
            <w:hyperlink w:history="1" r:id="rId18">
              <w:r w:rsidRPr="00073C57">
                <w:rPr>
                  <w:rStyle w:val="Hyperlink"/>
                  <w:rFonts w:cs="Calibri"/>
                </w:rPr>
                <w:t>COM (2021) 654</w:t>
              </w:r>
            </w:hyperlink>
          </w:p>
        </w:tc>
      </w:tr>
      <w:tr w:rsidR="00A306F6" w:rsidTr="00A306F6" w14:paraId="0A9309DD" w14:textId="77777777">
        <w:trPr>
          <w:trHeight w:val="185"/>
        </w:trPr>
        <w:tc>
          <w:tcPr>
            <w:tcW w:w="0" w:type="auto"/>
            <w:vMerge/>
            <w:tcBorders>
              <w:top w:val="single" w:color="D9D9D9" w:sz="8" w:space="0"/>
              <w:left w:val="single" w:color="D9D9D9" w:sz="8" w:space="0"/>
              <w:bottom w:val="single" w:color="D9D9D9" w:sz="8" w:space="0"/>
              <w:right w:val="nil"/>
            </w:tcBorders>
            <w:vAlign w:val="center"/>
            <w:hideMark/>
          </w:tcPr>
          <w:p w:rsidR="00A306F6" w:rsidRDefault="00A306F6" w14:paraId="35DAD9E9" w14:textId="77777777">
            <w:pPr>
              <w:rPr>
                <w:rFonts w:eastAsiaTheme="minorHAnsi"/>
                <w:szCs w:val="18"/>
              </w:rPr>
            </w:pPr>
          </w:p>
        </w:tc>
        <w:tc>
          <w:tcPr>
            <w:tcW w:w="1134" w:type="dxa"/>
            <w:tcMar>
              <w:top w:w="0" w:type="dxa"/>
              <w:left w:w="108" w:type="dxa"/>
              <w:bottom w:w="0" w:type="dxa"/>
              <w:right w:w="108" w:type="dxa"/>
            </w:tcMar>
            <w:hideMark/>
          </w:tcPr>
          <w:p w:rsidRPr="00073C57" w:rsidR="00A306F6" w:rsidRDefault="00A306F6" w14:paraId="27E68062" w14:textId="45E270EF">
            <w:pPr>
              <w:spacing w:after="240"/>
              <w:rPr>
                <w:rFonts w:cs="Calibri"/>
              </w:rPr>
            </w:pPr>
            <w:r w:rsidRPr="00073C57">
              <w:rPr>
                <w:rFonts w:cs="Calibri"/>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073C57" w:rsidR="00A306F6" w:rsidP="00694757" w:rsidRDefault="00D92A03" w14:paraId="50D8070B" w14:textId="66131685">
            <w:pPr>
              <w:spacing w:after="240"/>
              <w:rPr>
                <w:rFonts w:cs="Calibri"/>
                <w:b/>
                <w:bCs/>
              </w:rPr>
            </w:pPr>
            <w:r>
              <w:rPr>
                <w:rFonts w:cs="Calibri"/>
                <w:bCs/>
              </w:rPr>
              <w:t xml:space="preserve">Desgewenst betrekken bij het commissiedebat over de </w:t>
            </w:r>
            <w:r w:rsidR="004B364F">
              <w:rPr>
                <w:rFonts w:cs="Calibri"/>
                <w:bCs/>
              </w:rPr>
              <w:t>RBZ/</w:t>
            </w:r>
            <w:r>
              <w:rPr>
                <w:rFonts w:cs="Calibri"/>
                <w:bCs/>
              </w:rPr>
              <w:t>Handel</w:t>
            </w:r>
            <w:r w:rsidR="00694757">
              <w:rPr>
                <w:rFonts w:cs="Calibri"/>
                <w:bCs/>
              </w:rPr>
              <w:t xml:space="preserve"> d.d.</w:t>
            </w:r>
            <w:bookmarkStart w:name="_GoBack" w:id="0"/>
            <w:bookmarkEnd w:id="0"/>
            <w:r>
              <w:rPr>
                <w:rFonts w:cs="Calibri"/>
                <w:bCs/>
              </w:rPr>
              <w:t xml:space="preserve"> 24 november 2021. </w:t>
            </w:r>
          </w:p>
        </w:tc>
      </w:tr>
      <w:tr w:rsidR="00A306F6" w:rsidTr="00A306F6" w14:paraId="6B51519C" w14:textId="77777777">
        <w:tc>
          <w:tcPr>
            <w:tcW w:w="0" w:type="auto"/>
            <w:vMerge/>
            <w:tcBorders>
              <w:top w:val="single" w:color="D9D9D9" w:sz="8" w:space="0"/>
              <w:left w:val="single" w:color="D9D9D9" w:sz="8" w:space="0"/>
              <w:bottom w:val="single" w:color="D9D9D9" w:sz="8" w:space="0"/>
              <w:right w:val="nil"/>
            </w:tcBorders>
            <w:vAlign w:val="center"/>
            <w:hideMark/>
          </w:tcPr>
          <w:p w:rsidR="00A306F6" w:rsidRDefault="00A306F6" w14:paraId="45EE271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073C57" w:rsidR="00A306F6" w:rsidRDefault="00A306F6" w14:paraId="5C5EAC51" w14:textId="72E4BB54">
            <w:pPr>
              <w:spacing w:after="240"/>
              <w:rPr>
                <w:rFonts w:cs="Calibri"/>
              </w:rPr>
            </w:pPr>
            <w:r w:rsidRPr="00073C57">
              <w:rPr>
                <w:rFonts w:cs="Calibri"/>
              </w:rPr>
              <w:b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073C57" w:rsidR="00A306F6" w:rsidP="0003599C" w:rsidRDefault="0003599C" w14:paraId="37058F25" w14:textId="28FF4269">
            <w:pPr>
              <w:spacing w:before="240" w:after="210"/>
              <w:rPr>
                <w:rFonts w:cs="Calibri"/>
              </w:rPr>
            </w:pPr>
            <w:r>
              <w:rPr>
                <w:szCs w:val="18"/>
              </w:rPr>
              <w:t xml:space="preserve">Het betreft het </w:t>
            </w:r>
            <w:r w:rsidRPr="00D92A03" w:rsidR="00D92A03">
              <w:rPr>
                <w:szCs w:val="18"/>
              </w:rPr>
              <w:t xml:space="preserve">eerste jaarverslag over de uitvoering en handhaving van </w:t>
            </w:r>
            <w:r w:rsidR="004B364F">
              <w:rPr>
                <w:szCs w:val="18"/>
              </w:rPr>
              <w:t>EU-</w:t>
            </w:r>
            <w:r>
              <w:rPr>
                <w:szCs w:val="18"/>
              </w:rPr>
              <w:t>handelsverdragen</w:t>
            </w:r>
            <w:r w:rsidRPr="00D92A03" w:rsidR="00D92A03">
              <w:rPr>
                <w:szCs w:val="18"/>
              </w:rPr>
              <w:t xml:space="preserve">. Dit verslag volgt op de aanstelling van de nieuwe </w:t>
            </w:r>
            <w:r w:rsidRPr="00D92A03" w:rsidR="00D92A03">
              <w:rPr>
                <w:rStyle w:val="Nadruk"/>
                <w:szCs w:val="18"/>
              </w:rPr>
              <w:t xml:space="preserve">Chief Trade Enforcement Officer </w:t>
            </w:r>
            <w:r w:rsidRPr="00D92A03" w:rsidR="00D92A03">
              <w:rPr>
                <w:szCs w:val="18"/>
              </w:rPr>
              <w:t>(CTEO), die hiervoor verantwoordelijk is.</w:t>
            </w:r>
          </w:p>
        </w:tc>
      </w:tr>
    </w:tbl>
    <w:p w:rsidR="001F6CB1" w:rsidP="002A4BD8" w:rsidRDefault="001F6CB1" w14:paraId="352F993C" w14:textId="231CB018">
      <w:pPr>
        <w:rPr>
          <w:szCs w:val="18"/>
        </w:rPr>
      </w:pPr>
    </w:p>
    <w:sectPr w:rsidR="001F6CB1"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E47C7" w14:textId="77777777" w:rsidR="00050D24" w:rsidRDefault="00050D24">
      <w:r>
        <w:separator/>
      </w:r>
    </w:p>
  </w:endnote>
  <w:endnote w:type="continuationSeparator" w:id="0">
    <w:p w14:paraId="6411253A" w14:textId="77777777" w:rsidR="00050D24" w:rsidRDefault="00050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4791778" w:rsidR="00A42CDC" w:rsidRDefault="00F407B0">
                          <w:pPr>
                            <w:pStyle w:val="Huisstijl-Paginanummer"/>
                          </w:pPr>
                          <w:r>
                            <w:fldChar w:fldCharType="begin"/>
                          </w:r>
                          <w:r>
                            <w:instrText xml:space="preserve"> PAGE  \* Arabic  \* MERGEFORMAT </w:instrText>
                          </w:r>
                          <w:r>
                            <w:fldChar w:fldCharType="separate"/>
                          </w:r>
                          <w:r w:rsidR="00E9790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0058EF62" w14:textId="14791778" w:rsidR="00A42CDC" w:rsidRDefault="00F407B0">
                    <w:pPr>
                      <w:pStyle w:val="Huisstijl-Paginanummer"/>
                    </w:pPr>
                    <w:r>
                      <w:fldChar w:fldCharType="begin"/>
                    </w:r>
                    <w:r>
                      <w:instrText xml:space="preserve"> PAGE  \* Arabic  \* MERGEFORMAT </w:instrText>
                    </w:r>
                    <w:r>
                      <w:fldChar w:fldCharType="separate"/>
                    </w:r>
                    <w:r w:rsidR="00E9790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0046D7FD" w:rsidR="00A42CDC" w:rsidRDefault="00F407B0">
                          <w:pPr>
                            <w:pStyle w:val="Huisstijl-Paginanummer"/>
                          </w:pPr>
                          <w:r>
                            <w:fldChar w:fldCharType="begin"/>
                          </w:r>
                          <w:r>
                            <w:instrText xml:space="preserve"> PAGE  \* Arabic  \* MERGEFORMAT </w:instrText>
                          </w:r>
                          <w:r>
                            <w:fldChar w:fldCharType="separate"/>
                          </w:r>
                          <w:r w:rsidR="00E97905">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6B88B957" w14:textId="0046D7FD" w:rsidR="00A42CDC" w:rsidRDefault="00F407B0">
                    <w:pPr>
                      <w:pStyle w:val="Huisstijl-Paginanummer"/>
                    </w:pPr>
                    <w:r>
                      <w:fldChar w:fldCharType="begin"/>
                    </w:r>
                    <w:r>
                      <w:instrText xml:space="preserve"> PAGE  \* Arabic  \* MERGEFORMAT </w:instrText>
                    </w:r>
                    <w:r>
                      <w:fldChar w:fldCharType="separate"/>
                    </w:r>
                    <w:r w:rsidR="00E97905">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89AA1" w14:textId="77777777" w:rsidR="00050D24" w:rsidRDefault="00050D24">
      <w:r>
        <w:separator/>
      </w:r>
    </w:p>
  </w:footnote>
  <w:footnote w:type="continuationSeparator" w:id="0">
    <w:p w14:paraId="7E9C8CFB" w14:textId="77777777" w:rsidR="00050D24" w:rsidRDefault="00050D24">
      <w:r>
        <w:continuationSeparator/>
      </w:r>
    </w:p>
  </w:footnote>
  <w:footnote w:id="1">
    <w:p w14:paraId="1039ADE4" w14:textId="24FC9964"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07888"/>
    <w:rsid w:val="00010EF2"/>
    <w:rsid w:val="000123FA"/>
    <w:rsid w:val="00013B5B"/>
    <w:rsid w:val="00016110"/>
    <w:rsid w:val="00021D50"/>
    <w:rsid w:val="00026D47"/>
    <w:rsid w:val="000339A6"/>
    <w:rsid w:val="000345B0"/>
    <w:rsid w:val="00035057"/>
    <w:rsid w:val="0003599C"/>
    <w:rsid w:val="00036674"/>
    <w:rsid w:val="000423A9"/>
    <w:rsid w:val="00045831"/>
    <w:rsid w:val="00050D24"/>
    <w:rsid w:val="00051FEC"/>
    <w:rsid w:val="000546B1"/>
    <w:rsid w:val="000635E6"/>
    <w:rsid w:val="000642C4"/>
    <w:rsid w:val="0006770A"/>
    <w:rsid w:val="00070D31"/>
    <w:rsid w:val="0007162E"/>
    <w:rsid w:val="000722D6"/>
    <w:rsid w:val="00073C57"/>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60F5"/>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7F"/>
    <w:rsid w:val="001E1C84"/>
    <w:rsid w:val="001E39BA"/>
    <w:rsid w:val="001E7032"/>
    <w:rsid w:val="001F1517"/>
    <w:rsid w:val="001F4221"/>
    <w:rsid w:val="001F6CB1"/>
    <w:rsid w:val="001F7012"/>
    <w:rsid w:val="00201D9C"/>
    <w:rsid w:val="002048D9"/>
    <w:rsid w:val="00207F9C"/>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2F513D"/>
    <w:rsid w:val="003023F3"/>
    <w:rsid w:val="0030416C"/>
    <w:rsid w:val="003066D7"/>
    <w:rsid w:val="0031228D"/>
    <w:rsid w:val="00313734"/>
    <w:rsid w:val="003146B0"/>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2DCB"/>
    <w:rsid w:val="00393BB7"/>
    <w:rsid w:val="003A219A"/>
    <w:rsid w:val="003A5792"/>
    <w:rsid w:val="003B1D02"/>
    <w:rsid w:val="003B254F"/>
    <w:rsid w:val="003B2964"/>
    <w:rsid w:val="003B30DD"/>
    <w:rsid w:val="003B4119"/>
    <w:rsid w:val="003B484E"/>
    <w:rsid w:val="003B49DE"/>
    <w:rsid w:val="003B67E0"/>
    <w:rsid w:val="003C0D63"/>
    <w:rsid w:val="003C2832"/>
    <w:rsid w:val="003D22ED"/>
    <w:rsid w:val="003D450D"/>
    <w:rsid w:val="003D5554"/>
    <w:rsid w:val="003D660C"/>
    <w:rsid w:val="003E6EA2"/>
    <w:rsid w:val="003F110D"/>
    <w:rsid w:val="003F628A"/>
    <w:rsid w:val="00403FAF"/>
    <w:rsid w:val="00405747"/>
    <w:rsid w:val="0041042A"/>
    <w:rsid w:val="00411808"/>
    <w:rsid w:val="004160BD"/>
    <w:rsid w:val="0041634B"/>
    <w:rsid w:val="00416E67"/>
    <w:rsid w:val="00420882"/>
    <w:rsid w:val="00424531"/>
    <w:rsid w:val="00424D04"/>
    <w:rsid w:val="004265B2"/>
    <w:rsid w:val="00426719"/>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6767A"/>
    <w:rsid w:val="00473886"/>
    <w:rsid w:val="00473A07"/>
    <w:rsid w:val="00473A85"/>
    <w:rsid w:val="00473B75"/>
    <w:rsid w:val="00474A4E"/>
    <w:rsid w:val="00474E1E"/>
    <w:rsid w:val="004760D1"/>
    <w:rsid w:val="00482405"/>
    <w:rsid w:val="00484658"/>
    <w:rsid w:val="00491847"/>
    <w:rsid w:val="004A0757"/>
    <w:rsid w:val="004A2857"/>
    <w:rsid w:val="004A40C5"/>
    <w:rsid w:val="004A48F2"/>
    <w:rsid w:val="004A553E"/>
    <w:rsid w:val="004B109E"/>
    <w:rsid w:val="004B364F"/>
    <w:rsid w:val="004B447F"/>
    <w:rsid w:val="004B4B6D"/>
    <w:rsid w:val="004B572A"/>
    <w:rsid w:val="004B5B19"/>
    <w:rsid w:val="004C5EA3"/>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4524A"/>
    <w:rsid w:val="00554CBF"/>
    <w:rsid w:val="00557341"/>
    <w:rsid w:val="00565011"/>
    <w:rsid w:val="005676FD"/>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C5BF7"/>
    <w:rsid w:val="005D20CD"/>
    <w:rsid w:val="005E300D"/>
    <w:rsid w:val="005E7B45"/>
    <w:rsid w:val="005F1EDF"/>
    <w:rsid w:val="005F3027"/>
    <w:rsid w:val="00605B5A"/>
    <w:rsid w:val="006060B3"/>
    <w:rsid w:val="0060611D"/>
    <w:rsid w:val="00613764"/>
    <w:rsid w:val="00617577"/>
    <w:rsid w:val="00617E74"/>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04AF"/>
    <w:rsid w:val="00661272"/>
    <w:rsid w:val="00661ACE"/>
    <w:rsid w:val="00661F6A"/>
    <w:rsid w:val="006635A7"/>
    <w:rsid w:val="00667A74"/>
    <w:rsid w:val="00673519"/>
    <w:rsid w:val="0067438A"/>
    <w:rsid w:val="00682002"/>
    <w:rsid w:val="00690F44"/>
    <w:rsid w:val="006919C8"/>
    <w:rsid w:val="0069362C"/>
    <w:rsid w:val="00693D3B"/>
    <w:rsid w:val="00694757"/>
    <w:rsid w:val="00694B16"/>
    <w:rsid w:val="00697687"/>
    <w:rsid w:val="006A15AD"/>
    <w:rsid w:val="006A45D8"/>
    <w:rsid w:val="006A4888"/>
    <w:rsid w:val="006A5210"/>
    <w:rsid w:val="006B0B28"/>
    <w:rsid w:val="006B488A"/>
    <w:rsid w:val="006C38A7"/>
    <w:rsid w:val="006C4176"/>
    <w:rsid w:val="006D2B66"/>
    <w:rsid w:val="006D3AA5"/>
    <w:rsid w:val="006D4B9F"/>
    <w:rsid w:val="006D7AEF"/>
    <w:rsid w:val="006E0F91"/>
    <w:rsid w:val="006E2C94"/>
    <w:rsid w:val="006E5214"/>
    <w:rsid w:val="006E7466"/>
    <w:rsid w:val="006F18C7"/>
    <w:rsid w:val="006F2511"/>
    <w:rsid w:val="006F2BCC"/>
    <w:rsid w:val="006F52C0"/>
    <w:rsid w:val="0070058B"/>
    <w:rsid w:val="00701CB8"/>
    <w:rsid w:val="00705CD9"/>
    <w:rsid w:val="00706D62"/>
    <w:rsid w:val="0071017A"/>
    <w:rsid w:val="00711E11"/>
    <w:rsid w:val="007135E6"/>
    <w:rsid w:val="00715569"/>
    <w:rsid w:val="007204C6"/>
    <w:rsid w:val="00720DBB"/>
    <w:rsid w:val="0072125D"/>
    <w:rsid w:val="00721758"/>
    <w:rsid w:val="00721B0D"/>
    <w:rsid w:val="00721E15"/>
    <w:rsid w:val="00723DF8"/>
    <w:rsid w:val="007248BC"/>
    <w:rsid w:val="00726354"/>
    <w:rsid w:val="007417AC"/>
    <w:rsid w:val="007439D7"/>
    <w:rsid w:val="00745D31"/>
    <w:rsid w:val="00755534"/>
    <w:rsid w:val="00757AA5"/>
    <w:rsid w:val="007642F9"/>
    <w:rsid w:val="00770A61"/>
    <w:rsid w:val="00773074"/>
    <w:rsid w:val="00773C33"/>
    <w:rsid w:val="00774829"/>
    <w:rsid w:val="00781A50"/>
    <w:rsid w:val="00781CE3"/>
    <w:rsid w:val="007876BC"/>
    <w:rsid w:val="00787C51"/>
    <w:rsid w:val="0079316B"/>
    <w:rsid w:val="00794A22"/>
    <w:rsid w:val="00795E61"/>
    <w:rsid w:val="00796433"/>
    <w:rsid w:val="00796B75"/>
    <w:rsid w:val="007A03BA"/>
    <w:rsid w:val="007A48C8"/>
    <w:rsid w:val="007A4A53"/>
    <w:rsid w:val="007A6CDA"/>
    <w:rsid w:val="007B02DE"/>
    <w:rsid w:val="007C66DC"/>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243A"/>
    <w:rsid w:val="00843FBB"/>
    <w:rsid w:val="008454D2"/>
    <w:rsid w:val="00845DEC"/>
    <w:rsid w:val="0085294F"/>
    <w:rsid w:val="00866593"/>
    <w:rsid w:val="00870719"/>
    <w:rsid w:val="00883FEA"/>
    <w:rsid w:val="00892314"/>
    <w:rsid w:val="008926C6"/>
    <w:rsid w:val="0089371C"/>
    <w:rsid w:val="008A4075"/>
    <w:rsid w:val="008A4C58"/>
    <w:rsid w:val="008A5C07"/>
    <w:rsid w:val="008A5F82"/>
    <w:rsid w:val="008B1D35"/>
    <w:rsid w:val="008B33EB"/>
    <w:rsid w:val="008B3ABC"/>
    <w:rsid w:val="008B4B43"/>
    <w:rsid w:val="008B5E4B"/>
    <w:rsid w:val="008B7783"/>
    <w:rsid w:val="008C43A5"/>
    <w:rsid w:val="008C4443"/>
    <w:rsid w:val="008E1635"/>
    <w:rsid w:val="008E1DAE"/>
    <w:rsid w:val="008E363B"/>
    <w:rsid w:val="008E7DAC"/>
    <w:rsid w:val="008F6D2A"/>
    <w:rsid w:val="00901055"/>
    <w:rsid w:val="00904FEB"/>
    <w:rsid w:val="0090730F"/>
    <w:rsid w:val="0091479F"/>
    <w:rsid w:val="00914C45"/>
    <w:rsid w:val="00916678"/>
    <w:rsid w:val="0091744E"/>
    <w:rsid w:val="00922C5B"/>
    <w:rsid w:val="00923F69"/>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76A9A"/>
    <w:rsid w:val="00981B9B"/>
    <w:rsid w:val="00986DA2"/>
    <w:rsid w:val="009870EA"/>
    <w:rsid w:val="009874C6"/>
    <w:rsid w:val="00990B28"/>
    <w:rsid w:val="0099243E"/>
    <w:rsid w:val="009956D1"/>
    <w:rsid w:val="00995B14"/>
    <w:rsid w:val="009A5399"/>
    <w:rsid w:val="009B1792"/>
    <w:rsid w:val="009B1F24"/>
    <w:rsid w:val="009B2C99"/>
    <w:rsid w:val="009B3CF3"/>
    <w:rsid w:val="009B4DCA"/>
    <w:rsid w:val="009B706C"/>
    <w:rsid w:val="009C2266"/>
    <w:rsid w:val="009D0749"/>
    <w:rsid w:val="009E2113"/>
    <w:rsid w:val="009E5271"/>
    <w:rsid w:val="009F1C43"/>
    <w:rsid w:val="009F2CCC"/>
    <w:rsid w:val="00A005F0"/>
    <w:rsid w:val="00A009CA"/>
    <w:rsid w:val="00A04C8A"/>
    <w:rsid w:val="00A149AC"/>
    <w:rsid w:val="00A20A7D"/>
    <w:rsid w:val="00A306F6"/>
    <w:rsid w:val="00A324AB"/>
    <w:rsid w:val="00A33B04"/>
    <w:rsid w:val="00A34A0B"/>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666F9"/>
    <w:rsid w:val="00B71A9C"/>
    <w:rsid w:val="00B757E9"/>
    <w:rsid w:val="00B860F9"/>
    <w:rsid w:val="00B90C6F"/>
    <w:rsid w:val="00B90CB7"/>
    <w:rsid w:val="00B91483"/>
    <w:rsid w:val="00B914C1"/>
    <w:rsid w:val="00B92EE7"/>
    <w:rsid w:val="00B930A7"/>
    <w:rsid w:val="00B96878"/>
    <w:rsid w:val="00B96AD5"/>
    <w:rsid w:val="00BA41EB"/>
    <w:rsid w:val="00BA464F"/>
    <w:rsid w:val="00BB0C55"/>
    <w:rsid w:val="00BB0CE8"/>
    <w:rsid w:val="00BB27BB"/>
    <w:rsid w:val="00BB2953"/>
    <w:rsid w:val="00BB2E65"/>
    <w:rsid w:val="00BB4A0D"/>
    <w:rsid w:val="00BB716F"/>
    <w:rsid w:val="00BC0427"/>
    <w:rsid w:val="00BC1083"/>
    <w:rsid w:val="00BC2EAD"/>
    <w:rsid w:val="00BC3391"/>
    <w:rsid w:val="00BC7779"/>
    <w:rsid w:val="00BD13D9"/>
    <w:rsid w:val="00BD1972"/>
    <w:rsid w:val="00BD28EC"/>
    <w:rsid w:val="00BD3B5C"/>
    <w:rsid w:val="00BE042C"/>
    <w:rsid w:val="00BF2DEC"/>
    <w:rsid w:val="00BF34F6"/>
    <w:rsid w:val="00BF468F"/>
    <w:rsid w:val="00BF62AD"/>
    <w:rsid w:val="00BF771D"/>
    <w:rsid w:val="00C00303"/>
    <w:rsid w:val="00C030A9"/>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1D57"/>
    <w:rsid w:val="00CB6655"/>
    <w:rsid w:val="00CB6D12"/>
    <w:rsid w:val="00CC038F"/>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4E8"/>
    <w:rsid w:val="00D36A44"/>
    <w:rsid w:val="00D40390"/>
    <w:rsid w:val="00D4444E"/>
    <w:rsid w:val="00D46679"/>
    <w:rsid w:val="00D467E2"/>
    <w:rsid w:val="00D5774F"/>
    <w:rsid w:val="00D64CF8"/>
    <w:rsid w:val="00D64F93"/>
    <w:rsid w:val="00D6591C"/>
    <w:rsid w:val="00D67F7F"/>
    <w:rsid w:val="00D7255C"/>
    <w:rsid w:val="00D72CC9"/>
    <w:rsid w:val="00D75535"/>
    <w:rsid w:val="00D86209"/>
    <w:rsid w:val="00D92A03"/>
    <w:rsid w:val="00DA3017"/>
    <w:rsid w:val="00DA5144"/>
    <w:rsid w:val="00DB1219"/>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05974"/>
    <w:rsid w:val="00E10297"/>
    <w:rsid w:val="00E1180B"/>
    <w:rsid w:val="00E11A26"/>
    <w:rsid w:val="00E11B7B"/>
    <w:rsid w:val="00E20B2E"/>
    <w:rsid w:val="00E229BE"/>
    <w:rsid w:val="00E23B52"/>
    <w:rsid w:val="00E23D3A"/>
    <w:rsid w:val="00E246A4"/>
    <w:rsid w:val="00E2607E"/>
    <w:rsid w:val="00E265FC"/>
    <w:rsid w:val="00E269CC"/>
    <w:rsid w:val="00E3590E"/>
    <w:rsid w:val="00E36118"/>
    <w:rsid w:val="00E36FCA"/>
    <w:rsid w:val="00E37DB4"/>
    <w:rsid w:val="00E407E1"/>
    <w:rsid w:val="00E41C82"/>
    <w:rsid w:val="00E4200D"/>
    <w:rsid w:val="00E42FB9"/>
    <w:rsid w:val="00E452DF"/>
    <w:rsid w:val="00E4701A"/>
    <w:rsid w:val="00E53C1E"/>
    <w:rsid w:val="00E54A7C"/>
    <w:rsid w:val="00E54F00"/>
    <w:rsid w:val="00E63829"/>
    <w:rsid w:val="00E6432B"/>
    <w:rsid w:val="00E666D4"/>
    <w:rsid w:val="00E67493"/>
    <w:rsid w:val="00E67989"/>
    <w:rsid w:val="00E80096"/>
    <w:rsid w:val="00E80FBD"/>
    <w:rsid w:val="00E82B47"/>
    <w:rsid w:val="00E84D83"/>
    <w:rsid w:val="00E86E93"/>
    <w:rsid w:val="00E97905"/>
    <w:rsid w:val="00EA3A9D"/>
    <w:rsid w:val="00EA4103"/>
    <w:rsid w:val="00EA4B76"/>
    <w:rsid w:val="00EA546B"/>
    <w:rsid w:val="00EA6FF9"/>
    <w:rsid w:val="00EA71BB"/>
    <w:rsid w:val="00EB409D"/>
    <w:rsid w:val="00EC1BCB"/>
    <w:rsid w:val="00EC4140"/>
    <w:rsid w:val="00EC7E69"/>
    <w:rsid w:val="00ED6644"/>
    <w:rsid w:val="00EE1C0C"/>
    <w:rsid w:val="00EE306C"/>
    <w:rsid w:val="00EE6B1E"/>
    <w:rsid w:val="00EF265E"/>
    <w:rsid w:val="00EF4583"/>
    <w:rsid w:val="00EF69C7"/>
    <w:rsid w:val="00F00C07"/>
    <w:rsid w:val="00F11149"/>
    <w:rsid w:val="00F14A3A"/>
    <w:rsid w:val="00F17B98"/>
    <w:rsid w:val="00F17D6A"/>
    <w:rsid w:val="00F21FB6"/>
    <w:rsid w:val="00F246AB"/>
    <w:rsid w:val="00F268FE"/>
    <w:rsid w:val="00F26D7C"/>
    <w:rsid w:val="00F2799A"/>
    <w:rsid w:val="00F30E66"/>
    <w:rsid w:val="00F33E5F"/>
    <w:rsid w:val="00F3480D"/>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5C2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customStyle="1" w:styleId="ecl-u-type-capitalize">
    <w:name w:val="ecl-u-type-capitalize"/>
    <w:basedOn w:val="Standaardalinea-lettertype"/>
    <w:rsid w:val="005C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2826">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6112445">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2917183">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6408509">
      <w:bodyDiv w:val="1"/>
      <w:marLeft w:val="0"/>
      <w:marRight w:val="0"/>
      <w:marTop w:val="0"/>
      <w:marBottom w:val="0"/>
      <w:divBdr>
        <w:top w:val="none" w:sz="0" w:space="0" w:color="auto"/>
        <w:left w:val="none" w:sz="0" w:space="0" w:color="auto"/>
        <w:bottom w:val="none" w:sz="0" w:space="0" w:color="auto"/>
        <w:right w:val="none" w:sz="0" w:space="0" w:color="auto"/>
      </w:divBdr>
    </w:div>
    <w:div w:id="503057391">
      <w:bodyDiv w:val="1"/>
      <w:marLeft w:val="0"/>
      <w:marRight w:val="0"/>
      <w:marTop w:val="0"/>
      <w:marBottom w:val="0"/>
      <w:divBdr>
        <w:top w:val="none" w:sz="0" w:space="0" w:color="auto"/>
        <w:left w:val="none" w:sz="0" w:space="0" w:color="auto"/>
        <w:bottom w:val="none" w:sz="0" w:space="0" w:color="auto"/>
        <w:right w:val="none" w:sz="0" w:space="0" w:color="auto"/>
      </w:divBdr>
    </w:div>
    <w:div w:id="531186371">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3549">
      <w:bodyDiv w:val="1"/>
      <w:marLeft w:val="0"/>
      <w:marRight w:val="0"/>
      <w:marTop w:val="0"/>
      <w:marBottom w:val="0"/>
      <w:divBdr>
        <w:top w:val="none" w:sz="0" w:space="0" w:color="auto"/>
        <w:left w:val="none" w:sz="0" w:space="0" w:color="auto"/>
        <w:bottom w:val="none" w:sz="0" w:space="0" w:color="auto"/>
        <w:right w:val="none" w:sz="0" w:space="0" w:color="auto"/>
      </w:divBdr>
    </w:div>
    <w:div w:id="954096287">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9009034">
      <w:bodyDiv w:val="1"/>
      <w:marLeft w:val="0"/>
      <w:marRight w:val="0"/>
      <w:marTop w:val="0"/>
      <w:marBottom w:val="0"/>
      <w:divBdr>
        <w:top w:val="none" w:sz="0" w:space="0" w:color="auto"/>
        <w:left w:val="none" w:sz="0" w:space="0" w:color="auto"/>
        <w:bottom w:val="none" w:sz="0" w:space="0" w:color="auto"/>
        <w:right w:val="none" w:sz="0" w:space="0" w:color="auto"/>
      </w:divBdr>
    </w:div>
    <w:div w:id="1287741416">
      <w:bodyDiv w:val="1"/>
      <w:marLeft w:val="0"/>
      <w:marRight w:val="0"/>
      <w:marTop w:val="0"/>
      <w:marBottom w:val="0"/>
      <w:divBdr>
        <w:top w:val="none" w:sz="0" w:space="0" w:color="auto"/>
        <w:left w:val="none" w:sz="0" w:space="0" w:color="auto"/>
        <w:bottom w:val="none" w:sz="0" w:space="0" w:color="auto"/>
        <w:right w:val="none" w:sz="0" w:space="0" w:color="auto"/>
      </w:divBdr>
    </w:div>
    <w:div w:id="135445428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67394287">
      <w:bodyDiv w:val="1"/>
      <w:marLeft w:val="0"/>
      <w:marRight w:val="0"/>
      <w:marTop w:val="0"/>
      <w:marBottom w:val="0"/>
      <w:divBdr>
        <w:top w:val="none" w:sz="0" w:space="0" w:color="auto"/>
        <w:left w:val="none" w:sz="0" w:space="0" w:color="auto"/>
        <w:bottom w:val="none" w:sz="0" w:space="0" w:color="auto"/>
        <w:right w:val="none" w:sz="0" w:space="0" w:color="auto"/>
      </w:divBdr>
    </w:div>
    <w:div w:id="1701588148">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788347841">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04755947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secure.ipex.eu/IPEXL-WEB/document/COM-2021-654"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secure.ipex.eu/IPEXL-WEB/document/COM-2021-659" TargetMode="External" Id="rId17" /><Relationship Type="http://schemas.openxmlformats.org/officeDocument/2006/relationships/hyperlink" Target="https://ec.europa.eu/info/law/better-regulation/have-your-say/initiatives/12086-Handelsovereenkomsten-met-Georgie-en-Moldavie-evaluatie_nl"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secure.ipex.eu/IPEXL-WEB/document/COM-2021-686"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secure.ipex.eu/IPEXL-WEB/document/COM-2021-651"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636</ap:Words>
  <ap:Characters>3501</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2021-11-05T12:17:00.0000000Z</dcterms:created>
  <dcterms:modified xsi:type="dcterms:W3CDTF">2021-11-05T12:17:00.0000000Z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0x010100EDDF46D737299F4EB3A5793B024DA202</vt:lpwstr>
  </property>
</Properties>
</file>