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3732" w:rsidR="00CB3578" w:rsidP="00C8489A" w:rsidRDefault="003B6426">
            <w:pPr>
              <w:pStyle w:val="Amendement"/>
              <w:rPr>
                <w:rFonts w:ascii="Times New Roman" w:hAnsi="Times New Roman" w:cs="Times New Roman"/>
                <w:b w:val="0"/>
              </w:rPr>
            </w:pPr>
            <w:r>
              <w:rPr>
                <w:rFonts w:ascii="Times New Roman" w:hAnsi="Times New Roman" w:cs="Times New Roman"/>
                <w:b w:val="0"/>
              </w:rPr>
              <w:t>Bijgewerkt t/m nr. 123</w:t>
            </w:r>
            <w:r w:rsidR="00613732">
              <w:rPr>
                <w:rFonts w:ascii="Times New Roman" w:hAnsi="Times New Roman" w:cs="Times New Roman"/>
                <w:b w:val="0"/>
              </w:rPr>
              <w:t xml:space="preserve"> (</w:t>
            </w:r>
            <w:r>
              <w:rPr>
                <w:rFonts w:ascii="Times New Roman" w:hAnsi="Times New Roman" w:cs="Times New Roman"/>
                <w:b w:val="0"/>
              </w:rPr>
              <w:t>4</w:t>
            </w:r>
            <w:r w:rsidRPr="00741661" w:rsidR="00741661">
              <w:rPr>
                <w:rFonts w:ascii="Times New Roman" w:hAnsi="Times New Roman" w:cs="Times New Roman"/>
                <w:b w:val="0"/>
                <w:vertAlign w:val="superscript"/>
              </w:rPr>
              <w:t>e</w:t>
            </w:r>
            <w:r w:rsidR="00741661">
              <w:rPr>
                <w:rFonts w:ascii="Times New Roman" w:hAnsi="Times New Roman" w:cs="Times New Roman"/>
                <w:b w:val="0"/>
              </w:rPr>
              <w:t xml:space="preserve"> </w:t>
            </w:r>
            <w:proofErr w:type="spellStart"/>
            <w:r w:rsidR="00613732">
              <w:rPr>
                <w:rFonts w:ascii="Times New Roman" w:hAnsi="Times New Roman" w:cs="Times New Roman"/>
                <w:b w:val="0"/>
              </w:rPr>
              <w:t>NvW</w:t>
            </w:r>
            <w:proofErr w:type="spellEnd"/>
            <w:r w:rsidR="00613732">
              <w:rPr>
                <w:rFonts w:ascii="Times New Roman" w:hAnsi="Times New Roman" w:cs="Times New Roman"/>
                <w:b w:val="0"/>
              </w:rPr>
              <w:t xml:space="preserve"> d.d. </w:t>
            </w:r>
            <w:r w:rsidR="00DB2258">
              <w:rPr>
                <w:rFonts w:ascii="Times New Roman" w:hAnsi="Times New Roman" w:cs="Times New Roman"/>
                <w:b w:val="0"/>
              </w:rPr>
              <w:t>2</w:t>
            </w:r>
            <w:r w:rsidR="00C8489A">
              <w:rPr>
                <w:rFonts w:ascii="Times New Roman" w:hAnsi="Times New Roman" w:cs="Times New Roman"/>
                <w:b w:val="0"/>
              </w:rPr>
              <w:t xml:space="preserve"> decemb</w:t>
            </w:r>
            <w:bookmarkStart w:name="_GoBack" w:id="0"/>
            <w:bookmarkEnd w:id="0"/>
            <w:r w:rsidR="00741661">
              <w:rPr>
                <w:rFonts w:ascii="Times New Roman" w:hAnsi="Times New Roman" w:cs="Times New Roman"/>
                <w:b w:val="0"/>
              </w:rPr>
              <w:t>er</w:t>
            </w:r>
            <w:r w:rsidRPr="00613732" w:rsidR="00613732">
              <w:rPr>
                <w:rFonts w:ascii="Times New Roman" w:hAnsi="Times New Roman" w:cs="Times New Roman"/>
                <w:b w:val="0"/>
              </w:rPr>
              <w:t xml:space="preserve"> 2021</w:t>
            </w:r>
            <w:r w:rsidR="00613732">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F731B" w:rsidRDefault="001F731B">
            <w:pPr>
              <w:rPr>
                <w:rFonts w:ascii="Times New Roman" w:hAnsi="Times New Roman"/>
                <w:b/>
                <w:sz w:val="24"/>
              </w:rPr>
            </w:pPr>
            <w:r>
              <w:rPr>
                <w:rFonts w:ascii="Times New Roman" w:hAnsi="Times New Roman"/>
                <w:b/>
                <w:sz w:val="24"/>
              </w:rPr>
              <w:t>35 925 VI</w:t>
            </w:r>
            <w:r w:rsidR="00F13442">
              <w:rPr>
                <w:rFonts w:ascii="Times New Roman" w:hAnsi="Times New Roman"/>
                <w:b/>
                <w:sz w:val="24"/>
              </w:rPr>
              <w:t xml:space="preserve"> </w:t>
            </w:r>
            <w:r w:rsidRPr="00F13442" w:rsidR="00F13442">
              <w:rPr>
                <w:rFonts w:ascii="Times New Roman" w:hAnsi="Times New Roman"/>
                <w:b/>
                <w:sz w:val="24"/>
              </w:rPr>
              <w:fldChar w:fldCharType="begin"/>
            </w:r>
            <w:r w:rsidRPr="00F13442" w:rsidR="00F13442">
              <w:rPr>
                <w:rFonts w:ascii="Times New Roman" w:hAnsi="Times New Roman"/>
                <w:b/>
                <w:sz w:val="24"/>
              </w:rPr>
              <w:instrText xml:space="preserve"> =  \* MERGEFORMAT </w:instrText>
            </w:r>
            <w:r w:rsidRPr="00F13442" w:rsidR="00F13442">
              <w:rPr>
                <w:rFonts w:ascii="Times New Roman" w:hAnsi="Times New Roman"/>
                <w:b/>
                <w:sz w:val="24"/>
              </w:rPr>
              <w:fldChar w:fldCharType="end"/>
            </w:r>
          </w:p>
        </w:tc>
        <w:tc>
          <w:tcPr>
            <w:tcW w:w="6590" w:type="dxa"/>
            <w:tcBorders>
              <w:top w:val="nil"/>
              <w:left w:val="nil"/>
              <w:bottom w:val="nil"/>
              <w:right w:val="nil"/>
            </w:tcBorders>
          </w:tcPr>
          <w:p w:rsidRPr="001F731B" w:rsidR="002A727C" w:rsidP="000D5BC4" w:rsidRDefault="001F731B">
            <w:pPr>
              <w:rPr>
                <w:rFonts w:ascii="Times New Roman" w:hAnsi="Times New Roman"/>
                <w:b/>
              </w:rPr>
            </w:pPr>
            <w:r w:rsidRPr="001F731B">
              <w:rPr>
                <w:rFonts w:ascii="Times New Roman" w:hAnsi="Times New Roman"/>
                <w:b/>
                <w:sz w:val="24"/>
              </w:rPr>
              <w:t>Vaststelling van de begrotingsstaten van het Ministerie van Justitie en Veiligheid (VI)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0D00B8">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Wij Willem-Alexander, bij de gratie Gods, Koning der Nederlanden, Prins van Oranje-Nassau, enz. enz. enz.</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Allen, die deze zullen zien of horen lezen, saluut! doen te weten:</w:t>
      </w: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1</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De bij deze wet behorende departementale begrotingsstaat voor het jaar 2022 wordt vastgesteld.</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2</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 </w:t>
      </w:r>
      <w:r>
        <w:rPr>
          <w:rFonts w:ascii="Times New Roman" w:hAnsi="Times New Roman" w:eastAsia="Arial Unicode MS"/>
          <w:sz w:val="24"/>
        </w:rPr>
        <w:tab/>
      </w:r>
      <w:r w:rsidRPr="001F731B">
        <w:rPr>
          <w:rFonts w:ascii="Times New Roman" w:hAnsi="Times New Roman" w:eastAsia="Arial Unicode MS"/>
          <w:sz w:val="24"/>
        </w:rPr>
        <w:t xml:space="preserve">De bij deze wet behorende begrotingsstaat inzake de agentschappen Dienst Justitiële Inrichtingen (DJI), Centraal Justitieel Incasso Bureau (CJIB), Nederlands Forensisch Instituut (NFI), de Dienst </w:t>
      </w:r>
      <w:proofErr w:type="spellStart"/>
      <w:r w:rsidRPr="001F731B">
        <w:rPr>
          <w:rFonts w:ascii="Times New Roman" w:hAnsi="Times New Roman" w:eastAsia="Arial Unicode MS"/>
          <w:sz w:val="24"/>
        </w:rPr>
        <w:t>Justis</w:t>
      </w:r>
      <w:proofErr w:type="spellEnd"/>
      <w:r w:rsidRPr="001F731B">
        <w:rPr>
          <w:rFonts w:ascii="Times New Roman" w:hAnsi="Times New Roman" w:eastAsia="Arial Unicode MS"/>
          <w:sz w:val="24"/>
        </w:rPr>
        <w:t xml:space="preserve">, de Immigratie- en Naturalisatiedienst (IND), de </w:t>
      </w:r>
      <w:proofErr w:type="spellStart"/>
      <w:r w:rsidRPr="001F731B">
        <w:rPr>
          <w:rFonts w:ascii="Times New Roman" w:hAnsi="Times New Roman" w:eastAsia="Arial Unicode MS"/>
          <w:sz w:val="24"/>
        </w:rPr>
        <w:t>Justitiele</w:t>
      </w:r>
      <w:proofErr w:type="spellEnd"/>
      <w:r w:rsidRPr="001F731B">
        <w:rPr>
          <w:rFonts w:ascii="Times New Roman" w:hAnsi="Times New Roman" w:eastAsia="Arial Unicode MS"/>
          <w:sz w:val="24"/>
        </w:rPr>
        <w:t xml:space="preserve"> Informatiedienst (</w:t>
      </w:r>
      <w:proofErr w:type="spellStart"/>
      <w:r w:rsidRPr="001F731B">
        <w:rPr>
          <w:rFonts w:ascii="Times New Roman" w:hAnsi="Times New Roman" w:eastAsia="Arial Unicode MS"/>
          <w:sz w:val="24"/>
        </w:rPr>
        <w:t>Justid</w:t>
      </w:r>
      <w:proofErr w:type="spellEnd"/>
      <w:r w:rsidRPr="001F731B">
        <w:rPr>
          <w:rFonts w:ascii="Times New Roman" w:hAnsi="Times New Roman" w:eastAsia="Arial Unicode MS"/>
          <w:sz w:val="24"/>
        </w:rPr>
        <w:t>) en de Justitiële ICT organisatie van het Ministerie van Justitie en Veiligheid (VI) voor het jaar 2022 wordt vastgesteld.</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3</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Onder verwijzing naar artikel 4.1 van de Comptabiliteitswet 2016 jo. de artikelen 23 en 91 van de Wet op de rechterlijke organisatie is Onze Minister voor Rechtsbescherming niet verantwoordelijk voor de doelmatigheid van de bedrijfsvoering van de rechterlijke organisatie.</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4</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De vaststelling van de begrotingsstaten geschiedt in duizenden euro’s.</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5</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 xml:space="preserve">Deze wet treedt in werking met ingang van 1 januari van het onderhavige begrotingsjaar. Indien het Staatsblad waarin deze wet wordt geplaatst, wordt uitgegeven op of na deze datum </w:t>
      </w:r>
      <w:r w:rsidRPr="001F731B">
        <w:rPr>
          <w:rFonts w:ascii="Times New Roman" w:hAnsi="Times New Roman" w:eastAsia="Arial Unicode MS"/>
          <w:sz w:val="24"/>
        </w:rPr>
        <w:lastRenderedPageBreak/>
        <w:t>van 1 januari, treedt zij in werking met ingang van de dag na de datum van uitgifte van dat Staatsblad en werkt zij terug tot en met 1 januari.</w:t>
      </w:r>
    </w:p>
    <w:p w:rsidR="001F731B" w:rsidP="001F731B" w:rsidRDefault="001F731B">
      <w:pPr>
        <w:pStyle w:val="Geenafstand"/>
        <w:ind w:firstLine="284"/>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Pr="001F731B"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Gegeven</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Mede namens de Minister voor Rechtsbescherming,</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De Minister van Justitie en Veiligheid,</w:t>
      </w:r>
    </w:p>
    <w:p w:rsidR="00063043" w:rsidRDefault="00063043">
      <w:pPr>
        <w:rPr>
          <w:rFonts w:ascii="Times New Roman" w:hAnsi="Times New Roman"/>
          <w:sz w:val="24"/>
        </w:rPr>
      </w:pPr>
      <w:r>
        <w:rPr>
          <w:rFonts w:ascii="Times New Roman" w:hAnsi="Times New Roman"/>
          <w:sz w:val="24"/>
        </w:rPr>
        <w:br w:type="page"/>
      </w:r>
    </w:p>
    <w:p w:rsidR="00063043" w:rsidP="001F731B" w:rsidRDefault="00063043">
      <w:pPr>
        <w:pStyle w:val="Geenafstand"/>
        <w:rPr>
          <w:rFonts w:ascii="Times New Roman" w:hAnsi="Times New Roman"/>
          <w:sz w:val="24"/>
        </w:rPr>
        <w:sectPr w:rsidR="00063043"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980"/>
        <w:gridCol w:w="6256"/>
        <w:gridCol w:w="1999"/>
        <w:gridCol w:w="3036"/>
        <w:gridCol w:w="1731"/>
      </w:tblGrid>
      <w:tr w:rsidRPr="00063043" w:rsidR="00063043" w:rsidTr="001957E5">
        <w:trPr>
          <w:tblHeader/>
        </w:trPr>
        <w:tc>
          <w:tcPr>
            <w:tcW w:w="5000" w:type="pct"/>
            <w:gridSpan w:val="5"/>
            <w:shd w:val="clear" w:color="auto" w:fill="009EE0"/>
            <w:tcMar>
              <w:top w:w="22" w:type="dxa"/>
              <w:left w:w="113" w:type="dxa"/>
              <w:bottom w:w="22" w:type="dxa"/>
            </w:tcMar>
          </w:tcPr>
          <w:p w:rsidRPr="00063043" w:rsidR="00063043" w:rsidP="00BA7607" w:rsidRDefault="00967355">
            <w:pPr>
              <w:pStyle w:val="kio2-table-title"/>
              <w:rPr>
                <w:rFonts w:ascii="Times New Roman" w:hAnsi="Times New Roman" w:cs="Times New Roman"/>
                <w:sz w:val="20"/>
              </w:rPr>
            </w:pPr>
            <w:r w:rsidRPr="00607C72">
              <w:rPr>
                <w:rFonts w:ascii="Times New Roman" w:hAnsi="Times New Roman" w:cs="Times New Roman"/>
                <w:sz w:val="20"/>
              </w:rPr>
              <w:lastRenderedPageBreak/>
              <w:t>Tabel 1 Wijziging van de begrotingsstaat van het Ministerie van Justitie en Veiligheid (VI) voor het jaar 2022 (Vierde Nota van Wijziging) (bedragen x € 1.000)</w:t>
            </w:r>
          </w:p>
        </w:tc>
      </w:tr>
      <w:tr w:rsidRPr="00063043" w:rsidR="00063043" w:rsidTr="00DB2258">
        <w:trPr>
          <w:tblHeader/>
        </w:trPr>
        <w:tc>
          <w:tcPr>
            <w:tcW w:w="350" w:type="pct"/>
            <w:tcBorders>
              <w:top w:val="single" w:color="000000" w:sz="2" w:space="0"/>
              <w:bottom w:val="single" w:color="009EE0" w:sz="2" w:space="0"/>
            </w:tcBorders>
            <w:shd w:val="clear" w:color="auto" w:fill="auto"/>
            <w:tcMar>
              <w:top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Artikel</w:t>
            </w:r>
          </w:p>
        </w:tc>
        <w:tc>
          <w:tcPr>
            <w:tcW w:w="223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Omschrijving</w:t>
            </w:r>
          </w:p>
        </w:tc>
        <w:tc>
          <w:tcPr>
            <w:tcW w:w="714" w:type="pct"/>
            <w:tcBorders>
              <w:top w:val="single" w:color="000000" w:sz="2" w:space="0"/>
              <w:bottom w:val="single" w:color="009EE0" w:sz="2" w:space="0"/>
            </w:tcBorders>
            <w:shd w:val="clear" w:color="auto" w:fill="auto"/>
            <w:tcMar>
              <w:top w:w="28" w:type="dxa"/>
              <w:left w:w="28" w:type="dxa"/>
              <w:bottom w:w="28" w:type="dxa"/>
              <w:right w:w="28" w:type="dxa"/>
            </w:tcMar>
          </w:tcPr>
          <w:p w:rsidRPr="00063043" w:rsidR="00063043" w:rsidP="00BA7607" w:rsidRDefault="00063043">
            <w:pPr>
              <w:pStyle w:val="p-table"/>
              <w:rPr>
                <w:rFonts w:ascii="Times New Roman" w:hAnsi="Times New Roman" w:cs="Times New Roman"/>
                <w:color w:val="000000"/>
                <w:sz w:val="20"/>
              </w:rPr>
            </w:pPr>
          </w:p>
        </w:tc>
        <w:tc>
          <w:tcPr>
            <w:tcW w:w="108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Vastgestelde begroting</w:t>
            </w:r>
          </w:p>
        </w:tc>
        <w:tc>
          <w:tcPr>
            <w:tcW w:w="618" w:type="pct"/>
            <w:tcBorders>
              <w:top w:val="single" w:color="000000" w:sz="2" w:space="0"/>
              <w:bottom w:val="single" w:color="009EE0" w:sz="2" w:space="0"/>
            </w:tcBorders>
            <w:shd w:val="clear" w:color="auto" w:fill="auto"/>
            <w:tcMar>
              <w:top w:w="28" w:type="dxa"/>
              <w:left w:w="28" w:type="dxa"/>
              <w:bottom w:w="28" w:type="dxa"/>
              <w:right w:w="28" w:type="dxa"/>
            </w:tcMar>
          </w:tcPr>
          <w:p w:rsidRPr="00063043" w:rsidR="00063043" w:rsidP="00BA7607" w:rsidRDefault="00063043">
            <w:pPr>
              <w:pStyle w:val="p-table"/>
              <w:rPr>
                <w:rFonts w:ascii="Times New Roman" w:hAnsi="Times New Roman" w:cs="Times New Roman"/>
                <w:color w:val="000000"/>
                <w:sz w:val="20"/>
              </w:rPr>
            </w:pPr>
          </w:p>
        </w:tc>
      </w:tr>
      <w:tr w:rsidRPr="00063043" w:rsidR="00063043" w:rsidTr="00DB2258">
        <w:tc>
          <w:tcPr>
            <w:tcW w:w="350" w:type="pct"/>
            <w:tcBorders>
              <w:bottom w:val="single" w:color="009EE0" w:sz="2" w:space="0"/>
            </w:tcBorders>
            <w:shd w:val="clear" w:color="auto" w:fill="auto"/>
            <w:tcMar>
              <w:top w:w="22"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Verplichtingen</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063043" w:rsidR="00063043" w:rsidP="001957E5" w:rsidRDefault="00063043">
            <w:pPr>
              <w:pStyle w:val="p-table"/>
              <w:jc w:val="right"/>
              <w:rPr>
                <w:rFonts w:ascii="Times New Roman" w:hAnsi="Times New Roman" w:cs="Times New Roman"/>
                <w:sz w:val="20"/>
              </w:rPr>
            </w:pPr>
            <w:r w:rsidRPr="00063043">
              <w:rPr>
                <w:rFonts w:ascii="Times New Roman" w:hAnsi="Times New Roman" w:cs="Times New Roman"/>
                <w:sz w:val="20"/>
              </w:rPr>
              <w:t>Uitgaven</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063043" w:rsidR="00063043" w:rsidP="001957E5" w:rsidRDefault="00063043">
            <w:pPr>
              <w:pStyle w:val="p-table"/>
              <w:jc w:val="right"/>
              <w:rPr>
                <w:rFonts w:ascii="Times New Roman" w:hAnsi="Times New Roman" w:cs="Times New Roman"/>
                <w:sz w:val="20"/>
              </w:rPr>
            </w:pPr>
            <w:r w:rsidRPr="00063043">
              <w:rPr>
                <w:rFonts w:ascii="Times New Roman" w:hAnsi="Times New Roman" w:cs="Times New Roman"/>
                <w:sz w:val="20"/>
              </w:rPr>
              <w:t>Ontvangsten</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Totaal</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15.697.219</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15.723.646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1.570.467</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EA706E" w:rsidR="00967355" w:rsidP="00967355" w:rsidRDefault="00967355">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Beleidsartikelen</w:t>
            </w: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31</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Politie</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6.676.221</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6.697.317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32</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Rechtspleging en rechtsbijstand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1.871.734</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1.871.734</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198.130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33</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Veiligheid en criminaliteitsbestrijding</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1.466.556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1.470.556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1.280.049</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34</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Straffen en Beschermen</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3.251.466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3.251.466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82.382</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36</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Contraterrorisme en nationaal veiligheidsbeleid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525.752</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525.752</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2.000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37</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Migratie</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1.203.364</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1.203.364</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3.000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EA706E" w:rsidR="00967355" w:rsidP="00967355" w:rsidRDefault="00967355">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Niet-beleidsartikelen</w:t>
            </w: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91</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Apparaat Kerndepartement</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461.196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462.527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4.406</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92</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Nog onverdeeld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237.817</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237.817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93</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Geheim</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3.113</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3.113</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0</w:t>
            </w:r>
          </w:p>
        </w:tc>
      </w:tr>
    </w:tbl>
    <w:p w:rsidR="00063043" w:rsidRDefault="00063043">
      <w:pPr>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7037"/>
        <w:gridCol w:w="1140"/>
        <w:gridCol w:w="2694"/>
        <w:gridCol w:w="3131"/>
      </w:tblGrid>
      <w:tr w:rsidRPr="00063043" w:rsidR="00063043" w:rsidTr="00063043">
        <w:trPr>
          <w:tblHeader/>
        </w:trPr>
        <w:tc>
          <w:tcPr>
            <w:tcW w:w="5000" w:type="pct"/>
            <w:gridSpan w:val="4"/>
            <w:shd w:val="clear" w:color="auto" w:fill="009EE0"/>
            <w:tcMar>
              <w:top w:w="22" w:type="dxa"/>
              <w:left w:w="113" w:type="dxa"/>
              <w:bottom w:w="22" w:type="dxa"/>
            </w:tcMar>
          </w:tcPr>
          <w:p w:rsidRPr="00063043" w:rsidR="00063043" w:rsidP="00BA7607" w:rsidRDefault="00063043">
            <w:pPr>
              <w:pStyle w:val="kio2-table-title"/>
              <w:rPr>
                <w:rFonts w:ascii="Times New Roman" w:hAnsi="Times New Roman" w:cs="Times New Roman"/>
                <w:sz w:val="20"/>
              </w:rPr>
            </w:pPr>
            <w:r w:rsidRPr="00063043">
              <w:rPr>
                <w:rFonts w:ascii="Times New Roman" w:hAnsi="Times New Roman" w:cs="Times New Roman"/>
                <w:sz w:val="20"/>
              </w:rPr>
              <w:lastRenderedPageBreak/>
              <w:t>Vastgestelde begrotingsstaat inzake de baten-lastenagentschappen voor het jaar 2022 (bedragen x € 1.000)</w:t>
            </w:r>
          </w:p>
        </w:tc>
      </w:tr>
      <w:tr w:rsidRPr="00063043" w:rsidR="00063043" w:rsidTr="00063043">
        <w:trPr>
          <w:tblHeader/>
        </w:trPr>
        <w:tc>
          <w:tcPr>
            <w:tcW w:w="2513" w:type="pct"/>
            <w:tcBorders>
              <w:top w:val="single" w:color="000000" w:sz="2" w:space="0"/>
              <w:bottom w:val="single" w:color="009EE0" w:sz="2" w:space="0"/>
            </w:tcBorders>
            <w:shd w:val="clear" w:color="auto" w:fill="auto"/>
            <w:tcMar>
              <w:top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Naam baten-lastenagentschap</w:t>
            </w:r>
          </w:p>
        </w:tc>
        <w:tc>
          <w:tcPr>
            <w:tcW w:w="40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Baten</w:t>
            </w:r>
          </w:p>
        </w:tc>
        <w:tc>
          <w:tcPr>
            <w:tcW w:w="96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Lasten</w:t>
            </w:r>
          </w:p>
        </w:tc>
        <w:tc>
          <w:tcPr>
            <w:tcW w:w="111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Saldo</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Dienst Justitiële Inrichtingen (DJI)</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2.650.221</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2.650.221</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Immigratie- en Naturalisatiedienst (IND)</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532.144</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532.144</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Centraal Justitieel Incassobureau (CJIB)</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157.125</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157.125</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Nederlands Forensisch Instituut (NFI)</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88.049</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88.049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Uitvoeringsdienst, Toetsing, Integriteit, Screening (</w:t>
            </w:r>
            <w:proofErr w:type="spellStart"/>
            <w:r w:rsidRPr="00063043">
              <w:rPr>
                <w:rFonts w:ascii="Times New Roman" w:hAnsi="Times New Roman" w:cs="Times New Roman"/>
                <w:sz w:val="20"/>
              </w:rPr>
              <w:t>Justis</w:t>
            </w:r>
            <w:proofErr w:type="spellEnd"/>
            <w:r w:rsidRPr="00063043">
              <w:rPr>
                <w:rFonts w:ascii="Times New Roman" w:hAnsi="Times New Roman" w:cs="Times New Roman"/>
                <w:sz w:val="20"/>
              </w:rPr>
              <w:t>)</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53.953</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52.109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1.844</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Informatiedienst (</w:t>
            </w:r>
            <w:proofErr w:type="spellStart"/>
            <w:r w:rsidRPr="00063043">
              <w:rPr>
                <w:rFonts w:ascii="Times New Roman" w:hAnsi="Times New Roman" w:cs="Times New Roman"/>
                <w:sz w:val="20"/>
              </w:rPr>
              <w:t>Justid</w:t>
            </w:r>
            <w:proofErr w:type="spellEnd"/>
            <w:r w:rsidRPr="00063043">
              <w:rPr>
                <w:rFonts w:ascii="Times New Roman" w:hAnsi="Times New Roman" w:cs="Times New Roman"/>
                <w:sz w:val="20"/>
              </w:rPr>
              <w:t>)</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61.236</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60.999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237</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ICT organisatie (JIO)</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145.376</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145.376</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Totaal</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3.688.104</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3.686.023</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2.081</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1118"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Naam baten-lastenagentschap</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Totaal kapitaaluitgaven</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Totaal kapitaalontvangsten</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Dienst Justitiële Inrichtingen (DJI)</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15.000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39.000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Immigratie- en Naturalisatiedienst (IND)</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7.810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810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Centraal Justitieel Incassobureau (CJIB)</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10.806</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6.365</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Nederlands Forensisch Instituut (NFI)</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8.667</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4.900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Uitvoeringsdienst, Toetsing, Integriteit, Screening (</w:t>
            </w:r>
            <w:proofErr w:type="spellStart"/>
            <w:r w:rsidRPr="00063043">
              <w:rPr>
                <w:rFonts w:ascii="Times New Roman" w:hAnsi="Times New Roman" w:cs="Times New Roman"/>
                <w:sz w:val="20"/>
              </w:rPr>
              <w:t>Justis</w:t>
            </w:r>
            <w:proofErr w:type="spellEnd"/>
            <w:r w:rsidRPr="00063043">
              <w:rPr>
                <w:rFonts w:ascii="Times New Roman" w:hAnsi="Times New Roman" w:cs="Times New Roman"/>
                <w:sz w:val="20"/>
              </w:rPr>
              <w:t>)</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Informatiedienst (</w:t>
            </w:r>
            <w:proofErr w:type="spellStart"/>
            <w:r w:rsidRPr="00063043">
              <w:rPr>
                <w:rFonts w:ascii="Times New Roman" w:hAnsi="Times New Roman" w:cs="Times New Roman"/>
                <w:sz w:val="20"/>
              </w:rPr>
              <w:t>Justid</w:t>
            </w:r>
            <w:proofErr w:type="spellEnd"/>
            <w:r w:rsidRPr="00063043">
              <w:rPr>
                <w:rFonts w:ascii="Times New Roman" w:hAnsi="Times New Roman" w:cs="Times New Roman"/>
                <w:sz w:val="20"/>
              </w:rPr>
              <w:t>)</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5.000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4.000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ICT organisatie (JIO)</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76.794</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63.372</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Totaal</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124.077</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118.447</w:t>
            </w:r>
          </w:p>
        </w:tc>
      </w:tr>
    </w:tbl>
    <w:p w:rsidRPr="001F731B" w:rsidR="00063043" w:rsidP="001F731B" w:rsidRDefault="00063043">
      <w:pPr>
        <w:pStyle w:val="Geenafstand"/>
        <w:rPr>
          <w:rFonts w:ascii="Times New Roman" w:hAnsi="Times New Roman"/>
          <w:sz w:val="24"/>
        </w:rPr>
      </w:pPr>
    </w:p>
    <w:sectPr w:rsidRPr="001F731B" w:rsidR="00063043" w:rsidSect="00063043">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31B" w:rsidRDefault="001F731B">
      <w:pPr>
        <w:spacing w:line="20" w:lineRule="exact"/>
      </w:pPr>
    </w:p>
  </w:endnote>
  <w:endnote w:type="continuationSeparator" w:id="0">
    <w:p w:rsidR="001F731B" w:rsidRDefault="001F731B">
      <w:pPr>
        <w:pStyle w:val="Amendement"/>
      </w:pPr>
      <w:r>
        <w:rPr>
          <w:b w:val="0"/>
          <w:bCs w:val="0"/>
        </w:rPr>
        <w:t xml:space="preserve"> </w:t>
      </w:r>
    </w:p>
  </w:endnote>
  <w:endnote w:type="continuationNotice" w:id="1">
    <w:p w:rsidR="001F731B" w:rsidRDefault="001F73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489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31B" w:rsidRDefault="001F731B">
      <w:pPr>
        <w:pStyle w:val="Amendement"/>
      </w:pPr>
      <w:r>
        <w:rPr>
          <w:b w:val="0"/>
          <w:bCs w:val="0"/>
        </w:rPr>
        <w:separator/>
      </w:r>
    </w:p>
  </w:footnote>
  <w:footnote w:type="continuationSeparator" w:id="0">
    <w:p w:rsidR="001F731B" w:rsidRDefault="001F7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1B"/>
    <w:rsid w:val="00012DBE"/>
    <w:rsid w:val="00063043"/>
    <w:rsid w:val="000A1D81"/>
    <w:rsid w:val="000D00B8"/>
    <w:rsid w:val="00111ED3"/>
    <w:rsid w:val="001957E5"/>
    <w:rsid w:val="001C190E"/>
    <w:rsid w:val="001F731B"/>
    <w:rsid w:val="002168F4"/>
    <w:rsid w:val="002A727C"/>
    <w:rsid w:val="002E1DCD"/>
    <w:rsid w:val="003B6426"/>
    <w:rsid w:val="005473FF"/>
    <w:rsid w:val="005D2707"/>
    <w:rsid w:val="00606255"/>
    <w:rsid w:val="00613732"/>
    <w:rsid w:val="006B607A"/>
    <w:rsid w:val="00741661"/>
    <w:rsid w:val="007D451C"/>
    <w:rsid w:val="00826224"/>
    <w:rsid w:val="00902471"/>
    <w:rsid w:val="00930A23"/>
    <w:rsid w:val="00967355"/>
    <w:rsid w:val="009C7354"/>
    <w:rsid w:val="009E6D7F"/>
    <w:rsid w:val="00A11E73"/>
    <w:rsid w:val="00A2521E"/>
    <w:rsid w:val="00AE436A"/>
    <w:rsid w:val="00C135B1"/>
    <w:rsid w:val="00C71E15"/>
    <w:rsid w:val="00C8489A"/>
    <w:rsid w:val="00C92DF8"/>
    <w:rsid w:val="00CB3578"/>
    <w:rsid w:val="00D20AFA"/>
    <w:rsid w:val="00D55648"/>
    <w:rsid w:val="00DB225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2360E"/>
  <w15:docId w15:val="{1D78EB66-E9A8-4C46-BAB1-5D56EB31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F731B"/>
    <w:rPr>
      <w:rFonts w:ascii="Verdana" w:hAnsi="Verdana"/>
      <w:szCs w:val="24"/>
    </w:rPr>
  </w:style>
  <w:style w:type="paragraph" w:customStyle="1" w:styleId="p-table">
    <w:name w:val="p-table"/>
    <w:rsid w:val="000630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304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2E1DCD"/>
    <w:rPr>
      <w:rFonts w:ascii="Segoe UI" w:hAnsi="Segoe UI" w:cs="Segoe UI"/>
      <w:sz w:val="18"/>
      <w:szCs w:val="18"/>
    </w:rPr>
  </w:style>
  <w:style w:type="character" w:customStyle="1" w:styleId="BallontekstChar">
    <w:name w:val="Ballontekst Char"/>
    <w:basedOn w:val="Standaardalinea-lettertype"/>
    <w:link w:val="Ballontekst"/>
    <w:semiHidden/>
    <w:rsid w:val="002E1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581</ap:Words>
  <ap:Characters>3788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2021-11-08T11:25:00.0000000Z</dcterms:created>
  <dcterms:modified xsi:type="dcterms:W3CDTF">2021-12-02T13:31:00.0000000Z</dcterms:modified>
  <dc:description>------------------------</dc:description>
  <dc:subject/>
  <keywords/>
  <version/>
  <category/>
</coreProperties>
</file>