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6A31F0" w:rsidR="00D144C0" w:rsidP="006A31F0" w:rsidRDefault="00D144C0" w14:paraId="27119FD0" w14:textId="5C7FC4AE">
      <w:pPr>
        <w:spacing w:line="360" w:lineRule="auto"/>
        <w:rPr>
          <w:rFonts w:ascii="Verdana" w:hAnsi="Verdana"/>
          <w:b/>
          <w:lang w:val="nl-NL"/>
        </w:rPr>
      </w:pPr>
      <w:bookmarkStart w:name="_GoBack" w:id="0"/>
      <w:bookmarkEnd w:id="0"/>
      <w:r w:rsidRPr="006A31F0">
        <w:rPr>
          <w:rFonts w:ascii="Verdana" w:hAnsi="Verdana" w:cs="Arial"/>
          <w:b/>
          <w:lang w:val="nl-NL" w:bidi="nl-NL"/>
        </w:rPr>
        <w:t xml:space="preserve">Protocol tot wijziging van het Verdrag van 12 april 2012 tussen het Koninkrijk der Nederlanden en de Bondsrepubliek Duitsland tot het vermijden van dubbele belasting en het voorkomen van het ontgaan van belasting met betrekking tot belastingen naar het inkomen zoals gewijzigd door het Protocol van 11 januari 2016; </w:t>
      </w:r>
      <w:r w:rsidR="00D44163">
        <w:rPr>
          <w:rFonts w:ascii="Verdana" w:hAnsi="Verdana" w:cs="Arial"/>
          <w:b/>
          <w:lang w:val="nl-NL" w:bidi="nl-NL"/>
        </w:rPr>
        <w:t>‘s-Gravenhage</w:t>
      </w:r>
      <w:r w:rsidRPr="006A31F0">
        <w:rPr>
          <w:rFonts w:ascii="Verdana" w:hAnsi="Verdana" w:cs="Arial"/>
          <w:b/>
          <w:lang w:val="nl-NL" w:bidi="nl-NL"/>
        </w:rPr>
        <w:t xml:space="preserve">, </w:t>
      </w:r>
      <w:r w:rsidR="00D44163">
        <w:rPr>
          <w:rFonts w:ascii="Verdana" w:hAnsi="Verdana" w:cs="Arial"/>
          <w:b/>
          <w:lang w:val="nl-NL" w:bidi="nl-NL"/>
        </w:rPr>
        <w:t>24 maart 2021</w:t>
      </w:r>
      <w:r w:rsidRPr="006A31F0">
        <w:rPr>
          <w:rFonts w:ascii="Verdana" w:hAnsi="Verdana" w:cs="Arial"/>
          <w:b/>
          <w:lang w:val="nl-NL" w:bidi="nl-NL"/>
        </w:rPr>
        <w:t xml:space="preserve"> </w:t>
      </w:r>
      <w:r w:rsidRPr="006A31F0">
        <w:rPr>
          <w:rFonts w:ascii="Verdana" w:hAnsi="Verdana"/>
          <w:b/>
          <w:lang w:val="nl-NL"/>
        </w:rPr>
        <w:t>(</w:t>
      </w:r>
      <w:proofErr w:type="spellStart"/>
      <w:r w:rsidRPr="00D44163">
        <w:rPr>
          <w:rFonts w:ascii="Verdana" w:hAnsi="Verdana"/>
          <w:b/>
          <w:i/>
          <w:lang w:val="nl-NL"/>
        </w:rPr>
        <w:t>Trb</w:t>
      </w:r>
      <w:proofErr w:type="spellEnd"/>
      <w:r w:rsidRPr="00D44163">
        <w:rPr>
          <w:rFonts w:ascii="Verdana" w:hAnsi="Verdana"/>
          <w:b/>
          <w:lang w:val="nl-NL"/>
        </w:rPr>
        <w:t xml:space="preserve">. </w:t>
      </w:r>
      <w:r w:rsidRPr="00D44163" w:rsidR="00B34988">
        <w:rPr>
          <w:rFonts w:ascii="Verdana" w:hAnsi="Verdana"/>
          <w:b/>
          <w:lang w:val="nl-NL"/>
        </w:rPr>
        <w:t>202</w:t>
      </w:r>
      <w:r w:rsidRPr="00D44163" w:rsidR="00D44163">
        <w:rPr>
          <w:rFonts w:ascii="Verdana" w:hAnsi="Verdana"/>
          <w:b/>
          <w:lang w:val="nl-NL"/>
        </w:rPr>
        <w:t>1</w:t>
      </w:r>
      <w:r w:rsidRPr="00D44163">
        <w:rPr>
          <w:rFonts w:ascii="Verdana" w:hAnsi="Verdana"/>
          <w:b/>
          <w:lang w:val="nl-NL"/>
        </w:rPr>
        <w:t xml:space="preserve">, </w:t>
      </w:r>
      <w:r w:rsidRPr="00D44163" w:rsidR="00D44163">
        <w:rPr>
          <w:rFonts w:ascii="Verdana" w:hAnsi="Verdana"/>
          <w:b/>
          <w:lang w:val="nl-NL"/>
        </w:rPr>
        <w:t>43</w:t>
      </w:r>
      <w:r w:rsidRPr="00D44163">
        <w:rPr>
          <w:rFonts w:ascii="Verdana" w:hAnsi="Verdana"/>
          <w:b/>
          <w:lang w:val="nl-NL"/>
        </w:rPr>
        <w:t>)</w:t>
      </w:r>
    </w:p>
    <w:p w:rsidRPr="006A31F0" w:rsidR="00D144C0" w:rsidP="006A31F0" w:rsidRDefault="00D144C0" w14:paraId="6A2CBCDC" w14:textId="77777777">
      <w:pPr>
        <w:tabs>
          <w:tab w:val="center" w:pos="4033"/>
        </w:tabs>
        <w:suppressAutoHyphens/>
        <w:spacing w:line="360" w:lineRule="auto"/>
        <w:rPr>
          <w:rFonts w:ascii="Verdana" w:hAnsi="Verdana" w:cs="Arial"/>
          <w:b/>
          <w:lang w:val="nl-NL"/>
        </w:rPr>
      </w:pPr>
    </w:p>
    <w:p w:rsidRPr="006A31F0" w:rsidR="00D144C0" w:rsidP="006A31F0" w:rsidRDefault="00D144C0" w14:paraId="51563D01" w14:textId="77777777">
      <w:pPr>
        <w:tabs>
          <w:tab w:val="center" w:pos="4033"/>
        </w:tabs>
        <w:suppressAutoHyphens/>
        <w:spacing w:line="360" w:lineRule="auto"/>
        <w:rPr>
          <w:rFonts w:ascii="Verdana" w:hAnsi="Verdana" w:cs="Arial"/>
          <w:b/>
          <w:lang w:val="nl-NL"/>
        </w:rPr>
      </w:pPr>
      <w:r w:rsidRPr="006A31F0">
        <w:rPr>
          <w:rFonts w:ascii="Verdana" w:hAnsi="Verdana" w:cs="Arial"/>
          <w:b/>
          <w:lang w:val="nl-NL"/>
        </w:rPr>
        <w:t>TOELICHTENDE NOTA</w:t>
      </w:r>
    </w:p>
    <w:p w:rsidRPr="006A31F0" w:rsidR="00D144C0" w:rsidP="006A31F0" w:rsidRDefault="00D144C0" w14:paraId="746F3D94"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lang w:val="nl-NL"/>
        </w:rPr>
      </w:pPr>
    </w:p>
    <w:p w:rsidRPr="006A31F0" w:rsidR="00D144C0" w:rsidP="006A31F0" w:rsidRDefault="00D144C0" w14:paraId="6A9A5E62"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lang w:val="nl-NL"/>
        </w:rPr>
      </w:pPr>
      <w:r w:rsidRPr="006A31F0">
        <w:rPr>
          <w:rFonts w:ascii="Verdana" w:hAnsi="Verdana" w:cs="Arial"/>
          <w:b/>
          <w:lang w:val="nl-NL"/>
        </w:rPr>
        <w:t>I. ALGEMEEN</w:t>
      </w:r>
    </w:p>
    <w:p w:rsidRPr="006A31F0" w:rsidR="00D144C0" w:rsidP="006A31F0" w:rsidRDefault="00D144C0" w14:paraId="3F23CD1D"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rPr>
      </w:pPr>
    </w:p>
    <w:p w:rsidRPr="006A31F0" w:rsidR="00D144C0" w:rsidP="006A31F0" w:rsidRDefault="00D144C0" w14:paraId="5B80A082"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r w:rsidRPr="006A31F0">
        <w:rPr>
          <w:rFonts w:ascii="Verdana" w:hAnsi="Verdana" w:cs="Arial"/>
          <w:b/>
          <w:i/>
          <w:lang w:val="nl-NL"/>
        </w:rPr>
        <w:t xml:space="preserve">I.1. Inleiding </w:t>
      </w:r>
    </w:p>
    <w:p w:rsidRPr="006A31F0" w:rsidR="00062B66" w:rsidP="006A31F0" w:rsidRDefault="00062B66" w14:paraId="709A864C" w14:textId="27D02CF4">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b/>
          <w:lang w:val="nl-NL"/>
        </w:rPr>
        <w:tab/>
      </w:r>
      <w:r w:rsidRPr="006A31F0">
        <w:rPr>
          <w:rFonts w:ascii="Verdana" w:hAnsi="Verdana" w:cs="Arial"/>
          <w:lang w:val="nl-NL"/>
        </w:rPr>
        <w:t xml:space="preserve">Met </w:t>
      </w:r>
      <w:r w:rsidRPr="00D44163">
        <w:rPr>
          <w:rFonts w:ascii="Verdana" w:hAnsi="Verdana" w:cs="Arial"/>
          <w:lang w:val="nl-NL"/>
        </w:rPr>
        <w:t xml:space="preserve">het onderhavige </w:t>
      </w:r>
      <w:r w:rsidRPr="00D44163" w:rsidR="00A00176">
        <w:rPr>
          <w:rFonts w:ascii="Verdana" w:hAnsi="Verdana" w:cs="Arial"/>
          <w:lang w:val="nl-NL"/>
        </w:rPr>
        <w:t xml:space="preserve">op </w:t>
      </w:r>
      <w:r w:rsidRPr="00D44163" w:rsidR="00D44163">
        <w:rPr>
          <w:rFonts w:ascii="Verdana" w:hAnsi="Verdana" w:cs="Arial"/>
          <w:lang w:val="nl-NL"/>
        </w:rPr>
        <w:t xml:space="preserve">24 maart 2021 </w:t>
      </w:r>
      <w:r w:rsidRPr="00D44163" w:rsidR="00A00176">
        <w:rPr>
          <w:rFonts w:ascii="Verdana" w:hAnsi="Verdana" w:cs="Arial"/>
          <w:lang w:val="nl-NL"/>
        </w:rPr>
        <w:t>te</w:t>
      </w:r>
      <w:r w:rsidRPr="00D44163" w:rsidR="00D44163">
        <w:rPr>
          <w:rFonts w:ascii="Verdana" w:hAnsi="Verdana" w:cs="Arial"/>
          <w:lang w:val="nl-NL"/>
        </w:rPr>
        <w:t xml:space="preserve"> ‘s-Gravenhave</w:t>
      </w:r>
      <w:r w:rsidRPr="00D44163" w:rsidR="00A00176">
        <w:rPr>
          <w:rFonts w:ascii="Verdana" w:hAnsi="Verdana" w:cs="Arial"/>
          <w:lang w:val="nl-NL"/>
        </w:rPr>
        <w:t xml:space="preserve"> ondertekende </w:t>
      </w:r>
      <w:r w:rsidRPr="00D44163">
        <w:rPr>
          <w:rFonts w:ascii="Verdana" w:hAnsi="Verdana" w:cs="Arial"/>
          <w:lang w:val="nl-NL"/>
        </w:rPr>
        <w:t>Protocol (</w:t>
      </w:r>
      <w:proofErr w:type="spellStart"/>
      <w:r w:rsidRPr="00D44163">
        <w:rPr>
          <w:rFonts w:ascii="Verdana" w:hAnsi="Verdana" w:cs="Arial"/>
          <w:i/>
          <w:lang w:val="nl-NL"/>
        </w:rPr>
        <w:t>Trb</w:t>
      </w:r>
      <w:proofErr w:type="spellEnd"/>
      <w:r w:rsidRPr="00D44163">
        <w:rPr>
          <w:rFonts w:ascii="Verdana" w:hAnsi="Verdana" w:cs="Arial"/>
          <w:lang w:val="nl-NL"/>
        </w:rPr>
        <w:t xml:space="preserve">. </w:t>
      </w:r>
      <w:r w:rsidRPr="00D44163" w:rsidR="00B34988">
        <w:rPr>
          <w:rFonts w:ascii="Verdana" w:hAnsi="Verdana" w:cs="Arial"/>
          <w:lang w:val="nl-NL"/>
        </w:rPr>
        <w:t>202</w:t>
      </w:r>
      <w:r w:rsidRPr="00D44163" w:rsidR="00D44163">
        <w:rPr>
          <w:rFonts w:ascii="Verdana" w:hAnsi="Verdana" w:cs="Arial"/>
          <w:lang w:val="nl-NL"/>
        </w:rPr>
        <w:t>1</w:t>
      </w:r>
      <w:r w:rsidRPr="00D44163">
        <w:rPr>
          <w:rFonts w:ascii="Verdana" w:hAnsi="Verdana" w:cs="Arial"/>
          <w:lang w:val="nl-NL"/>
        </w:rPr>
        <w:t xml:space="preserve">, </w:t>
      </w:r>
      <w:r w:rsidRPr="00D44163" w:rsidR="00D44163">
        <w:rPr>
          <w:rFonts w:ascii="Verdana" w:hAnsi="Verdana" w:cs="Arial"/>
          <w:lang w:val="nl-NL"/>
        </w:rPr>
        <w:t>43</w:t>
      </w:r>
      <w:r w:rsidRPr="00D44163">
        <w:rPr>
          <w:rFonts w:ascii="Verdana" w:hAnsi="Verdana" w:cs="Arial"/>
          <w:lang w:val="nl-NL"/>
        </w:rPr>
        <w:t>, hierna</w:t>
      </w:r>
      <w:r w:rsidRPr="006A31F0">
        <w:rPr>
          <w:rFonts w:ascii="Verdana" w:hAnsi="Verdana" w:cs="Arial"/>
          <w:lang w:val="nl-NL"/>
        </w:rPr>
        <w:t xml:space="preserve"> aangeduid als: </w:t>
      </w:r>
      <w:r w:rsidRPr="006A31F0" w:rsidR="004737F1">
        <w:rPr>
          <w:rFonts w:ascii="Verdana" w:hAnsi="Verdana" w:cs="Arial"/>
          <w:lang w:val="nl-NL"/>
        </w:rPr>
        <w:t>‘het Wijzigingsprotocol’</w:t>
      </w:r>
      <w:r w:rsidRPr="006A31F0">
        <w:rPr>
          <w:rFonts w:ascii="Verdana" w:hAnsi="Verdana" w:cs="Arial"/>
          <w:lang w:val="nl-NL"/>
        </w:rPr>
        <w:t xml:space="preserve">) worden enkele wijzigingen aangebracht in het op 12 april 2012 </w:t>
      </w:r>
      <w:r w:rsidR="006919B4">
        <w:rPr>
          <w:rFonts w:ascii="Verdana" w:hAnsi="Verdana" w:cs="Arial"/>
          <w:lang w:val="nl-NL"/>
        </w:rPr>
        <w:t>te</w:t>
      </w:r>
      <w:r w:rsidRPr="006A31F0" w:rsidR="006919B4">
        <w:rPr>
          <w:rFonts w:ascii="Verdana" w:hAnsi="Verdana" w:cs="Arial"/>
          <w:lang w:val="nl-NL"/>
        </w:rPr>
        <w:t xml:space="preserve"> </w:t>
      </w:r>
      <w:r w:rsidRPr="006A31F0">
        <w:rPr>
          <w:rFonts w:ascii="Verdana" w:hAnsi="Verdana" w:cs="Arial"/>
          <w:lang w:val="nl-NL"/>
        </w:rPr>
        <w:t>Berlijn tot stand gekomen Verdrag tussen het Koninkrijk der Nederlanden en de Bondsrepubliek Duitsland tot het vermijden van dubbele belasting en het voorkomen van het ontgaan van belasting met betrekking tot belastingen naar het inkomen</w:t>
      </w:r>
      <w:r w:rsidRPr="006A31F0" w:rsidR="00FF1AF1">
        <w:rPr>
          <w:rFonts w:ascii="Verdana" w:hAnsi="Verdana" w:cs="Arial"/>
          <w:lang w:val="nl-NL"/>
        </w:rPr>
        <w:t xml:space="preserve">, met Protocol </w:t>
      </w:r>
      <w:r w:rsidRPr="006A31F0">
        <w:rPr>
          <w:rFonts w:ascii="Verdana" w:hAnsi="Verdana" w:cs="Arial"/>
          <w:lang w:val="nl-NL"/>
        </w:rPr>
        <w:t>(</w:t>
      </w:r>
      <w:proofErr w:type="spellStart"/>
      <w:r w:rsidRPr="00856EE3">
        <w:rPr>
          <w:rFonts w:ascii="Verdana" w:hAnsi="Verdana" w:cs="Arial"/>
          <w:i/>
          <w:lang w:val="nl-NL"/>
        </w:rPr>
        <w:t>Trb</w:t>
      </w:r>
      <w:proofErr w:type="spellEnd"/>
      <w:r w:rsidRPr="006A31F0">
        <w:rPr>
          <w:rFonts w:ascii="Verdana" w:hAnsi="Verdana" w:cs="Arial"/>
          <w:lang w:val="nl-NL"/>
        </w:rPr>
        <w:t xml:space="preserve">. 2012, 123, hierna aangeduid als: </w:t>
      </w:r>
      <w:r w:rsidRPr="006A31F0" w:rsidR="004737F1">
        <w:rPr>
          <w:rFonts w:ascii="Verdana" w:hAnsi="Verdana" w:cs="Arial"/>
          <w:lang w:val="nl-NL"/>
        </w:rPr>
        <w:t>‘het Verdrag’</w:t>
      </w:r>
      <w:r w:rsidRPr="006A31F0" w:rsidR="003F4A27">
        <w:rPr>
          <w:rFonts w:ascii="Verdana" w:hAnsi="Verdana" w:cs="Arial"/>
          <w:lang w:val="nl-NL"/>
        </w:rPr>
        <w:t>,</w:t>
      </w:r>
      <w:r w:rsidRPr="006A31F0" w:rsidR="004737F1">
        <w:rPr>
          <w:rFonts w:ascii="Verdana" w:hAnsi="Verdana" w:cs="Arial"/>
          <w:lang w:val="nl-NL"/>
        </w:rPr>
        <w:t xml:space="preserve"> r</w:t>
      </w:r>
      <w:r w:rsidRPr="006A31F0" w:rsidR="00FF1AF1">
        <w:rPr>
          <w:rFonts w:ascii="Verdana" w:hAnsi="Verdana" w:cs="Arial"/>
          <w:lang w:val="nl-NL"/>
        </w:rPr>
        <w:t>espectievelijk</w:t>
      </w:r>
      <w:r w:rsidRPr="006A31F0" w:rsidR="004737F1">
        <w:rPr>
          <w:rFonts w:ascii="Verdana" w:hAnsi="Verdana" w:cs="Arial"/>
          <w:lang w:val="nl-NL"/>
        </w:rPr>
        <w:t xml:space="preserve"> ‘het Protocol bij het Verdrag’</w:t>
      </w:r>
      <w:r w:rsidRPr="006A31F0">
        <w:rPr>
          <w:rFonts w:ascii="Verdana" w:hAnsi="Verdana" w:cs="Arial"/>
          <w:lang w:val="nl-NL"/>
        </w:rPr>
        <w:t xml:space="preserve">) zoals gewijzigd </w:t>
      </w:r>
      <w:r w:rsidRPr="006A31F0" w:rsidR="00FF1AF1">
        <w:rPr>
          <w:rFonts w:ascii="Verdana" w:hAnsi="Verdana" w:cs="Arial"/>
          <w:lang w:val="nl-NL"/>
        </w:rPr>
        <w:t>op</w:t>
      </w:r>
      <w:r w:rsidRPr="006A31F0">
        <w:rPr>
          <w:rFonts w:ascii="Verdana" w:hAnsi="Verdana" w:cs="Arial"/>
          <w:lang w:val="nl-NL"/>
        </w:rPr>
        <w:t xml:space="preserve"> 16 februa</w:t>
      </w:r>
      <w:r w:rsidRPr="006A31F0" w:rsidR="00FF1AF1">
        <w:rPr>
          <w:rFonts w:ascii="Verdana" w:hAnsi="Verdana" w:cs="Arial"/>
          <w:lang w:val="nl-NL"/>
        </w:rPr>
        <w:t>ri 2016 (</w:t>
      </w:r>
      <w:proofErr w:type="spellStart"/>
      <w:r w:rsidRPr="00856EE3" w:rsidR="00FF1AF1">
        <w:rPr>
          <w:rFonts w:ascii="Verdana" w:hAnsi="Verdana" w:cs="Arial"/>
          <w:i/>
          <w:lang w:val="nl-NL"/>
        </w:rPr>
        <w:t>Trb</w:t>
      </w:r>
      <w:proofErr w:type="spellEnd"/>
      <w:r w:rsidRPr="006A31F0" w:rsidR="00FF1AF1">
        <w:rPr>
          <w:rFonts w:ascii="Verdana" w:hAnsi="Verdana" w:cs="Arial"/>
          <w:lang w:val="nl-NL"/>
        </w:rPr>
        <w:t>. 2016,</w:t>
      </w:r>
      <w:r w:rsidRPr="006A31F0" w:rsidR="008F56EE">
        <w:rPr>
          <w:rFonts w:ascii="Verdana" w:hAnsi="Verdana" w:cs="Arial"/>
          <w:lang w:val="nl-NL"/>
        </w:rPr>
        <w:t xml:space="preserve"> </w:t>
      </w:r>
      <w:r w:rsidRPr="006A31F0" w:rsidR="00FF1AF1">
        <w:rPr>
          <w:rFonts w:ascii="Verdana" w:hAnsi="Verdana" w:cs="Arial"/>
          <w:lang w:val="nl-NL"/>
        </w:rPr>
        <w:t>19).</w:t>
      </w:r>
    </w:p>
    <w:p w:rsidRPr="006A31F0" w:rsidR="000E7054" w:rsidP="006A31F0" w:rsidRDefault="00C2613C" w14:paraId="731F011A"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616C98">
        <w:rPr>
          <w:rFonts w:ascii="Verdana" w:hAnsi="Verdana" w:cs="Arial"/>
          <w:lang w:val="nl-NL"/>
        </w:rPr>
        <w:t xml:space="preserve">Het </w:t>
      </w:r>
      <w:r w:rsidRPr="006A31F0">
        <w:rPr>
          <w:rFonts w:ascii="Verdana" w:hAnsi="Verdana" w:cs="Arial"/>
          <w:lang w:val="nl-NL"/>
        </w:rPr>
        <w:t>onderhavige W</w:t>
      </w:r>
      <w:r w:rsidRPr="006A31F0" w:rsidR="00616C98">
        <w:rPr>
          <w:rFonts w:ascii="Verdana" w:hAnsi="Verdana" w:cs="Arial"/>
          <w:lang w:val="nl-NL"/>
        </w:rPr>
        <w:t>ijzigingsprotocol betreft</w:t>
      </w:r>
      <w:r w:rsidRPr="006A31F0" w:rsidR="00EE2908">
        <w:rPr>
          <w:rFonts w:ascii="Verdana" w:hAnsi="Verdana" w:cs="Arial"/>
          <w:lang w:val="nl-NL"/>
        </w:rPr>
        <w:t xml:space="preserve"> in het bijzonder een herziening van de toewijzing van het heffingsrecht ter zake van socialezekerheidsuitkeringen (artikel 17 van het Verdrag). Daarnaast </w:t>
      </w:r>
      <w:r w:rsidRPr="006A31F0" w:rsidR="00D32BBB">
        <w:rPr>
          <w:rFonts w:ascii="Verdana" w:hAnsi="Verdana" w:cs="Arial"/>
          <w:lang w:val="nl-NL"/>
        </w:rPr>
        <w:t>wordt met dit Wijzigingsprotocol het</w:t>
      </w:r>
      <w:r w:rsidRPr="006A31F0" w:rsidR="00EE2908">
        <w:rPr>
          <w:rFonts w:ascii="Verdana" w:hAnsi="Verdana" w:cs="Arial"/>
          <w:lang w:val="nl-NL"/>
        </w:rPr>
        <w:t xml:space="preserve"> Verdrag in lijn </w:t>
      </w:r>
      <w:r w:rsidRPr="006A31F0" w:rsidR="00D32BBB">
        <w:rPr>
          <w:rFonts w:ascii="Verdana" w:hAnsi="Verdana" w:cs="Arial"/>
          <w:lang w:val="nl-NL"/>
        </w:rPr>
        <w:t>gebracht</w:t>
      </w:r>
      <w:r w:rsidRPr="006A31F0" w:rsidR="00EE2908">
        <w:rPr>
          <w:rFonts w:ascii="Verdana" w:hAnsi="Verdana" w:cs="Arial"/>
          <w:lang w:val="nl-NL"/>
        </w:rPr>
        <w:t xml:space="preserve"> met </w:t>
      </w:r>
      <w:r w:rsidRPr="006A31F0" w:rsidR="000E7054">
        <w:rPr>
          <w:rFonts w:ascii="Verdana" w:hAnsi="Verdana" w:cs="Arial"/>
          <w:lang w:val="nl-NL"/>
        </w:rPr>
        <w:t>de door Nederland en Duitsl</w:t>
      </w:r>
      <w:r w:rsidRPr="006A31F0" w:rsidR="00EE2908">
        <w:rPr>
          <w:rFonts w:ascii="Verdana" w:hAnsi="Verdana" w:cs="Arial"/>
          <w:lang w:val="nl-NL"/>
        </w:rPr>
        <w:t>and gemaakte keuzes bij het op 24 november 2016 te Parijs tot stand gekomen Multilateraal Verdrag ter implementatie van aan belastingverdragen gerelateerde maatregelen ter voorkoming van grondslaguitholling en winstverschuiving (</w:t>
      </w:r>
      <w:proofErr w:type="spellStart"/>
      <w:r w:rsidRPr="00856EE3" w:rsidR="00EE2908">
        <w:rPr>
          <w:rFonts w:ascii="Verdana" w:hAnsi="Verdana" w:cs="Arial"/>
          <w:i/>
          <w:lang w:val="nl-NL"/>
        </w:rPr>
        <w:t>Trb</w:t>
      </w:r>
      <w:proofErr w:type="spellEnd"/>
      <w:r w:rsidRPr="006A31F0" w:rsidR="00EE2908">
        <w:rPr>
          <w:rFonts w:ascii="Verdana" w:hAnsi="Verdana" w:cs="Arial"/>
          <w:lang w:val="nl-NL"/>
        </w:rPr>
        <w:t xml:space="preserve">. 2017, 86) (hierna: </w:t>
      </w:r>
      <w:r w:rsidRPr="006A31F0" w:rsidR="004737F1">
        <w:rPr>
          <w:rFonts w:ascii="Verdana" w:hAnsi="Verdana" w:cs="Arial"/>
          <w:lang w:val="nl-NL"/>
        </w:rPr>
        <w:t>‘</w:t>
      </w:r>
      <w:r w:rsidRPr="006A31F0" w:rsidR="00EE2908">
        <w:rPr>
          <w:rFonts w:ascii="Verdana" w:hAnsi="Verdana" w:cs="Arial"/>
          <w:lang w:val="nl-NL"/>
        </w:rPr>
        <w:t>het MLI</w:t>
      </w:r>
      <w:r w:rsidRPr="006A31F0" w:rsidR="004737F1">
        <w:rPr>
          <w:rFonts w:ascii="Verdana" w:hAnsi="Verdana" w:cs="Arial"/>
          <w:lang w:val="nl-NL"/>
        </w:rPr>
        <w:t>’</w:t>
      </w:r>
      <w:r w:rsidRPr="006A31F0" w:rsidR="00EE2908">
        <w:rPr>
          <w:rFonts w:ascii="Verdana" w:hAnsi="Verdana" w:cs="Arial"/>
          <w:lang w:val="nl-NL"/>
        </w:rPr>
        <w:t>).</w:t>
      </w:r>
    </w:p>
    <w:p w:rsidRPr="006A31F0" w:rsidR="00EE2908" w:rsidP="006A31F0" w:rsidRDefault="00C2613C" w14:paraId="077A2714"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616C98">
        <w:rPr>
          <w:rFonts w:ascii="Verdana" w:hAnsi="Verdana" w:cs="Arial"/>
          <w:lang w:val="nl-NL"/>
        </w:rPr>
        <w:t xml:space="preserve">Tot slot </w:t>
      </w:r>
      <w:r w:rsidRPr="006A31F0" w:rsidR="00D32BBB">
        <w:rPr>
          <w:rFonts w:ascii="Verdana" w:hAnsi="Verdana" w:cs="Arial"/>
          <w:lang w:val="nl-NL"/>
        </w:rPr>
        <w:t>wordt het</w:t>
      </w:r>
      <w:r w:rsidRPr="006A31F0" w:rsidR="00616C98">
        <w:rPr>
          <w:rFonts w:ascii="Verdana" w:hAnsi="Verdana" w:cs="Arial"/>
          <w:lang w:val="nl-NL"/>
        </w:rPr>
        <w:t xml:space="preserve"> </w:t>
      </w:r>
      <w:r w:rsidRPr="006A31F0" w:rsidR="00EC7F3D">
        <w:rPr>
          <w:rFonts w:ascii="Verdana" w:hAnsi="Verdana" w:cs="Arial"/>
          <w:lang w:val="nl-NL"/>
        </w:rPr>
        <w:t xml:space="preserve">Protocol bij het Verdrag </w:t>
      </w:r>
      <w:r w:rsidRPr="006A31F0" w:rsidR="00D32BBB">
        <w:rPr>
          <w:rFonts w:ascii="Verdana" w:hAnsi="Verdana" w:cs="Arial"/>
          <w:lang w:val="nl-NL"/>
        </w:rPr>
        <w:t>gewijzigd</w:t>
      </w:r>
      <w:r w:rsidRPr="006A31F0" w:rsidR="005C4485">
        <w:rPr>
          <w:rFonts w:ascii="Verdana" w:hAnsi="Verdana" w:cs="Arial"/>
          <w:lang w:val="nl-NL"/>
        </w:rPr>
        <w:t xml:space="preserve"> teneinde onduidelijkheden</w:t>
      </w:r>
      <w:r w:rsidRPr="006A31F0" w:rsidR="00817FAD">
        <w:rPr>
          <w:rFonts w:ascii="Verdana" w:hAnsi="Verdana" w:cs="Arial"/>
          <w:lang w:val="nl-NL"/>
        </w:rPr>
        <w:t xml:space="preserve"> over de uitleg en toepassing van het Verdrag</w:t>
      </w:r>
      <w:r w:rsidRPr="006A31F0" w:rsidR="001B75AC">
        <w:rPr>
          <w:rFonts w:ascii="Verdana" w:hAnsi="Verdana" w:cs="Arial"/>
          <w:lang w:val="nl-NL"/>
        </w:rPr>
        <w:t xml:space="preserve"> </w:t>
      </w:r>
      <w:r w:rsidRPr="006A31F0" w:rsidR="005C4485">
        <w:rPr>
          <w:rFonts w:ascii="Verdana" w:hAnsi="Verdana" w:cs="Arial"/>
          <w:lang w:val="nl-NL"/>
        </w:rPr>
        <w:t>te voorkomen in verband met de</w:t>
      </w:r>
      <w:r w:rsidRPr="006A31F0" w:rsidR="00817FAD">
        <w:rPr>
          <w:rFonts w:ascii="Verdana" w:hAnsi="Verdana" w:cs="Arial"/>
          <w:lang w:val="nl-NL"/>
        </w:rPr>
        <w:t xml:space="preserve"> invoering van de</w:t>
      </w:r>
      <w:r w:rsidRPr="006A31F0" w:rsidR="005C4485">
        <w:rPr>
          <w:rFonts w:ascii="Verdana" w:hAnsi="Verdana" w:cs="Arial"/>
          <w:lang w:val="nl-NL"/>
        </w:rPr>
        <w:t xml:space="preserve"> Wet normalisering rechtspositie ambtenaren (</w:t>
      </w:r>
      <w:r w:rsidRPr="006A31F0" w:rsidR="004737F1">
        <w:rPr>
          <w:rFonts w:ascii="Verdana" w:hAnsi="Verdana" w:cs="Arial"/>
          <w:lang w:val="nl-NL"/>
        </w:rPr>
        <w:t>‘</w:t>
      </w:r>
      <w:r w:rsidRPr="006A31F0" w:rsidR="005C4485">
        <w:rPr>
          <w:rFonts w:ascii="Verdana" w:hAnsi="Verdana" w:cs="Arial"/>
          <w:lang w:val="nl-NL"/>
        </w:rPr>
        <w:t>WNRA</w:t>
      </w:r>
      <w:r w:rsidRPr="006A31F0" w:rsidR="004737F1">
        <w:rPr>
          <w:rFonts w:ascii="Verdana" w:hAnsi="Verdana" w:cs="Arial"/>
          <w:lang w:val="nl-NL"/>
        </w:rPr>
        <w:t>’</w:t>
      </w:r>
      <w:r w:rsidRPr="006A31F0" w:rsidR="005C4485">
        <w:rPr>
          <w:rFonts w:ascii="Verdana" w:hAnsi="Verdana" w:cs="Arial"/>
          <w:lang w:val="nl-NL"/>
        </w:rPr>
        <w:t>)</w:t>
      </w:r>
      <w:r w:rsidRPr="006A31F0" w:rsidR="007E6A5C">
        <w:rPr>
          <w:rStyle w:val="FootnoteReference"/>
          <w:rFonts w:ascii="Verdana" w:hAnsi="Verdana" w:cs="Arial"/>
          <w:lang w:val="nl-NL"/>
        </w:rPr>
        <w:footnoteReference w:id="1"/>
      </w:r>
      <w:r w:rsidRPr="006A31F0" w:rsidR="005C4485">
        <w:rPr>
          <w:rFonts w:ascii="Verdana" w:hAnsi="Verdana" w:cs="Arial"/>
          <w:lang w:val="nl-NL"/>
        </w:rPr>
        <w:t xml:space="preserve"> en de Algemene verordening gegevensbescherming</w:t>
      </w:r>
      <w:r w:rsidRPr="006A31F0" w:rsidR="004737F1">
        <w:rPr>
          <w:rFonts w:ascii="Verdana" w:hAnsi="Verdana" w:cs="Arial"/>
          <w:lang w:val="nl-NL"/>
        </w:rPr>
        <w:t xml:space="preserve"> (‘AVG’</w:t>
      </w:r>
      <w:r w:rsidRPr="006A31F0" w:rsidR="005C4485">
        <w:rPr>
          <w:rFonts w:ascii="Verdana" w:hAnsi="Verdana" w:cs="Arial"/>
          <w:lang w:val="nl-NL"/>
        </w:rPr>
        <w:t>)</w:t>
      </w:r>
      <w:r w:rsidRPr="006A31F0" w:rsidR="008242B1">
        <w:rPr>
          <w:rFonts w:ascii="Verdana" w:hAnsi="Verdana" w:cs="Arial"/>
          <w:lang w:val="nl-NL"/>
        </w:rPr>
        <w:t>.</w:t>
      </w:r>
      <w:r w:rsidRPr="006A31F0" w:rsidR="007E6A5C">
        <w:rPr>
          <w:rStyle w:val="FootnoteReference"/>
          <w:rFonts w:ascii="Verdana" w:hAnsi="Verdana" w:cs="Arial"/>
          <w:lang w:val="nl-NL"/>
        </w:rPr>
        <w:footnoteReference w:id="2"/>
      </w:r>
      <w:r w:rsidRPr="006A31F0" w:rsidDel="008242B1" w:rsidR="008242B1">
        <w:rPr>
          <w:rFonts w:ascii="Verdana" w:hAnsi="Verdana" w:cs="Arial"/>
          <w:lang w:val="nl-NL"/>
        </w:rPr>
        <w:t xml:space="preserve"> </w:t>
      </w:r>
    </w:p>
    <w:p w:rsidRPr="006A31F0" w:rsidR="00062B66" w:rsidP="006A31F0" w:rsidRDefault="00062B66" w14:paraId="7439DBA4"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t>Het Wijzigingsprotocol valt binnen de kaders van de Notitie Fiscaal Verdragsbeleid 20</w:t>
      </w:r>
      <w:r w:rsidRPr="006A31F0" w:rsidR="00FF1AF1">
        <w:rPr>
          <w:rFonts w:ascii="Verdana" w:hAnsi="Verdana" w:cs="Arial"/>
          <w:lang w:val="nl-NL"/>
        </w:rPr>
        <w:t>20</w:t>
      </w:r>
      <w:r w:rsidRPr="006A31F0" w:rsidR="004737F1">
        <w:rPr>
          <w:rFonts w:ascii="Verdana" w:hAnsi="Verdana" w:cs="Arial"/>
          <w:lang w:val="nl-NL"/>
        </w:rPr>
        <w:t xml:space="preserve"> (hierna: ‘</w:t>
      </w:r>
      <w:r w:rsidRPr="006A31F0">
        <w:rPr>
          <w:rFonts w:ascii="Verdana" w:hAnsi="Verdana" w:cs="Arial"/>
          <w:lang w:val="nl-NL"/>
        </w:rPr>
        <w:t>NFV 20</w:t>
      </w:r>
      <w:r w:rsidRPr="006A31F0" w:rsidR="00FF1AF1">
        <w:rPr>
          <w:rFonts w:ascii="Verdana" w:hAnsi="Verdana" w:cs="Arial"/>
          <w:lang w:val="nl-NL"/>
        </w:rPr>
        <w:t>20</w:t>
      </w:r>
      <w:r w:rsidRPr="006A31F0" w:rsidR="004737F1">
        <w:rPr>
          <w:rFonts w:ascii="Verdana" w:hAnsi="Verdana" w:cs="Arial"/>
          <w:lang w:val="nl-NL"/>
        </w:rPr>
        <w:t>’</w:t>
      </w:r>
      <w:r w:rsidRPr="006A31F0">
        <w:rPr>
          <w:rFonts w:ascii="Verdana" w:hAnsi="Verdana" w:cs="Arial"/>
          <w:lang w:val="nl-NL"/>
        </w:rPr>
        <w:t>). In onderdeel I.</w:t>
      </w:r>
      <w:r w:rsidRPr="006A31F0" w:rsidR="00D739DA">
        <w:rPr>
          <w:rFonts w:ascii="Verdana" w:hAnsi="Verdana" w:cs="Arial"/>
          <w:lang w:val="nl-NL"/>
        </w:rPr>
        <w:t>7</w:t>
      </w:r>
      <w:r w:rsidRPr="006A31F0">
        <w:rPr>
          <w:rFonts w:ascii="Verdana" w:hAnsi="Verdana" w:cs="Arial"/>
          <w:lang w:val="nl-NL"/>
        </w:rPr>
        <w:t xml:space="preserve"> van deze toelichtende nota is het </w:t>
      </w:r>
      <w:proofErr w:type="spellStart"/>
      <w:r w:rsidRPr="006A31F0">
        <w:rPr>
          <w:rFonts w:ascii="Verdana" w:hAnsi="Verdana" w:cs="Arial"/>
          <w:lang w:val="nl-NL"/>
        </w:rPr>
        <w:t>Toetsschema</w:t>
      </w:r>
      <w:proofErr w:type="spellEnd"/>
      <w:r w:rsidRPr="006A31F0">
        <w:rPr>
          <w:rFonts w:ascii="Verdana" w:hAnsi="Verdana" w:cs="Arial"/>
          <w:lang w:val="nl-NL"/>
        </w:rPr>
        <w:t xml:space="preserve"> Standaardcriteria Fiscaal Verdragsbeleid 20</w:t>
      </w:r>
      <w:r w:rsidRPr="006A31F0" w:rsidR="00FF1AF1">
        <w:rPr>
          <w:rFonts w:ascii="Verdana" w:hAnsi="Verdana" w:cs="Arial"/>
          <w:lang w:val="nl-NL"/>
        </w:rPr>
        <w:t>20</w:t>
      </w:r>
      <w:r w:rsidRPr="006A31F0">
        <w:rPr>
          <w:rFonts w:ascii="Verdana" w:hAnsi="Verdana" w:cs="Arial"/>
          <w:lang w:val="nl-NL"/>
        </w:rPr>
        <w:t xml:space="preserve"> opgenomen (Bijlage bij Kamerstukken II </w:t>
      </w:r>
      <w:r w:rsidRPr="006A31F0" w:rsidR="00953B8B">
        <w:rPr>
          <w:rFonts w:ascii="Verdana" w:hAnsi="Verdana" w:cs="Arial"/>
          <w:lang w:val="nl-NL"/>
        </w:rPr>
        <w:t>2019</w:t>
      </w:r>
      <w:r w:rsidRPr="006A31F0" w:rsidR="00B34988">
        <w:rPr>
          <w:rFonts w:ascii="Verdana" w:hAnsi="Verdana" w:cs="Arial"/>
          <w:lang w:val="nl-NL"/>
        </w:rPr>
        <w:t>/</w:t>
      </w:r>
      <w:r w:rsidRPr="006A31F0" w:rsidR="00953B8B">
        <w:rPr>
          <w:rFonts w:ascii="Verdana" w:hAnsi="Verdana" w:cs="Arial"/>
          <w:lang w:val="nl-NL"/>
        </w:rPr>
        <w:t>20</w:t>
      </w:r>
      <w:r w:rsidRPr="006A31F0">
        <w:rPr>
          <w:rFonts w:ascii="Verdana" w:hAnsi="Verdana" w:cs="Arial"/>
          <w:lang w:val="nl-NL"/>
        </w:rPr>
        <w:t>, 25087, nr.</w:t>
      </w:r>
      <w:r w:rsidRPr="006A31F0" w:rsidR="00C26FFD">
        <w:rPr>
          <w:rFonts w:ascii="Verdana" w:hAnsi="Verdana" w:cs="Arial"/>
          <w:lang w:val="nl-NL"/>
        </w:rPr>
        <w:t xml:space="preserve"> </w:t>
      </w:r>
      <w:r w:rsidRPr="006A31F0" w:rsidR="008242B1">
        <w:rPr>
          <w:rFonts w:ascii="Verdana" w:hAnsi="Verdana" w:cs="Arial"/>
          <w:lang w:val="nl-NL"/>
        </w:rPr>
        <w:t>256</w:t>
      </w:r>
      <w:r w:rsidRPr="006A31F0" w:rsidR="00C26FFD">
        <w:rPr>
          <w:rFonts w:ascii="Verdana" w:hAnsi="Verdana" w:cs="Arial"/>
          <w:lang w:val="nl-NL"/>
        </w:rPr>
        <w:t>)</w:t>
      </w:r>
      <w:r w:rsidRPr="006A31F0">
        <w:rPr>
          <w:rFonts w:ascii="Verdana" w:hAnsi="Verdana" w:cs="Arial"/>
          <w:lang w:val="nl-NL"/>
        </w:rPr>
        <w:t>.</w:t>
      </w:r>
    </w:p>
    <w:p w:rsidRPr="006A31F0" w:rsidR="00062B66" w:rsidP="006A31F0" w:rsidRDefault="00062B66" w14:paraId="6AAC1750" w14:textId="7A3D5E0E">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lastRenderedPageBreak/>
        <w:tab/>
        <w:t xml:space="preserve">Naar het oordeel van de regering bevatten alle artikelen, afgezien </w:t>
      </w:r>
      <w:r w:rsidRPr="006A31F0" w:rsidR="00953B8B">
        <w:rPr>
          <w:rFonts w:ascii="Verdana" w:hAnsi="Verdana" w:cs="Arial"/>
          <w:lang w:val="nl-NL"/>
        </w:rPr>
        <w:t>artikel</w:t>
      </w:r>
      <w:r w:rsidRPr="006A31F0" w:rsidR="00A669B3">
        <w:rPr>
          <w:rFonts w:ascii="Verdana" w:hAnsi="Verdana" w:cs="Arial"/>
          <w:lang w:val="nl-NL"/>
        </w:rPr>
        <w:t xml:space="preserve"> </w:t>
      </w:r>
      <w:r w:rsidRPr="006A31F0" w:rsidR="00953B8B">
        <w:rPr>
          <w:rFonts w:ascii="Verdana" w:hAnsi="Verdana" w:cs="Arial"/>
          <w:lang w:val="nl-NL"/>
        </w:rPr>
        <w:t>X,</w:t>
      </w:r>
      <w:r w:rsidRPr="006A31F0">
        <w:rPr>
          <w:rFonts w:ascii="Verdana" w:hAnsi="Verdana" w:cs="Arial"/>
          <w:lang w:val="nl-NL"/>
        </w:rPr>
        <w:t xml:space="preserve"> van het Wijzigingsprotocol eenieder verbindende bepalingen in de zin van de artikelen 93 en 94 </w:t>
      </w:r>
      <w:r w:rsidRPr="006A31F0" w:rsidR="00A669B3">
        <w:rPr>
          <w:rFonts w:ascii="Verdana" w:hAnsi="Verdana" w:cs="Arial"/>
          <w:lang w:val="nl-NL"/>
        </w:rPr>
        <w:t xml:space="preserve">van de </w:t>
      </w:r>
      <w:r w:rsidRPr="006A31F0">
        <w:rPr>
          <w:rFonts w:ascii="Verdana" w:hAnsi="Verdana" w:cs="Arial"/>
          <w:lang w:val="nl-NL"/>
        </w:rPr>
        <w:t>Grondwet, die aan de burger rechtstreeks rechten toekennen of plichten opleggen.</w:t>
      </w:r>
    </w:p>
    <w:p w:rsidRPr="006A31F0" w:rsidR="00953B8B" w:rsidP="006A31F0" w:rsidRDefault="00953B8B" w14:paraId="67075843"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p>
    <w:p w:rsidRPr="006A31F0" w:rsidR="00D144C0" w:rsidP="006A31F0" w:rsidRDefault="00D144C0" w14:paraId="1FD1FA61" w14:textId="597778AB">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r w:rsidRPr="006A31F0">
        <w:rPr>
          <w:rFonts w:ascii="Verdana" w:hAnsi="Verdana" w:cs="Arial"/>
          <w:b/>
          <w:i/>
          <w:lang w:val="nl-NL"/>
        </w:rPr>
        <w:t>I.2. Aanleiding</w:t>
      </w:r>
      <w:r w:rsidR="0019214B">
        <w:rPr>
          <w:rFonts w:ascii="Verdana" w:hAnsi="Verdana" w:cs="Arial"/>
          <w:b/>
          <w:i/>
          <w:lang w:val="nl-NL"/>
        </w:rPr>
        <w:t xml:space="preserve"> voor</w:t>
      </w:r>
      <w:r w:rsidRPr="006A31F0">
        <w:rPr>
          <w:rFonts w:ascii="Verdana" w:hAnsi="Verdana" w:cs="Arial"/>
          <w:b/>
          <w:i/>
          <w:lang w:val="nl-NL"/>
        </w:rPr>
        <w:t xml:space="preserve"> en </w:t>
      </w:r>
      <w:r w:rsidRPr="006A31F0" w:rsidR="00C26FFD">
        <w:rPr>
          <w:rFonts w:ascii="Verdana" w:hAnsi="Verdana" w:cs="Arial"/>
          <w:b/>
          <w:i/>
          <w:lang w:val="nl-NL"/>
        </w:rPr>
        <w:t>verloop van de onderhandelingen</w:t>
      </w:r>
    </w:p>
    <w:p w:rsidRPr="006A31F0" w:rsidR="005C3CEE" w:rsidP="006A31F0" w:rsidRDefault="005C3CEE" w14:paraId="557F0E43" w14:textId="290A690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 xml:space="preserve">De aanleiding voor de </w:t>
      </w:r>
      <w:r w:rsidRPr="006A31F0" w:rsidR="00B246F2">
        <w:rPr>
          <w:rFonts w:ascii="Verdana" w:hAnsi="Verdana" w:cs="Arial"/>
          <w:lang w:val="nl-NL"/>
        </w:rPr>
        <w:t xml:space="preserve">onderhandelingen </w:t>
      </w:r>
      <w:r w:rsidRPr="006A31F0">
        <w:rPr>
          <w:rFonts w:ascii="Verdana" w:hAnsi="Verdana" w:cs="Arial"/>
          <w:lang w:val="nl-NL"/>
        </w:rPr>
        <w:t xml:space="preserve">over een </w:t>
      </w:r>
      <w:r w:rsidRPr="006A31F0" w:rsidR="00820CBC">
        <w:rPr>
          <w:rFonts w:ascii="Verdana" w:hAnsi="Verdana" w:cs="Arial"/>
          <w:lang w:val="nl-NL"/>
        </w:rPr>
        <w:t>w</w:t>
      </w:r>
      <w:r w:rsidRPr="006A31F0">
        <w:rPr>
          <w:rFonts w:ascii="Verdana" w:hAnsi="Verdana" w:cs="Arial"/>
          <w:lang w:val="nl-NL"/>
        </w:rPr>
        <w:t xml:space="preserve">ijzigingsprotocol is gelegen in de onevenwichtige uitkomsten van artikel 17 </w:t>
      </w:r>
      <w:r w:rsidRPr="006A31F0" w:rsidR="008F56EE">
        <w:rPr>
          <w:rFonts w:ascii="Verdana" w:hAnsi="Verdana" w:cs="Arial"/>
          <w:lang w:val="nl-NL"/>
        </w:rPr>
        <w:t xml:space="preserve">van het Verdrag </w:t>
      </w:r>
      <w:r w:rsidRPr="006A31F0">
        <w:rPr>
          <w:rFonts w:ascii="Verdana" w:hAnsi="Verdana" w:cs="Arial"/>
          <w:lang w:val="nl-NL"/>
        </w:rPr>
        <w:t>met betrekking tot een aantal specifieke Duitse kortdurende socialezekerheidsuitkeringen.</w:t>
      </w:r>
      <w:r w:rsidRPr="006A31F0">
        <w:rPr>
          <w:rStyle w:val="FootnoteReference"/>
          <w:rFonts w:ascii="Verdana" w:hAnsi="Verdana" w:cs="Arial"/>
          <w:lang w:val="nl-NL"/>
        </w:rPr>
        <w:footnoteReference w:id="3"/>
      </w:r>
      <w:r w:rsidRPr="006A31F0">
        <w:rPr>
          <w:rFonts w:ascii="Verdana" w:hAnsi="Verdana" w:cs="Arial"/>
          <w:lang w:val="nl-NL"/>
        </w:rPr>
        <w:t xml:space="preserve"> Vanuit verschillende belangengroepen, in </w:t>
      </w:r>
      <w:r w:rsidRPr="006A31F0" w:rsidR="0088183F">
        <w:rPr>
          <w:rFonts w:ascii="Verdana" w:hAnsi="Verdana" w:cs="Arial"/>
          <w:lang w:val="nl-NL"/>
        </w:rPr>
        <w:t xml:space="preserve">het rapport “Grenswerkers in Europa; Een onderzoek naar de fiscale, </w:t>
      </w:r>
      <w:proofErr w:type="spellStart"/>
      <w:r w:rsidRPr="006A31F0" w:rsidR="0088183F">
        <w:rPr>
          <w:rFonts w:ascii="Verdana" w:hAnsi="Verdana" w:cs="Arial"/>
          <w:lang w:val="nl-NL"/>
        </w:rPr>
        <w:t>sociaalverzekerings</w:t>
      </w:r>
      <w:proofErr w:type="spellEnd"/>
      <w:r w:rsidRPr="006A31F0" w:rsidR="0088183F">
        <w:rPr>
          <w:rFonts w:ascii="Verdana" w:hAnsi="Verdana" w:cs="Arial"/>
          <w:lang w:val="nl-NL"/>
        </w:rPr>
        <w:t>- en pensioenaspecten van grensoverschrijdend werken”</w:t>
      </w:r>
      <w:r w:rsidRPr="006A31F0">
        <w:rPr>
          <w:rFonts w:ascii="Verdana" w:hAnsi="Verdana" w:cs="Arial"/>
          <w:lang w:val="nl-NL"/>
        </w:rPr>
        <w:t xml:space="preserve"> van de Vereniging voor Belastingwetenschap</w:t>
      </w:r>
      <w:r w:rsidRPr="006A31F0" w:rsidR="00C84A3A">
        <w:rPr>
          <w:rStyle w:val="FootnoteReference"/>
          <w:rFonts w:ascii="Verdana" w:hAnsi="Verdana" w:cs="Arial"/>
          <w:lang w:val="nl-NL"/>
        </w:rPr>
        <w:footnoteReference w:id="4"/>
      </w:r>
      <w:r w:rsidRPr="006A31F0">
        <w:rPr>
          <w:rFonts w:ascii="Verdana" w:hAnsi="Verdana" w:cs="Arial"/>
          <w:lang w:val="nl-NL"/>
        </w:rPr>
        <w:t xml:space="preserve"> en in de Tweede Kamer</w:t>
      </w:r>
      <w:r w:rsidRPr="006A31F0" w:rsidR="0088183F">
        <w:rPr>
          <w:rStyle w:val="FootnoteReference"/>
          <w:rFonts w:ascii="Verdana" w:hAnsi="Verdana" w:cs="Arial"/>
          <w:lang w:val="nl-NL"/>
        </w:rPr>
        <w:footnoteReference w:id="5"/>
      </w:r>
      <w:r w:rsidRPr="006A31F0">
        <w:rPr>
          <w:rFonts w:ascii="Verdana" w:hAnsi="Verdana" w:cs="Arial"/>
          <w:lang w:val="nl-NL"/>
        </w:rPr>
        <w:t xml:space="preserve"> is hier aandacht voor gevraagd.</w:t>
      </w:r>
    </w:p>
    <w:p w:rsidRPr="006A31F0" w:rsidR="009A6AE6" w:rsidP="006A31F0" w:rsidRDefault="005C3CEE" w14:paraId="065314EF"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EF3828">
        <w:rPr>
          <w:rFonts w:ascii="Verdana" w:hAnsi="Verdana" w:cs="Arial"/>
          <w:lang w:val="nl-NL"/>
        </w:rPr>
        <w:t>H</w:t>
      </w:r>
      <w:r w:rsidRPr="006A31F0" w:rsidR="00A12DEF">
        <w:rPr>
          <w:rFonts w:ascii="Verdana" w:hAnsi="Verdana" w:cs="Arial"/>
          <w:lang w:val="nl-NL"/>
        </w:rPr>
        <w:t xml:space="preserve">et heffingsrecht over loon uit dienstbetrekking van grensarbeiders die in Nederland wonen en in Duitsland werken, wordt op grond van het </w:t>
      </w:r>
      <w:r w:rsidRPr="006A31F0" w:rsidR="008F56EE">
        <w:rPr>
          <w:rFonts w:ascii="Verdana" w:hAnsi="Verdana" w:cs="Arial"/>
          <w:lang w:val="nl-NL"/>
        </w:rPr>
        <w:t xml:space="preserve">Verdrag </w:t>
      </w:r>
      <w:r w:rsidRPr="006A31F0" w:rsidR="00A12DEF">
        <w:rPr>
          <w:rFonts w:ascii="Verdana" w:hAnsi="Verdana" w:cs="Arial"/>
          <w:lang w:val="nl-NL"/>
        </w:rPr>
        <w:t xml:space="preserve">in beginsel toegekend aan de werkstaat. Als deze grensarbeiders (kortdurende) socialezekerheidsuitkeringen uit Duitsland ontvangen en deze </w:t>
      </w:r>
      <w:r w:rsidRPr="006A31F0" w:rsidR="00AC7199">
        <w:rPr>
          <w:rFonts w:ascii="Verdana" w:hAnsi="Verdana" w:cs="Arial"/>
          <w:lang w:val="nl-NL"/>
        </w:rPr>
        <w:t xml:space="preserve">in een </w:t>
      </w:r>
      <w:r w:rsidRPr="006A31F0" w:rsidR="008F56EE">
        <w:rPr>
          <w:rFonts w:ascii="Verdana" w:hAnsi="Verdana" w:cs="Arial"/>
          <w:lang w:val="nl-NL"/>
        </w:rPr>
        <w:t>kalender</w:t>
      </w:r>
      <w:r w:rsidRPr="006A31F0" w:rsidR="00AC7199">
        <w:rPr>
          <w:rFonts w:ascii="Verdana" w:hAnsi="Verdana" w:cs="Arial"/>
          <w:lang w:val="nl-NL"/>
        </w:rPr>
        <w:t xml:space="preserve">jaar </w:t>
      </w:r>
      <w:r w:rsidRPr="006A31F0" w:rsidR="008F56EE">
        <w:rPr>
          <w:rFonts w:ascii="Verdana" w:hAnsi="Verdana" w:cs="Arial"/>
          <w:lang w:val="nl-NL"/>
        </w:rPr>
        <w:t xml:space="preserve">(tezamen met bepaalde andere uitkeringen, pensioenen en lijfrenten) </w:t>
      </w:r>
      <w:r w:rsidRPr="006A31F0" w:rsidR="00A12DEF">
        <w:rPr>
          <w:rFonts w:ascii="Verdana" w:hAnsi="Verdana" w:cs="Arial"/>
          <w:lang w:val="nl-NL"/>
        </w:rPr>
        <w:t>niet meer bedragen dan € 15.000, is het heffingsrecht daarover toegewezen aan de woonstaat</w:t>
      </w:r>
      <w:r w:rsidRPr="006A31F0" w:rsidR="009A6AE6">
        <w:rPr>
          <w:rFonts w:ascii="Verdana" w:hAnsi="Verdana" w:cs="Arial"/>
          <w:lang w:val="nl-NL"/>
        </w:rPr>
        <w:t>: Nederland</w:t>
      </w:r>
      <w:r w:rsidRPr="006A31F0" w:rsidR="00A12DEF">
        <w:rPr>
          <w:rFonts w:ascii="Verdana" w:hAnsi="Verdana" w:cs="Arial"/>
          <w:lang w:val="nl-NL"/>
        </w:rPr>
        <w:t xml:space="preserve">. </w:t>
      </w:r>
      <w:r w:rsidRPr="006A31F0" w:rsidR="008F7195">
        <w:rPr>
          <w:rFonts w:ascii="Verdana" w:hAnsi="Verdana" w:cs="Arial"/>
          <w:lang w:val="nl-NL"/>
        </w:rPr>
        <w:t>B</w:t>
      </w:r>
      <w:r w:rsidRPr="006A31F0" w:rsidR="00A12DEF">
        <w:rPr>
          <w:rFonts w:ascii="Verdana" w:hAnsi="Verdana" w:cs="Arial"/>
          <w:lang w:val="nl-NL"/>
        </w:rPr>
        <w:t xml:space="preserve">ijvoorbeeld </w:t>
      </w:r>
      <w:r w:rsidRPr="006A31F0" w:rsidR="008F7195">
        <w:rPr>
          <w:rFonts w:ascii="Verdana" w:hAnsi="Verdana" w:cs="Arial"/>
          <w:lang w:val="nl-NL"/>
        </w:rPr>
        <w:t xml:space="preserve">bij </w:t>
      </w:r>
      <w:r w:rsidRPr="006A31F0" w:rsidR="004E7C23">
        <w:rPr>
          <w:rFonts w:ascii="Verdana" w:hAnsi="Verdana" w:cs="Arial"/>
          <w:lang w:val="nl-NL"/>
        </w:rPr>
        <w:t xml:space="preserve">een socialezekerheidsuitkering die een dergelijke grensarbeider ontvangt in verband met </w:t>
      </w:r>
      <w:r w:rsidRPr="006A31F0" w:rsidR="00A12DEF">
        <w:rPr>
          <w:rFonts w:ascii="Verdana" w:hAnsi="Verdana" w:cs="Arial"/>
          <w:lang w:val="nl-NL"/>
        </w:rPr>
        <w:t xml:space="preserve">ziekte vindt er een verschuiving van het heffingsrecht plaats van de werkstaat naar de woonstaat. </w:t>
      </w:r>
    </w:p>
    <w:p w:rsidRPr="006A31F0" w:rsidR="00C862EF" w:rsidP="006A31F0" w:rsidRDefault="009A6AE6" w14:paraId="3C56BA37"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AC7199">
        <w:rPr>
          <w:rFonts w:ascii="Verdana" w:hAnsi="Verdana" w:cs="Arial"/>
          <w:lang w:val="nl-NL"/>
        </w:rPr>
        <w:t>V</w:t>
      </w:r>
      <w:r w:rsidRPr="006A31F0" w:rsidR="00EF3828">
        <w:rPr>
          <w:rFonts w:ascii="Verdana" w:hAnsi="Verdana" w:cs="Arial"/>
          <w:lang w:val="nl-NL"/>
        </w:rPr>
        <w:t xml:space="preserve">eel Duitse socialezekerheidsuitkeringen </w:t>
      </w:r>
      <w:r w:rsidRPr="006A31F0" w:rsidR="00AC7199">
        <w:rPr>
          <w:rFonts w:ascii="Verdana" w:hAnsi="Verdana" w:cs="Arial"/>
          <w:lang w:val="nl-NL"/>
        </w:rPr>
        <w:t xml:space="preserve">worden </w:t>
      </w:r>
      <w:r w:rsidRPr="006A31F0">
        <w:rPr>
          <w:rFonts w:ascii="Verdana" w:hAnsi="Verdana" w:cs="Arial"/>
          <w:lang w:val="nl-NL"/>
        </w:rPr>
        <w:t>afgestemd op het nettoloon</w:t>
      </w:r>
      <w:r w:rsidRPr="006A31F0" w:rsidR="00C862EF">
        <w:rPr>
          <w:rFonts w:ascii="Verdana" w:hAnsi="Verdana" w:cs="Arial"/>
          <w:lang w:val="nl-NL"/>
        </w:rPr>
        <w:t xml:space="preserve"> en zijn in Duitsland onbelast</w:t>
      </w:r>
      <w:r w:rsidRPr="006A31F0" w:rsidR="00EF3828">
        <w:rPr>
          <w:rFonts w:ascii="Verdana" w:hAnsi="Verdana" w:cs="Arial"/>
          <w:lang w:val="nl-NL"/>
        </w:rPr>
        <w:t>.</w:t>
      </w:r>
      <w:r w:rsidRPr="006A31F0" w:rsidR="00C862EF">
        <w:rPr>
          <w:rFonts w:ascii="Verdana" w:hAnsi="Verdana" w:cs="Arial"/>
          <w:lang w:val="nl-NL"/>
        </w:rPr>
        <w:t xml:space="preserve"> Doordat het Verdrag het heffingsre</w:t>
      </w:r>
      <w:r w:rsidRPr="006A31F0" w:rsidR="00AC7199">
        <w:rPr>
          <w:rFonts w:ascii="Verdana" w:hAnsi="Verdana" w:cs="Arial"/>
          <w:lang w:val="nl-NL"/>
        </w:rPr>
        <w:t xml:space="preserve">cht over deze uitkeringen </w:t>
      </w:r>
      <w:r w:rsidRPr="006A31F0" w:rsidR="008F56EE">
        <w:rPr>
          <w:rFonts w:ascii="Verdana" w:hAnsi="Verdana" w:cs="Arial"/>
          <w:lang w:val="nl-NL"/>
        </w:rPr>
        <w:t>in bepaalde gevallen</w:t>
      </w:r>
      <w:r w:rsidRPr="006A31F0" w:rsidR="00C862EF">
        <w:rPr>
          <w:rFonts w:ascii="Verdana" w:hAnsi="Verdana" w:cs="Arial"/>
          <w:lang w:val="nl-NL"/>
        </w:rPr>
        <w:t xml:space="preserve"> aan de woonstaat toewijst, kan de situatie ontstaan dat een in Duitsland </w:t>
      </w:r>
      <w:r w:rsidRPr="006A31F0" w:rsidR="00AC7199">
        <w:rPr>
          <w:rFonts w:ascii="Verdana" w:hAnsi="Verdana" w:cs="Arial"/>
          <w:lang w:val="nl-NL"/>
        </w:rPr>
        <w:t xml:space="preserve">op het nettoloon afgestemde en </w:t>
      </w:r>
      <w:r w:rsidRPr="006A31F0" w:rsidR="00C862EF">
        <w:rPr>
          <w:rFonts w:ascii="Verdana" w:hAnsi="Verdana" w:cs="Arial"/>
          <w:lang w:val="nl-NL"/>
        </w:rPr>
        <w:t xml:space="preserve">onbelaste uitkering in Nederland </w:t>
      </w:r>
      <w:r w:rsidRPr="006A31F0" w:rsidR="00053C31">
        <w:rPr>
          <w:rFonts w:ascii="Verdana" w:hAnsi="Verdana" w:cs="Arial"/>
          <w:lang w:val="nl-NL"/>
        </w:rPr>
        <w:t xml:space="preserve">als </w:t>
      </w:r>
      <w:r w:rsidRPr="006A31F0" w:rsidR="0088183F">
        <w:rPr>
          <w:rFonts w:ascii="Verdana" w:hAnsi="Verdana" w:cs="Arial"/>
          <w:lang w:val="nl-NL"/>
        </w:rPr>
        <w:t>bruto-inkomen</w:t>
      </w:r>
      <w:r w:rsidRPr="006A31F0" w:rsidR="00053C31">
        <w:rPr>
          <w:rFonts w:ascii="Verdana" w:hAnsi="Verdana" w:cs="Arial"/>
          <w:lang w:val="nl-NL"/>
        </w:rPr>
        <w:t xml:space="preserve"> </w:t>
      </w:r>
      <w:r w:rsidRPr="006A31F0" w:rsidR="00EF3828">
        <w:rPr>
          <w:rFonts w:ascii="Verdana" w:hAnsi="Verdana" w:cs="Arial"/>
          <w:lang w:val="nl-NL"/>
        </w:rPr>
        <w:t>word</w:t>
      </w:r>
      <w:r w:rsidRPr="006A31F0" w:rsidR="00AC7199">
        <w:rPr>
          <w:rFonts w:ascii="Verdana" w:hAnsi="Verdana" w:cs="Arial"/>
          <w:lang w:val="nl-NL"/>
        </w:rPr>
        <w:t>t</w:t>
      </w:r>
      <w:r w:rsidRPr="006A31F0" w:rsidR="00EF3828">
        <w:rPr>
          <w:rFonts w:ascii="Verdana" w:hAnsi="Verdana" w:cs="Arial"/>
          <w:lang w:val="nl-NL"/>
        </w:rPr>
        <w:t xml:space="preserve"> belast</w:t>
      </w:r>
      <w:r w:rsidRPr="006A31F0" w:rsidR="00053C31">
        <w:rPr>
          <w:rFonts w:ascii="Verdana" w:hAnsi="Verdana" w:cs="Arial"/>
          <w:lang w:val="nl-NL"/>
        </w:rPr>
        <w:t>.</w:t>
      </w:r>
      <w:r w:rsidRPr="006A31F0" w:rsidR="00EF3828">
        <w:rPr>
          <w:rFonts w:ascii="Verdana" w:hAnsi="Verdana" w:cs="Arial"/>
          <w:lang w:val="nl-NL"/>
        </w:rPr>
        <w:t xml:space="preserve"> </w:t>
      </w:r>
      <w:r w:rsidRPr="006A31F0" w:rsidR="00AC7199">
        <w:rPr>
          <w:rFonts w:ascii="Verdana" w:hAnsi="Verdana" w:cs="Arial"/>
          <w:lang w:val="nl-NL"/>
        </w:rPr>
        <w:t xml:space="preserve">Voorts is </w:t>
      </w:r>
      <w:r w:rsidRPr="006A31F0" w:rsidR="0004574E">
        <w:rPr>
          <w:rFonts w:ascii="Verdana" w:hAnsi="Verdana" w:cs="Arial"/>
          <w:lang w:val="nl-NL"/>
        </w:rPr>
        <w:t xml:space="preserve">het </w:t>
      </w:r>
      <w:r w:rsidRPr="006A31F0" w:rsidR="00AC7199">
        <w:rPr>
          <w:rFonts w:ascii="Verdana" w:hAnsi="Verdana" w:cs="Arial"/>
          <w:lang w:val="nl-NL"/>
        </w:rPr>
        <w:t>t</w:t>
      </w:r>
      <w:r w:rsidRPr="006A31F0" w:rsidR="00C862EF">
        <w:rPr>
          <w:rFonts w:ascii="Verdana" w:hAnsi="Verdana" w:cs="Arial"/>
          <w:lang w:val="nl-NL"/>
        </w:rPr>
        <w:t xml:space="preserve">ijdens de </w:t>
      </w:r>
      <w:r w:rsidRPr="006A31F0" w:rsidR="00B246F2">
        <w:rPr>
          <w:rFonts w:ascii="Verdana" w:hAnsi="Verdana" w:cs="Arial"/>
          <w:lang w:val="nl-NL"/>
        </w:rPr>
        <w:t>onderhandelingen</w:t>
      </w:r>
      <w:r w:rsidRPr="006A31F0" w:rsidR="00C862EF">
        <w:rPr>
          <w:rFonts w:ascii="Verdana" w:hAnsi="Verdana" w:cs="Arial"/>
          <w:lang w:val="nl-NL"/>
        </w:rPr>
        <w:t xml:space="preserve"> duidelijk geworden </w:t>
      </w:r>
      <w:r w:rsidRPr="006A31F0" w:rsidR="006078F2">
        <w:rPr>
          <w:rFonts w:ascii="Verdana" w:hAnsi="Verdana" w:cs="Arial"/>
          <w:lang w:val="nl-NL"/>
        </w:rPr>
        <w:t xml:space="preserve">dat </w:t>
      </w:r>
      <w:r w:rsidRPr="006A31F0" w:rsidR="00C862EF">
        <w:rPr>
          <w:rFonts w:ascii="Verdana" w:hAnsi="Verdana" w:cs="Arial"/>
          <w:lang w:val="nl-NL"/>
        </w:rPr>
        <w:t xml:space="preserve">Nederlandse </w:t>
      </w:r>
      <w:r w:rsidRPr="006A31F0" w:rsidR="006078F2">
        <w:rPr>
          <w:rFonts w:ascii="Verdana" w:hAnsi="Verdana" w:cs="Arial"/>
          <w:lang w:val="nl-NL"/>
        </w:rPr>
        <w:t>socialezekerheids</w:t>
      </w:r>
      <w:r w:rsidRPr="006A31F0" w:rsidR="00C862EF">
        <w:rPr>
          <w:rFonts w:ascii="Verdana" w:hAnsi="Verdana" w:cs="Arial"/>
          <w:lang w:val="nl-NL"/>
        </w:rPr>
        <w:t>uitkeringen</w:t>
      </w:r>
      <w:r w:rsidRPr="006A31F0" w:rsidR="004D14CF">
        <w:rPr>
          <w:rFonts w:ascii="Verdana" w:hAnsi="Verdana" w:cs="Arial"/>
          <w:lang w:val="nl-NL"/>
        </w:rPr>
        <w:t xml:space="preserve"> </w:t>
      </w:r>
      <w:r w:rsidRPr="006A31F0" w:rsidR="006078F2">
        <w:rPr>
          <w:rFonts w:ascii="Verdana" w:hAnsi="Verdana" w:cs="Arial"/>
          <w:lang w:val="nl-NL"/>
        </w:rPr>
        <w:t>die</w:t>
      </w:r>
      <w:r w:rsidRPr="006A31F0" w:rsidR="00C862EF">
        <w:rPr>
          <w:rFonts w:ascii="Verdana" w:hAnsi="Verdana" w:cs="Arial"/>
          <w:lang w:val="nl-NL"/>
        </w:rPr>
        <w:t xml:space="preserve"> vergelijkbaar zijn met Duitse uitkeringen </w:t>
      </w:r>
      <w:r w:rsidRPr="006A31F0" w:rsidR="00EC1A94">
        <w:rPr>
          <w:rFonts w:ascii="Verdana" w:hAnsi="Verdana" w:cs="Arial"/>
          <w:lang w:val="nl-NL"/>
        </w:rPr>
        <w:t xml:space="preserve">in Duitsland </w:t>
      </w:r>
      <w:r w:rsidRPr="006A31F0" w:rsidR="006078F2">
        <w:rPr>
          <w:rFonts w:ascii="Verdana" w:hAnsi="Verdana" w:cs="Arial"/>
          <w:lang w:val="nl-NL"/>
        </w:rPr>
        <w:t>worden vrijgesteld</w:t>
      </w:r>
      <w:r w:rsidRPr="006A31F0" w:rsidR="00C862EF">
        <w:rPr>
          <w:rFonts w:ascii="Verdana" w:hAnsi="Verdana" w:cs="Arial"/>
          <w:lang w:val="nl-NL"/>
        </w:rPr>
        <w:t xml:space="preserve">. </w:t>
      </w:r>
      <w:r w:rsidRPr="006A31F0" w:rsidR="00AC7199">
        <w:rPr>
          <w:rFonts w:ascii="Verdana" w:hAnsi="Verdana" w:cs="Arial"/>
          <w:lang w:val="nl-NL"/>
        </w:rPr>
        <w:t xml:space="preserve">Beide uitkomsten </w:t>
      </w:r>
      <w:r w:rsidRPr="006A31F0" w:rsidR="00EF3828">
        <w:rPr>
          <w:rFonts w:ascii="Verdana" w:hAnsi="Verdana" w:cs="Arial"/>
          <w:lang w:val="nl-NL"/>
        </w:rPr>
        <w:t>zijn onevenwichtig.</w:t>
      </w:r>
    </w:p>
    <w:p w:rsidRPr="006A31F0" w:rsidR="005C3CEE" w:rsidP="006A31F0" w:rsidRDefault="00C862EF" w14:paraId="66329BF5"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A12DEF">
        <w:rPr>
          <w:rFonts w:ascii="Verdana" w:hAnsi="Verdana" w:cs="Arial"/>
          <w:lang w:val="nl-NL"/>
        </w:rPr>
        <w:t xml:space="preserve">Nederland en Duitsland zijn daarom </w:t>
      </w:r>
      <w:r w:rsidRPr="006A31F0">
        <w:rPr>
          <w:rFonts w:ascii="Verdana" w:hAnsi="Verdana" w:cs="Arial"/>
          <w:lang w:val="nl-NL"/>
        </w:rPr>
        <w:t xml:space="preserve">een wijziging van artikel 17 van het Verdrag </w:t>
      </w:r>
      <w:r w:rsidRPr="006A31F0" w:rsidR="00A12DEF">
        <w:rPr>
          <w:rFonts w:ascii="Verdana" w:hAnsi="Verdana" w:cs="Arial"/>
          <w:lang w:val="nl-NL"/>
        </w:rPr>
        <w:t xml:space="preserve">overeengekomen </w:t>
      </w:r>
      <w:r w:rsidRPr="006A31F0">
        <w:rPr>
          <w:rFonts w:ascii="Verdana" w:hAnsi="Verdana" w:cs="Arial"/>
          <w:lang w:val="nl-NL"/>
        </w:rPr>
        <w:t xml:space="preserve">die </w:t>
      </w:r>
      <w:r w:rsidRPr="006A31F0" w:rsidR="000E4309">
        <w:rPr>
          <w:rFonts w:ascii="Verdana" w:hAnsi="Verdana" w:cs="Arial"/>
          <w:lang w:val="nl-NL"/>
        </w:rPr>
        <w:t xml:space="preserve">er in essentie op neerkomt </w:t>
      </w:r>
      <w:r w:rsidRPr="006A31F0" w:rsidR="00A12DEF">
        <w:rPr>
          <w:rFonts w:ascii="Verdana" w:hAnsi="Verdana" w:cs="Arial"/>
          <w:lang w:val="nl-NL"/>
        </w:rPr>
        <w:t xml:space="preserve">dat </w:t>
      </w:r>
      <w:r w:rsidRPr="006A31F0" w:rsidR="00A51072">
        <w:rPr>
          <w:rFonts w:ascii="Verdana" w:hAnsi="Verdana" w:cs="Arial"/>
          <w:lang w:val="nl-NL"/>
        </w:rPr>
        <w:t>socialezekerheidsuitkeringen</w:t>
      </w:r>
      <w:r w:rsidRPr="006A31F0" w:rsidR="006C64E2">
        <w:rPr>
          <w:rFonts w:ascii="Verdana" w:hAnsi="Verdana" w:cs="Arial"/>
          <w:lang w:val="nl-NL"/>
        </w:rPr>
        <w:t xml:space="preserve"> (niet zijnde socialezekerheidspensioenen)</w:t>
      </w:r>
      <w:r w:rsidRPr="006A31F0" w:rsidR="00A51072">
        <w:rPr>
          <w:rFonts w:ascii="Verdana" w:hAnsi="Verdana" w:cs="Arial"/>
          <w:lang w:val="nl-NL"/>
        </w:rPr>
        <w:t xml:space="preserve"> voortaan </w:t>
      </w:r>
      <w:r w:rsidRPr="006A31F0" w:rsidR="00760CCA">
        <w:rPr>
          <w:rFonts w:ascii="Verdana" w:hAnsi="Verdana" w:cs="Arial"/>
          <w:lang w:val="nl-NL"/>
        </w:rPr>
        <w:t xml:space="preserve">in alle gevallen </w:t>
      </w:r>
      <w:r w:rsidRPr="006A31F0" w:rsidR="00A51072">
        <w:rPr>
          <w:rFonts w:ascii="Verdana" w:hAnsi="Verdana" w:cs="Arial"/>
          <w:lang w:val="nl-NL"/>
        </w:rPr>
        <w:t>ter heffing worden toegewezen aan de staat waaruit deze afkomstig zijn</w:t>
      </w:r>
      <w:r w:rsidRPr="006A31F0">
        <w:rPr>
          <w:rFonts w:ascii="Verdana" w:hAnsi="Verdana" w:cs="Arial"/>
          <w:lang w:val="nl-NL"/>
        </w:rPr>
        <w:t xml:space="preserve">. </w:t>
      </w:r>
      <w:r w:rsidRPr="006A31F0" w:rsidR="0004574E">
        <w:rPr>
          <w:rFonts w:ascii="Verdana" w:hAnsi="Verdana" w:cs="Arial"/>
          <w:lang w:val="nl-NL"/>
        </w:rPr>
        <w:t xml:space="preserve">Het bedrag van de socialezekerheidsuitkering (al dan niet tezamen met </w:t>
      </w:r>
      <w:r w:rsidRPr="006A31F0" w:rsidR="007A28FF">
        <w:rPr>
          <w:rFonts w:ascii="Verdana" w:hAnsi="Verdana" w:cs="Arial"/>
          <w:lang w:val="nl-NL"/>
        </w:rPr>
        <w:t xml:space="preserve">de bedragen van </w:t>
      </w:r>
      <w:r w:rsidRPr="006A31F0" w:rsidR="0004574E">
        <w:rPr>
          <w:rFonts w:ascii="Verdana" w:hAnsi="Verdana" w:cs="Arial"/>
          <w:lang w:val="nl-NL"/>
        </w:rPr>
        <w:t xml:space="preserve">bepaalde andere uitkeringen) in een kalenderjaar is derhalve hiervoor niet meer relevant. </w:t>
      </w:r>
      <w:r w:rsidRPr="006A31F0" w:rsidR="00A12DEF">
        <w:rPr>
          <w:rFonts w:ascii="Verdana" w:hAnsi="Verdana" w:cs="Arial"/>
          <w:lang w:val="nl-NL"/>
        </w:rPr>
        <w:t xml:space="preserve">Deze oplossing </w:t>
      </w:r>
      <w:r w:rsidRPr="006A31F0" w:rsidR="00A12DEF">
        <w:rPr>
          <w:rFonts w:ascii="Verdana" w:hAnsi="Verdana" w:cs="Arial"/>
          <w:lang w:val="nl-NL"/>
        </w:rPr>
        <w:lastRenderedPageBreak/>
        <w:t xml:space="preserve">is niet beperkt tot de specifieke - Duitse - </w:t>
      </w:r>
      <w:r w:rsidRPr="006A31F0" w:rsidR="00EF3828">
        <w:rPr>
          <w:rFonts w:ascii="Verdana" w:hAnsi="Verdana" w:cs="Arial"/>
          <w:lang w:val="nl-NL"/>
        </w:rPr>
        <w:t>socialezekerheids</w:t>
      </w:r>
      <w:r w:rsidRPr="006A31F0" w:rsidR="00A12DEF">
        <w:rPr>
          <w:rFonts w:ascii="Verdana" w:hAnsi="Verdana" w:cs="Arial"/>
          <w:lang w:val="nl-NL"/>
        </w:rPr>
        <w:t>uitkeringen</w:t>
      </w:r>
      <w:r w:rsidRPr="006A31F0" w:rsidR="00B65412">
        <w:rPr>
          <w:rFonts w:ascii="Verdana" w:hAnsi="Verdana" w:cs="Arial"/>
          <w:lang w:val="nl-NL"/>
        </w:rPr>
        <w:t xml:space="preserve"> waarvoor aandacht is gevraagd. </w:t>
      </w:r>
      <w:r w:rsidRPr="006A31F0" w:rsidR="00A12DEF">
        <w:rPr>
          <w:rFonts w:ascii="Verdana" w:hAnsi="Verdana" w:cs="Arial"/>
          <w:lang w:val="nl-NL"/>
        </w:rPr>
        <w:t xml:space="preserve">Hierdoor wordt voorkomen dat </w:t>
      </w:r>
      <w:r w:rsidRPr="006A31F0" w:rsidR="00374CCF">
        <w:rPr>
          <w:rFonts w:ascii="Verdana" w:hAnsi="Verdana" w:cs="Arial"/>
          <w:lang w:val="nl-NL"/>
        </w:rPr>
        <w:t>d</w:t>
      </w:r>
      <w:r w:rsidRPr="006A31F0" w:rsidR="00A12DEF">
        <w:rPr>
          <w:rFonts w:ascii="Verdana" w:hAnsi="Verdana" w:cs="Arial"/>
          <w:lang w:val="nl-NL"/>
        </w:rPr>
        <w:t xml:space="preserve">ezelfde </w:t>
      </w:r>
      <w:r w:rsidRPr="006A31F0" w:rsidR="00374CCF">
        <w:rPr>
          <w:rFonts w:ascii="Verdana" w:hAnsi="Verdana" w:cs="Arial"/>
          <w:lang w:val="nl-NL"/>
        </w:rPr>
        <w:t>onevenwichtigheid</w:t>
      </w:r>
      <w:r w:rsidRPr="006A31F0" w:rsidDel="00374CCF" w:rsidR="00374CCF">
        <w:rPr>
          <w:rFonts w:ascii="Verdana" w:hAnsi="Verdana" w:cs="Arial"/>
          <w:lang w:val="nl-NL"/>
        </w:rPr>
        <w:t xml:space="preserve"> </w:t>
      </w:r>
      <w:r w:rsidRPr="006A31F0" w:rsidR="00A12DEF">
        <w:rPr>
          <w:rFonts w:ascii="Verdana" w:hAnsi="Verdana" w:cs="Arial"/>
          <w:lang w:val="nl-NL"/>
        </w:rPr>
        <w:t>zich (later) voordoet met betrekkin</w:t>
      </w:r>
      <w:r w:rsidRPr="006A31F0" w:rsidR="00B65412">
        <w:rPr>
          <w:rFonts w:ascii="Verdana" w:hAnsi="Verdana" w:cs="Arial"/>
          <w:lang w:val="nl-NL"/>
        </w:rPr>
        <w:t xml:space="preserve">g tot andere </w:t>
      </w:r>
      <w:r w:rsidRPr="006A31F0" w:rsidR="00F23601">
        <w:rPr>
          <w:rFonts w:ascii="Verdana" w:hAnsi="Verdana" w:cs="Arial"/>
          <w:lang w:val="nl-NL"/>
        </w:rPr>
        <w:t>socialezekerheidsuitkeringen</w:t>
      </w:r>
      <w:r w:rsidRPr="006A31F0" w:rsidR="004D14CF">
        <w:rPr>
          <w:rFonts w:ascii="Verdana" w:hAnsi="Verdana" w:cs="Arial"/>
          <w:lang w:val="nl-NL"/>
        </w:rPr>
        <w:t xml:space="preserve"> (niet zijnde socialezekerheidspensioenen)</w:t>
      </w:r>
      <w:r w:rsidRPr="006A31F0" w:rsidR="00F76DA1">
        <w:rPr>
          <w:rFonts w:ascii="Verdana" w:hAnsi="Verdana" w:cs="Arial"/>
          <w:lang w:val="nl-NL"/>
        </w:rPr>
        <w:t>.</w:t>
      </w:r>
      <w:r w:rsidRPr="006A31F0" w:rsidR="00F23601">
        <w:rPr>
          <w:rFonts w:ascii="Verdana" w:hAnsi="Verdana" w:cs="Arial"/>
          <w:lang w:val="nl-NL"/>
        </w:rPr>
        <w:t xml:space="preserve"> </w:t>
      </w:r>
      <w:r w:rsidRPr="006A31F0" w:rsidR="00F76DA1">
        <w:rPr>
          <w:rFonts w:ascii="Verdana" w:hAnsi="Verdana" w:cs="Arial"/>
          <w:lang w:val="nl-NL"/>
        </w:rPr>
        <w:t xml:space="preserve">Daarnaast </w:t>
      </w:r>
      <w:r w:rsidRPr="006A31F0" w:rsidR="00F23601">
        <w:rPr>
          <w:rFonts w:ascii="Verdana" w:hAnsi="Verdana" w:cs="Arial"/>
          <w:lang w:val="nl-NL"/>
        </w:rPr>
        <w:t xml:space="preserve">wordt bewerkstelligd dat </w:t>
      </w:r>
      <w:r w:rsidRPr="006A31F0" w:rsidR="00B65412">
        <w:rPr>
          <w:rFonts w:ascii="Verdana" w:hAnsi="Verdana" w:cs="Arial"/>
          <w:lang w:val="nl-NL"/>
        </w:rPr>
        <w:t>Nederlandse socialezekerheids</w:t>
      </w:r>
      <w:r w:rsidRPr="006A31F0" w:rsidR="00A12DEF">
        <w:rPr>
          <w:rFonts w:ascii="Verdana" w:hAnsi="Verdana" w:cs="Arial"/>
          <w:lang w:val="nl-NL"/>
        </w:rPr>
        <w:t>uitkeringen</w:t>
      </w:r>
      <w:r w:rsidRPr="006A31F0" w:rsidR="00F23601">
        <w:rPr>
          <w:rFonts w:ascii="Verdana" w:hAnsi="Verdana" w:cs="Arial"/>
          <w:lang w:val="nl-NL"/>
        </w:rPr>
        <w:t xml:space="preserve"> (op </w:t>
      </w:r>
      <w:proofErr w:type="spellStart"/>
      <w:r w:rsidRPr="006A31F0" w:rsidR="00F23601">
        <w:rPr>
          <w:rFonts w:ascii="Verdana" w:hAnsi="Verdana" w:cs="Arial"/>
          <w:lang w:val="nl-NL"/>
        </w:rPr>
        <w:t>brutobasis</w:t>
      </w:r>
      <w:proofErr w:type="spellEnd"/>
      <w:r w:rsidRPr="006A31F0" w:rsidR="00F23601">
        <w:rPr>
          <w:rFonts w:ascii="Verdana" w:hAnsi="Verdana" w:cs="Arial"/>
          <w:lang w:val="nl-NL"/>
        </w:rPr>
        <w:t>)</w:t>
      </w:r>
      <w:r w:rsidRPr="006A31F0" w:rsidR="00A12DEF">
        <w:rPr>
          <w:rFonts w:ascii="Verdana" w:hAnsi="Verdana" w:cs="Arial"/>
          <w:lang w:val="nl-NL"/>
        </w:rPr>
        <w:t xml:space="preserve"> die nu </w:t>
      </w:r>
      <w:r w:rsidRPr="006A31F0" w:rsidR="00B65412">
        <w:rPr>
          <w:rFonts w:ascii="Verdana" w:hAnsi="Verdana" w:cs="Arial"/>
          <w:lang w:val="nl-NL"/>
        </w:rPr>
        <w:t xml:space="preserve">mogelijk </w:t>
      </w:r>
      <w:r w:rsidRPr="006A31F0" w:rsidR="00A12DEF">
        <w:rPr>
          <w:rFonts w:ascii="Verdana" w:hAnsi="Verdana" w:cs="Arial"/>
          <w:lang w:val="nl-NL"/>
        </w:rPr>
        <w:t>in Duitsland worden vrijgesteld in Nederland kunnen worden belast.</w:t>
      </w:r>
      <w:r w:rsidRPr="006A31F0" w:rsidR="007E0552">
        <w:rPr>
          <w:rFonts w:ascii="Verdana" w:hAnsi="Verdana" w:cs="Arial"/>
          <w:lang w:val="nl-NL"/>
        </w:rPr>
        <w:t xml:space="preserve"> </w:t>
      </w:r>
    </w:p>
    <w:p w:rsidRPr="006A31F0" w:rsidR="007E0552" w:rsidP="006A31F0" w:rsidRDefault="00A669B3" w14:paraId="3E95E6E3" w14:textId="23608F7E">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7E0552">
        <w:rPr>
          <w:rFonts w:ascii="Verdana" w:hAnsi="Verdana" w:cs="Arial"/>
          <w:lang w:val="nl-NL"/>
        </w:rPr>
        <w:t xml:space="preserve">Voorafgaand aan en tijdens de onderhandelingen </w:t>
      </w:r>
      <w:r w:rsidRPr="006A31F0" w:rsidR="00056978">
        <w:rPr>
          <w:rFonts w:ascii="Verdana" w:hAnsi="Verdana" w:cs="Arial"/>
          <w:lang w:val="nl-NL"/>
        </w:rPr>
        <w:t>hebben</w:t>
      </w:r>
      <w:r w:rsidRPr="006A31F0" w:rsidR="007E0552">
        <w:rPr>
          <w:rFonts w:ascii="Verdana" w:hAnsi="Verdana" w:cs="Arial"/>
          <w:lang w:val="nl-NL"/>
        </w:rPr>
        <w:t xml:space="preserve"> verschillende belanghebbenden aandacht gevraagd voor de gevolgen van de € 15.000-grens in artikel 17 van het Verdrag voor </w:t>
      </w:r>
      <w:r w:rsidRPr="006A31F0" w:rsidR="004A3656">
        <w:rPr>
          <w:rFonts w:ascii="Verdana" w:hAnsi="Verdana" w:cs="Arial"/>
          <w:lang w:val="nl-NL"/>
        </w:rPr>
        <w:t>inwoner</w:t>
      </w:r>
      <w:r w:rsidRPr="006A31F0" w:rsidR="007168DF">
        <w:rPr>
          <w:rFonts w:ascii="Verdana" w:hAnsi="Verdana" w:cs="Arial"/>
          <w:lang w:val="nl-NL"/>
        </w:rPr>
        <w:t>s</w:t>
      </w:r>
      <w:r w:rsidRPr="006A31F0" w:rsidR="004A3656">
        <w:rPr>
          <w:rFonts w:ascii="Verdana" w:hAnsi="Verdana" w:cs="Arial"/>
          <w:lang w:val="nl-NL"/>
        </w:rPr>
        <w:t xml:space="preserve"> van Nederland</w:t>
      </w:r>
      <w:r w:rsidRPr="006A31F0" w:rsidR="007E0552">
        <w:rPr>
          <w:rFonts w:ascii="Verdana" w:hAnsi="Verdana" w:cs="Arial"/>
          <w:lang w:val="nl-NL"/>
        </w:rPr>
        <w:t xml:space="preserve"> die een klein pensioen uit Duitsland ontvangen. Deze </w:t>
      </w:r>
      <w:r w:rsidRPr="006A31F0" w:rsidR="004A3656">
        <w:rPr>
          <w:rFonts w:ascii="Verdana" w:hAnsi="Verdana" w:cs="Arial"/>
          <w:lang w:val="nl-NL"/>
        </w:rPr>
        <w:t>inwoners</w:t>
      </w:r>
      <w:r w:rsidRPr="006A31F0" w:rsidR="007C0791">
        <w:rPr>
          <w:rFonts w:ascii="Verdana" w:hAnsi="Verdana" w:cs="Arial"/>
          <w:lang w:val="nl-NL"/>
        </w:rPr>
        <w:t xml:space="preserve"> die</w:t>
      </w:r>
      <w:r w:rsidRPr="006A31F0" w:rsidR="00F6121B">
        <w:rPr>
          <w:rFonts w:ascii="Verdana" w:hAnsi="Verdana" w:cs="Arial"/>
          <w:lang w:val="nl-NL"/>
        </w:rPr>
        <w:t xml:space="preserve"> </w:t>
      </w:r>
      <w:r w:rsidRPr="006A31F0" w:rsidR="00056978">
        <w:rPr>
          <w:rFonts w:ascii="Verdana" w:hAnsi="Verdana" w:cs="Arial"/>
          <w:lang w:val="nl-NL"/>
        </w:rPr>
        <w:t>ten tijde</w:t>
      </w:r>
      <w:r w:rsidRPr="006A31F0" w:rsidR="00F6121B">
        <w:rPr>
          <w:rFonts w:ascii="Verdana" w:hAnsi="Verdana" w:cs="Arial"/>
          <w:lang w:val="nl-NL"/>
        </w:rPr>
        <w:t xml:space="preserve"> </w:t>
      </w:r>
      <w:r w:rsidRPr="006A31F0" w:rsidR="00056978">
        <w:rPr>
          <w:rFonts w:ascii="Verdana" w:hAnsi="Verdana" w:cs="Arial"/>
          <w:lang w:val="nl-NL"/>
        </w:rPr>
        <w:t>van het</w:t>
      </w:r>
      <w:r w:rsidRPr="006A31F0" w:rsidR="00F6121B">
        <w:rPr>
          <w:rFonts w:ascii="Verdana" w:hAnsi="Verdana" w:cs="Arial"/>
          <w:lang w:val="nl-NL"/>
        </w:rPr>
        <w:t xml:space="preserve"> van toepassing word</w:t>
      </w:r>
      <w:r w:rsidRPr="006A31F0" w:rsidR="00056978">
        <w:rPr>
          <w:rFonts w:ascii="Verdana" w:hAnsi="Verdana" w:cs="Arial"/>
          <w:lang w:val="nl-NL"/>
        </w:rPr>
        <w:t>e</w:t>
      </w:r>
      <w:r w:rsidRPr="006A31F0" w:rsidR="00F6121B">
        <w:rPr>
          <w:rFonts w:ascii="Verdana" w:hAnsi="Verdana" w:cs="Arial"/>
          <w:lang w:val="nl-NL"/>
        </w:rPr>
        <w:t xml:space="preserve">n van het Verdrag </w:t>
      </w:r>
      <w:r w:rsidRPr="006A31F0" w:rsidR="00056978">
        <w:rPr>
          <w:rFonts w:ascii="Verdana" w:hAnsi="Verdana" w:cs="Arial"/>
          <w:lang w:val="nl-NL"/>
        </w:rPr>
        <w:t xml:space="preserve">reeds </w:t>
      </w:r>
      <w:r w:rsidRPr="006A31F0" w:rsidR="00F6121B">
        <w:rPr>
          <w:rFonts w:ascii="Verdana" w:hAnsi="Verdana" w:cs="Arial"/>
          <w:lang w:val="nl-NL"/>
        </w:rPr>
        <w:t>een klein pensioen uit Duitsland ontvingen</w:t>
      </w:r>
      <w:r w:rsidRPr="006A31F0" w:rsidR="00982756">
        <w:rPr>
          <w:rFonts w:ascii="Verdana" w:hAnsi="Verdana" w:cs="Arial"/>
          <w:lang w:val="nl-NL"/>
        </w:rPr>
        <w:t>,</w:t>
      </w:r>
      <w:r w:rsidRPr="006A31F0" w:rsidR="00F6121B">
        <w:rPr>
          <w:rFonts w:ascii="Verdana" w:hAnsi="Verdana" w:cs="Arial"/>
          <w:lang w:val="nl-NL"/>
        </w:rPr>
        <w:t xml:space="preserve"> </w:t>
      </w:r>
      <w:r w:rsidRPr="006A31F0" w:rsidR="007E0552">
        <w:rPr>
          <w:rFonts w:ascii="Verdana" w:hAnsi="Verdana" w:cs="Arial"/>
          <w:lang w:val="nl-NL"/>
        </w:rPr>
        <w:t>hebben aangekaart dat deze grens</w:t>
      </w:r>
      <w:r w:rsidRPr="006A31F0" w:rsidR="00F6121B">
        <w:rPr>
          <w:rFonts w:ascii="Verdana" w:hAnsi="Verdana" w:cs="Arial"/>
          <w:lang w:val="nl-NL"/>
        </w:rPr>
        <w:t xml:space="preserve"> in het Verdrag</w:t>
      </w:r>
      <w:r w:rsidRPr="006A31F0" w:rsidR="007E0552">
        <w:rPr>
          <w:rFonts w:ascii="Verdana" w:hAnsi="Verdana" w:cs="Arial"/>
          <w:lang w:val="nl-NL"/>
        </w:rPr>
        <w:t xml:space="preserve"> voor hen tot negatieve inkomenseffecten </w:t>
      </w:r>
      <w:r w:rsidRPr="006A31F0" w:rsidR="00F6121B">
        <w:rPr>
          <w:rFonts w:ascii="Verdana" w:hAnsi="Verdana" w:cs="Arial"/>
          <w:lang w:val="nl-NL"/>
        </w:rPr>
        <w:t>heeft geleid</w:t>
      </w:r>
      <w:r w:rsidRPr="006A31F0" w:rsidR="007E0552">
        <w:rPr>
          <w:rFonts w:ascii="Verdana" w:hAnsi="Verdana" w:cs="Arial"/>
          <w:lang w:val="nl-NL"/>
        </w:rPr>
        <w:t xml:space="preserve"> ten opzichte van de situatie onder het oude belastingverdrag uit 1959. </w:t>
      </w:r>
      <w:r w:rsidR="006C19AC">
        <w:rPr>
          <w:rFonts w:ascii="Verdana" w:hAnsi="Verdana" w:cs="Arial"/>
          <w:lang w:val="nl-NL"/>
        </w:rPr>
        <w:t>H</w:t>
      </w:r>
      <w:r w:rsidRPr="006A31F0" w:rsidR="006C19AC">
        <w:rPr>
          <w:rFonts w:ascii="Verdana" w:hAnsi="Verdana" w:cs="Arial"/>
          <w:lang w:val="nl-NL"/>
        </w:rPr>
        <w:t xml:space="preserve">et Wijzigingsprotocol </w:t>
      </w:r>
      <w:r w:rsidR="006C19AC">
        <w:rPr>
          <w:rFonts w:ascii="Verdana" w:hAnsi="Verdana" w:cs="Arial"/>
          <w:lang w:val="nl-NL"/>
        </w:rPr>
        <w:t>laat de € </w:t>
      </w:r>
      <w:r w:rsidRPr="006A31F0" w:rsidR="006C19AC">
        <w:rPr>
          <w:rFonts w:ascii="Verdana" w:hAnsi="Verdana" w:cs="Arial"/>
          <w:lang w:val="nl-NL"/>
        </w:rPr>
        <w:t xml:space="preserve">15.000-grens ten aanzien van (socialezekerheids)pensioenen </w:t>
      </w:r>
      <w:r w:rsidR="006C19AC">
        <w:rPr>
          <w:rFonts w:ascii="Verdana" w:hAnsi="Verdana" w:cs="Arial"/>
          <w:lang w:val="nl-NL"/>
        </w:rPr>
        <w:t xml:space="preserve">echter </w:t>
      </w:r>
      <w:r w:rsidRPr="006A31F0" w:rsidR="006C19AC">
        <w:rPr>
          <w:rFonts w:ascii="Verdana" w:hAnsi="Verdana" w:cs="Arial"/>
          <w:lang w:val="nl-NL"/>
        </w:rPr>
        <w:t>ongemoeid</w:t>
      </w:r>
      <w:r w:rsidRPr="006A31F0" w:rsidR="00991B26">
        <w:rPr>
          <w:rFonts w:ascii="Verdana" w:hAnsi="Verdana" w:cs="Arial"/>
          <w:lang w:val="nl-NL"/>
        </w:rPr>
        <w:t xml:space="preserve">, omdat </w:t>
      </w:r>
      <w:r w:rsidRPr="006A31F0" w:rsidR="00CF3579">
        <w:rPr>
          <w:rFonts w:ascii="Verdana" w:hAnsi="Verdana" w:cs="Arial"/>
          <w:lang w:val="nl-NL"/>
        </w:rPr>
        <w:t>met die grens</w:t>
      </w:r>
      <w:r w:rsidRPr="006A31F0" w:rsidR="00991B26">
        <w:rPr>
          <w:rFonts w:ascii="Verdana" w:hAnsi="Verdana" w:cs="Arial"/>
          <w:lang w:val="nl-NL"/>
        </w:rPr>
        <w:t xml:space="preserve"> de administratieve lasten </w:t>
      </w:r>
      <w:r w:rsidRPr="006A31F0" w:rsidR="00CF3579">
        <w:rPr>
          <w:rFonts w:ascii="Verdana" w:hAnsi="Verdana" w:cs="Arial"/>
          <w:lang w:val="nl-NL"/>
        </w:rPr>
        <w:t xml:space="preserve">worden </w:t>
      </w:r>
      <w:r w:rsidRPr="006A31F0" w:rsidR="00991B26">
        <w:rPr>
          <w:rFonts w:ascii="Verdana" w:hAnsi="Verdana" w:cs="Arial"/>
          <w:lang w:val="nl-NL"/>
        </w:rPr>
        <w:t xml:space="preserve">beperkt. </w:t>
      </w:r>
      <w:r w:rsidRPr="006A31F0" w:rsidR="00273211">
        <w:rPr>
          <w:rFonts w:ascii="Verdana" w:hAnsi="Verdana" w:cs="Arial"/>
          <w:lang w:val="nl-NL"/>
        </w:rPr>
        <w:t xml:space="preserve">Doordat het Verdrag het heffingsrecht over </w:t>
      </w:r>
      <w:r w:rsidRPr="006A31F0" w:rsidR="0068772D">
        <w:rPr>
          <w:rFonts w:ascii="Verdana" w:hAnsi="Verdana" w:cs="Arial"/>
          <w:lang w:val="nl-NL"/>
        </w:rPr>
        <w:t>(socialezekerheids)</w:t>
      </w:r>
      <w:r w:rsidRPr="006A31F0" w:rsidR="00273211">
        <w:rPr>
          <w:rFonts w:ascii="Verdana" w:hAnsi="Verdana" w:cs="Arial"/>
          <w:lang w:val="nl-NL"/>
        </w:rPr>
        <w:t>pensioenen</w:t>
      </w:r>
      <w:r w:rsidRPr="006A31F0" w:rsidR="0068772D">
        <w:rPr>
          <w:rFonts w:ascii="Verdana" w:hAnsi="Verdana" w:cs="Arial"/>
          <w:lang w:val="nl-NL"/>
        </w:rPr>
        <w:t xml:space="preserve"> en</w:t>
      </w:r>
      <w:r w:rsidRPr="006A31F0" w:rsidR="00273211">
        <w:rPr>
          <w:rFonts w:ascii="Verdana" w:hAnsi="Verdana" w:cs="Arial"/>
          <w:lang w:val="nl-NL"/>
        </w:rPr>
        <w:t xml:space="preserve"> lijfrenten van bij elkaar € 15.000 of minder per kalenderjaar toewijst aan het woonland, hoeven bijvoorbeeld inwoners van Nederland met</w:t>
      </w:r>
      <w:r w:rsidRPr="006A31F0" w:rsidR="00374CCF">
        <w:rPr>
          <w:rFonts w:ascii="Verdana" w:hAnsi="Verdana" w:cs="Arial"/>
          <w:lang w:val="nl-NL"/>
        </w:rPr>
        <w:t>, kort gezegd,</w:t>
      </w:r>
      <w:r w:rsidRPr="006A31F0" w:rsidR="00273211">
        <w:rPr>
          <w:rFonts w:ascii="Verdana" w:hAnsi="Verdana" w:cs="Arial"/>
          <w:lang w:val="nl-NL"/>
        </w:rPr>
        <w:t xml:space="preserve"> een klein pensioen uit Duitsland </w:t>
      </w:r>
      <w:r w:rsidRPr="006A31F0" w:rsidR="00991B26">
        <w:rPr>
          <w:rFonts w:ascii="Verdana" w:hAnsi="Verdana" w:cs="Arial"/>
          <w:lang w:val="nl-NL"/>
        </w:rPr>
        <w:t xml:space="preserve">namelijk </w:t>
      </w:r>
      <w:r w:rsidRPr="006A31F0" w:rsidR="00273211">
        <w:rPr>
          <w:rFonts w:ascii="Verdana" w:hAnsi="Verdana" w:cs="Arial"/>
          <w:lang w:val="nl-NL"/>
        </w:rPr>
        <w:t xml:space="preserve">alleen in Nederland aangifte te doen. </w:t>
      </w:r>
      <w:r w:rsidR="0073261A">
        <w:rPr>
          <w:rFonts w:ascii="Verdana" w:hAnsi="Verdana" w:cs="Arial"/>
          <w:lang w:val="nl-NL"/>
        </w:rPr>
        <w:t xml:space="preserve">Dergelijke administratieve lasten ontstaan niet of slechts zeer beperkt bij een bronstaatheffing voor socialezekerheidsuitkeringen (niet zijnde socialezekerheidspensioenen), omdat in gevallen waarin dergelijke uitkeringen worden ontvangen er vaak al een aangifteverplichting geldt in de bronstaat in verband met in die staat verrichte arbeid. Verder geldt voor (socialezekerheids)pensioenen dat Duitsland deze ook belast, waardoor de hierboven beschreven onevenwichtigheid ten aanzien van socialezekerheidsuitkeringen </w:t>
      </w:r>
      <w:r w:rsidRPr="006A31F0" w:rsidR="0073261A">
        <w:rPr>
          <w:rFonts w:ascii="Verdana" w:hAnsi="Verdana" w:cs="Arial"/>
          <w:lang w:val="nl-NL"/>
        </w:rPr>
        <w:t>(niet zijnde socialezekerheidspensioenen)</w:t>
      </w:r>
      <w:r w:rsidR="0073261A">
        <w:rPr>
          <w:rFonts w:ascii="Verdana" w:hAnsi="Verdana" w:cs="Arial"/>
          <w:lang w:val="nl-NL"/>
        </w:rPr>
        <w:t xml:space="preserve"> zich niet voordoet met betrekking tot (socialezekerheids)pensioenen.</w:t>
      </w:r>
      <w:r w:rsidR="00723E5C">
        <w:rPr>
          <w:rFonts w:ascii="Verdana" w:hAnsi="Verdana" w:cs="Arial"/>
          <w:lang w:val="nl-NL"/>
        </w:rPr>
        <w:t xml:space="preserve"> </w:t>
      </w:r>
      <w:r w:rsidRPr="006A31F0" w:rsidR="007E0552">
        <w:rPr>
          <w:rFonts w:ascii="Verdana" w:hAnsi="Verdana" w:cs="Arial"/>
          <w:lang w:val="nl-NL"/>
        </w:rPr>
        <w:t xml:space="preserve">Op dit moment bestaat er </w:t>
      </w:r>
      <w:r w:rsidRPr="006A31F0" w:rsidR="00273211">
        <w:rPr>
          <w:rFonts w:ascii="Verdana" w:hAnsi="Verdana" w:cs="Arial"/>
          <w:lang w:val="nl-NL"/>
        </w:rPr>
        <w:t xml:space="preserve">daarom </w:t>
      </w:r>
      <w:r w:rsidRPr="006A31F0" w:rsidR="007E0552">
        <w:rPr>
          <w:rFonts w:ascii="Verdana" w:hAnsi="Verdana" w:cs="Arial"/>
          <w:lang w:val="nl-NL"/>
        </w:rPr>
        <w:t>geen</w:t>
      </w:r>
      <w:r w:rsidRPr="006A31F0" w:rsidR="004A3656">
        <w:rPr>
          <w:rFonts w:ascii="Verdana" w:hAnsi="Verdana" w:cs="Arial"/>
          <w:lang w:val="nl-NL"/>
        </w:rPr>
        <w:t xml:space="preserve"> voornemen</w:t>
      </w:r>
      <w:r w:rsidRPr="006A31F0" w:rsidR="007E0552">
        <w:rPr>
          <w:rFonts w:ascii="Verdana" w:hAnsi="Verdana" w:cs="Arial"/>
          <w:lang w:val="nl-NL"/>
        </w:rPr>
        <w:t xml:space="preserve"> om het </w:t>
      </w:r>
      <w:r w:rsidRPr="006A31F0" w:rsidR="00056978">
        <w:rPr>
          <w:rFonts w:ascii="Verdana" w:hAnsi="Verdana" w:cs="Arial"/>
          <w:lang w:val="nl-NL"/>
        </w:rPr>
        <w:t>V</w:t>
      </w:r>
      <w:r w:rsidRPr="006A31F0" w:rsidR="007E0552">
        <w:rPr>
          <w:rFonts w:ascii="Verdana" w:hAnsi="Verdana" w:cs="Arial"/>
          <w:lang w:val="nl-NL"/>
        </w:rPr>
        <w:t>erdrag op dit punt te wijzigen</w:t>
      </w:r>
      <w:r w:rsidRPr="006A31F0" w:rsidR="00273211">
        <w:rPr>
          <w:rFonts w:ascii="Verdana" w:hAnsi="Verdana" w:cs="Arial"/>
          <w:lang w:val="nl-NL"/>
        </w:rPr>
        <w:t>. Voorts zou het</w:t>
      </w:r>
      <w:r w:rsidRPr="006A31F0" w:rsidR="00B246F2">
        <w:rPr>
          <w:rFonts w:ascii="Verdana" w:hAnsi="Verdana" w:cs="Arial"/>
          <w:lang w:val="nl-NL"/>
        </w:rPr>
        <w:t xml:space="preserve"> laten vervallen</w:t>
      </w:r>
      <w:r w:rsidRPr="006A31F0" w:rsidR="00273211">
        <w:rPr>
          <w:rFonts w:ascii="Verdana" w:hAnsi="Verdana" w:cs="Arial"/>
          <w:lang w:val="nl-NL"/>
        </w:rPr>
        <w:t xml:space="preserve"> van de € 15.000-grens</w:t>
      </w:r>
      <w:r w:rsidRPr="006A31F0" w:rsidR="007E0552">
        <w:rPr>
          <w:rFonts w:ascii="Verdana" w:hAnsi="Verdana" w:cs="Arial"/>
          <w:lang w:val="nl-NL"/>
        </w:rPr>
        <w:t xml:space="preserve"> voor verschillende groepen tot </w:t>
      </w:r>
      <w:r w:rsidRPr="006A31F0" w:rsidR="0070341D">
        <w:rPr>
          <w:rFonts w:ascii="Verdana" w:hAnsi="Verdana" w:cs="Arial"/>
          <w:lang w:val="nl-NL"/>
        </w:rPr>
        <w:t xml:space="preserve">- </w:t>
      </w:r>
      <w:r w:rsidRPr="006A31F0" w:rsidR="007E0552">
        <w:rPr>
          <w:rFonts w:ascii="Verdana" w:hAnsi="Verdana" w:cs="Arial"/>
          <w:lang w:val="nl-NL"/>
        </w:rPr>
        <w:t xml:space="preserve">positieve </w:t>
      </w:r>
      <w:r w:rsidRPr="006A31F0" w:rsidR="0070341D">
        <w:rPr>
          <w:rFonts w:ascii="Verdana" w:hAnsi="Verdana" w:cs="Arial"/>
          <w:lang w:val="nl-NL"/>
        </w:rPr>
        <w:t xml:space="preserve">of </w:t>
      </w:r>
      <w:r w:rsidRPr="006A31F0" w:rsidR="007E0552">
        <w:rPr>
          <w:rFonts w:ascii="Verdana" w:hAnsi="Verdana" w:cs="Arial"/>
          <w:lang w:val="nl-NL"/>
        </w:rPr>
        <w:t xml:space="preserve">negatieve </w:t>
      </w:r>
      <w:r w:rsidRPr="006A31F0" w:rsidR="0070341D">
        <w:rPr>
          <w:rFonts w:ascii="Verdana" w:hAnsi="Verdana" w:cs="Arial"/>
          <w:lang w:val="nl-NL"/>
        </w:rPr>
        <w:t xml:space="preserve">- </w:t>
      </w:r>
      <w:r w:rsidRPr="006A31F0" w:rsidR="007E0552">
        <w:rPr>
          <w:rFonts w:ascii="Verdana" w:hAnsi="Verdana" w:cs="Arial"/>
          <w:lang w:val="nl-NL"/>
        </w:rPr>
        <w:t>inkomensgevolgen leiden.</w:t>
      </w:r>
    </w:p>
    <w:p w:rsidRPr="006A31F0" w:rsidR="00263D5A" w:rsidP="006A31F0" w:rsidRDefault="005C3CEE" w14:paraId="17C766FD"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F23601">
        <w:rPr>
          <w:rFonts w:ascii="Verdana" w:hAnsi="Verdana" w:cs="Arial"/>
          <w:lang w:val="nl-NL"/>
        </w:rPr>
        <w:t xml:space="preserve">Bij de aanvang </w:t>
      </w:r>
      <w:r w:rsidRPr="006A31F0" w:rsidR="006C64E2">
        <w:rPr>
          <w:rFonts w:ascii="Verdana" w:hAnsi="Verdana" w:cs="Arial"/>
          <w:lang w:val="nl-NL"/>
        </w:rPr>
        <w:t>v</w:t>
      </w:r>
      <w:r w:rsidRPr="006A31F0" w:rsidR="00F23601">
        <w:rPr>
          <w:rFonts w:ascii="Verdana" w:hAnsi="Verdana" w:cs="Arial"/>
          <w:lang w:val="nl-NL"/>
        </w:rPr>
        <w:t xml:space="preserve">an de </w:t>
      </w:r>
      <w:r w:rsidRPr="006A31F0" w:rsidR="002A2664">
        <w:rPr>
          <w:rFonts w:ascii="Verdana" w:hAnsi="Verdana" w:cs="Arial"/>
          <w:lang w:val="nl-NL"/>
        </w:rPr>
        <w:t xml:space="preserve">onderhandelingen </w:t>
      </w:r>
      <w:r w:rsidRPr="006A31F0" w:rsidR="00A51072">
        <w:rPr>
          <w:rFonts w:ascii="Verdana" w:hAnsi="Verdana" w:cs="Arial"/>
          <w:lang w:val="nl-NL"/>
        </w:rPr>
        <w:t xml:space="preserve">is </w:t>
      </w:r>
      <w:r w:rsidRPr="006A31F0">
        <w:rPr>
          <w:rFonts w:ascii="Verdana" w:hAnsi="Verdana" w:cs="Arial"/>
          <w:lang w:val="nl-NL"/>
        </w:rPr>
        <w:t>op verzoek van Duitsland besloten</w:t>
      </w:r>
      <w:r w:rsidRPr="006A31F0" w:rsidR="00A51072">
        <w:rPr>
          <w:rFonts w:ascii="Verdana" w:hAnsi="Verdana" w:cs="Arial"/>
          <w:lang w:val="nl-NL"/>
        </w:rPr>
        <w:t xml:space="preserve"> om</w:t>
      </w:r>
      <w:r w:rsidRPr="006A31F0" w:rsidR="00345C58">
        <w:rPr>
          <w:rFonts w:ascii="Verdana" w:hAnsi="Verdana" w:cs="Arial"/>
          <w:lang w:val="nl-NL"/>
        </w:rPr>
        <w:t xml:space="preserve"> </w:t>
      </w:r>
      <w:r w:rsidRPr="006A31F0" w:rsidR="00A47288">
        <w:rPr>
          <w:rFonts w:ascii="Verdana" w:hAnsi="Verdana" w:cs="Arial"/>
          <w:lang w:val="nl-NL"/>
        </w:rPr>
        <w:t xml:space="preserve">de </w:t>
      </w:r>
      <w:r w:rsidRPr="006A31F0" w:rsidR="00345C58">
        <w:rPr>
          <w:rFonts w:ascii="Verdana" w:hAnsi="Verdana" w:cs="Arial"/>
          <w:lang w:val="nl-NL"/>
        </w:rPr>
        <w:t>materi</w:t>
      </w:r>
      <w:r w:rsidRPr="006A31F0" w:rsidR="004A0299">
        <w:rPr>
          <w:rFonts w:ascii="Verdana" w:hAnsi="Verdana" w:cs="Arial"/>
          <w:lang w:val="nl-NL"/>
        </w:rPr>
        <w:t>ë</w:t>
      </w:r>
      <w:r w:rsidRPr="006A31F0" w:rsidR="00345C58">
        <w:rPr>
          <w:rFonts w:ascii="Verdana" w:hAnsi="Verdana" w:cs="Arial"/>
          <w:lang w:val="nl-NL"/>
        </w:rPr>
        <w:t xml:space="preserve">le </w:t>
      </w:r>
      <w:r w:rsidRPr="006A31F0" w:rsidR="00A47288">
        <w:rPr>
          <w:rFonts w:ascii="Verdana" w:hAnsi="Verdana" w:cs="Arial"/>
          <w:lang w:val="nl-NL"/>
        </w:rPr>
        <w:t>bepalingen van het MLI,</w:t>
      </w:r>
      <w:r w:rsidRPr="006A31F0" w:rsidR="00A51072">
        <w:rPr>
          <w:rFonts w:ascii="Verdana" w:hAnsi="Verdana" w:cs="Arial"/>
          <w:lang w:val="nl-NL"/>
        </w:rPr>
        <w:t xml:space="preserve"> </w:t>
      </w:r>
      <w:r w:rsidRPr="006A31F0" w:rsidR="00A47288">
        <w:rPr>
          <w:rFonts w:ascii="Verdana" w:hAnsi="Verdana" w:cs="Arial"/>
          <w:lang w:val="nl-NL"/>
        </w:rPr>
        <w:t>voor zover</w:t>
      </w:r>
      <w:r w:rsidRPr="006A31F0" w:rsidR="00A51072">
        <w:rPr>
          <w:rFonts w:ascii="Verdana" w:hAnsi="Verdana" w:cs="Arial"/>
          <w:lang w:val="nl-NL"/>
        </w:rPr>
        <w:t xml:space="preserve"> Nederland en Duitsland</w:t>
      </w:r>
      <w:r w:rsidRPr="006A31F0" w:rsidR="00A47288">
        <w:rPr>
          <w:rFonts w:ascii="Verdana" w:hAnsi="Verdana" w:cs="Arial"/>
          <w:lang w:val="nl-NL"/>
        </w:rPr>
        <w:t xml:space="preserve"> </w:t>
      </w:r>
      <w:r w:rsidRPr="006A31F0" w:rsidR="00A3410C">
        <w:rPr>
          <w:rFonts w:ascii="Verdana" w:hAnsi="Verdana" w:cs="Arial"/>
          <w:lang w:val="nl-NL"/>
        </w:rPr>
        <w:t xml:space="preserve">in dat kader </w:t>
      </w:r>
      <w:r w:rsidRPr="006A31F0" w:rsidR="00A47288">
        <w:rPr>
          <w:rFonts w:ascii="Verdana" w:hAnsi="Verdana" w:cs="Arial"/>
          <w:lang w:val="nl-NL"/>
        </w:rPr>
        <w:t>dezelfde keuzes hebben</w:t>
      </w:r>
      <w:r w:rsidRPr="006A31F0" w:rsidR="00A51072">
        <w:rPr>
          <w:rFonts w:ascii="Verdana" w:hAnsi="Verdana" w:cs="Arial"/>
          <w:lang w:val="nl-NL"/>
        </w:rPr>
        <w:t xml:space="preserve"> gemaakt</w:t>
      </w:r>
      <w:r w:rsidRPr="006A31F0" w:rsidR="00A47288">
        <w:rPr>
          <w:rFonts w:ascii="Verdana" w:hAnsi="Verdana" w:cs="Arial"/>
          <w:lang w:val="nl-NL"/>
        </w:rPr>
        <w:t>,</w:t>
      </w:r>
      <w:r w:rsidRPr="006A31F0" w:rsidR="00A51072">
        <w:rPr>
          <w:rFonts w:ascii="Verdana" w:hAnsi="Verdana" w:cs="Arial"/>
          <w:lang w:val="nl-NL"/>
        </w:rPr>
        <w:t xml:space="preserve"> direct te verwerken in het Verdrag</w:t>
      </w:r>
      <w:r w:rsidRPr="006A31F0" w:rsidR="006C64E2">
        <w:rPr>
          <w:rFonts w:ascii="Verdana" w:hAnsi="Verdana" w:cs="Arial"/>
          <w:lang w:val="nl-NL"/>
        </w:rPr>
        <w:t>.</w:t>
      </w:r>
      <w:r w:rsidRPr="006A31F0" w:rsidR="004C7E14">
        <w:rPr>
          <w:rFonts w:ascii="Verdana" w:hAnsi="Verdana" w:cs="Arial"/>
          <w:lang w:val="nl-NL"/>
        </w:rPr>
        <w:t xml:space="preserve"> </w:t>
      </w:r>
      <w:r w:rsidRPr="006A31F0" w:rsidR="004E289D">
        <w:rPr>
          <w:rFonts w:ascii="Verdana" w:hAnsi="Verdana" w:cs="Arial"/>
          <w:lang w:val="nl-NL"/>
        </w:rPr>
        <w:t xml:space="preserve">Nederland </w:t>
      </w:r>
      <w:r w:rsidRPr="006A31F0" w:rsidR="0004574E">
        <w:rPr>
          <w:rFonts w:ascii="Verdana" w:hAnsi="Verdana" w:cs="Arial"/>
          <w:lang w:val="nl-NL"/>
        </w:rPr>
        <w:t xml:space="preserve">is </w:t>
      </w:r>
      <w:r w:rsidRPr="006A31F0" w:rsidR="004E289D">
        <w:rPr>
          <w:rFonts w:ascii="Verdana" w:hAnsi="Verdana" w:cs="Arial"/>
          <w:lang w:val="nl-NL"/>
        </w:rPr>
        <w:t xml:space="preserve">hiermee akkoord </w:t>
      </w:r>
      <w:r w:rsidRPr="006A31F0" w:rsidR="0004574E">
        <w:rPr>
          <w:rFonts w:ascii="Verdana" w:hAnsi="Verdana" w:cs="Arial"/>
          <w:lang w:val="nl-NL"/>
        </w:rPr>
        <w:t>ge</w:t>
      </w:r>
      <w:r w:rsidRPr="006A31F0" w:rsidR="004E289D">
        <w:rPr>
          <w:rFonts w:ascii="Verdana" w:hAnsi="Verdana" w:cs="Arial"/>
          <w:lang w:val="nl-NL"/>
        </w:rPr>
        <w:t>gaan, omdat hiermee hetzelfde resultaat wordt bereikt als via het MLI</w:t>
      </w:r>
      <w:r w:rsidRPr="006A31F0" w:rsidR="005C3F4C">
        <w:rPr>
          <w:rFonts w:ascii="Verdana" w:hAnsi="Verdana" w:cs="Arial"/>
          <w:lang w:val="nl-NL"/>
        </w:rPr>
        <w:t>.</w:t>
      </w:r>
    </w:p>
    <w:p w:rsidRPr="006A31F0" w:rsidR="00D7235B" w:rsidP="006A31F0" w:rsidRDefault="008650C3" w14:paraId="57C6A730" w14:textId="5C72C95E">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rPr>
      </w:pPr>
      <w:r w:rsidRPr="006A31F0">
        <w:rPr>
          <w:rFonts w:ascii="Verdana" w:hAnsi="Verdana" w:cs="Arial"/>
          <w:lang w:val="nl-NL"/>
        </w:rPr>
        <w:tab/>
      </w:r>
      <w:r w:rsidRPr="006A31F0" w:rsidR="00D7235B">
        <w:rPr>
          <w:rFonts w:ascii="Verdana" w:hAnsi="Verdana" w:cs="Arial"/>
          <w:lang w:val="nl-NL"/>
        </w:rPr>
        <w:t>Nederland en Duitsland hebben verkend of het nodig zou zijn om een protocolbepaling overeen te komen over de behandeling van ontslagvergoedingen voor de toepassing van artikel 14 van het Verdrag</w:t>
      </w:r>
      <w:r w:rsidR="00C945AA">
        <w:rPr>
          <w:rFonts w:ascii="Verdana" w:hAnsi="Verdana" w:cs="Arial"/>
          <w:lang w:val="nl-NL"/>
        </w:rPr>
        <w:t xml:space="preserve"> (i</w:t>
      </w:r>
      <w:r w:rsidRPr="009E2FDC" w:rsidR="00C945AA">
        <w:rPr>
          <w:rFonts w:ascii="Verdana" w:hAnsi="Verdana" w:cs="Arial"/>
          <w:lang w:val="nl-NL"/>
        </w:rPr>
        <w:t>nkomsten uit dienstbetrekking</w:t>
      </w:r>
      <w:r w:rsidR="00C945AA">
        <w:rPr>
          <w:rFonts w:ascii="Verdana" w:hAnsi="Verdana" w:cs="Arial"/>
          <w:lang w:val="nl-NL"/>
        </w:rPr>
        <w:t>)</w:t>
      </w:r>
      <w:r w:rsidRPr="006A31F0" w:rsidR="00D7235B">
        <w:rPr>
          <w:rFonts w:ascii="Verdana" w:hAnsi="Verdana" w:cs="Arial"/>
          <w:lang w:val="nl-NL"/>
        </w:rPr>
        <w:t xml:space="preserve">. Omdat Duitsland net als Nederland uitgaat van de uitgangspunten die hierover zijn opgenomen </w:t>
      </w:r>
      <w:r w:rsidRPr="006A31F0" w:rsidR="00D7235B">
        <w:rPr>
          <w:rFonts w:ascii="Verdana" w:hAnsi="Verdana" w:cs="Arial"/>
          <w:lang w:val="nl-NL"/>
        </w:rPr>
        <w:lastRenderedPageBreak/>
        <w:t xml:space="preserve">in het </w:t>
      </w:r>
      <w:r w:rsidRPr="006A31F0" w:rsidR="00101DCA">
        <w:rPr>
          <w:rFonts w:ascii="Verdana" w:hAnsi="Verdana" w:cs="Arial"/>
          <w:lang w:val="nl-NL"/>
        </w:rPr>
        <w:t xml:space="preserve">commentaar bij het </w:t>
      </w:r>
      <w:r w:rsidRPr="006A31F0" w:rsidR="00D7235B">
        <w:rPr>
          <w:rFonts w:ascii="Verdana" w:hAnsi="Verdana" w:cs="Arial"/>
          <w:lang w:val="nl-NL"/>
        </w:rPr>
        <w:t>OESO-modelverdrag</w:t>
      </w:r>
      <w:r w:rsidRPr="006A31F0" w:rsidR="00101DCA">
        <w:rPr>
          <w:rStyle w:val="FootnoteReference"/>
          <w:rFonts w:ascii="Verdana" w:hAnsi="Verdana" w:cs="Arial"/>
          <w:lang w:val="nl-NL"/>
        </w:rPr>
        <w:footnoteReference w:id="6"/>
      </w:r>
      <w:r w:rsidRPr="006A31F0" w:rsidR="00D7235B">
        <w:rPr>
          <w:rFonts w:ascii="Verdana" w:hAnsi="Verdana" w:cs="Arial"/>
          <w:lang w:val="nl-NL"/>
        </w:rPr>
        <w:t xml:space="preserve"> en Duitsland dit ook heeft vastgelegd in zijn nationale wetgeving, is echter geconcludeerd dat een nadere protocolbepaling hierover niet noodzakelijk is.</w:t>
      </w:r>
    </w:p>
    <w:p w:rsidRPr="006A31F0" w:rsidR="008650C3" w:rsidP="006A31F0" w:rsidRDefault="00D7235B" w14:paraId="7B08CDE0" w14:textId="66B8F052">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8650C3">
        <w:rPr>
          <w:rFonts w:ascii="Verdana" w:hAnsi="Verdana" w:cs="Arial"/>
          <w:lang w:val="nl-NL"/>
        </w:rPr>
        <w:t>Tijdens het Algemeen Overleg</w:t>
      </w:r>
      <w:r w:rsidR="00D86D85">
        <w:rPr>
          <w:rFonts w:ascii="Verdana" w:hAnsi="Verdana" w:cs="Arial"/>
          <w:lang w:val="nl-NL"/>
        </w:rPr>
        <w:t xml:space="preserve"> over de</w:t>
      </w:r>
      <w:r w:rsidRPr="006A31F0" w:rsidR="008650C3">
        <w:rPr>
          <w:rFonts w:ascii="Verdana" w:hAnsi="Verdana" w:cs="Arial"/>
          <w:lang w:val="nl-NL"/>
        </w:rPr>
        <w:t xml:space="preserve"> </w:t>
      </w:r>
      <w:r w:rsidR="00D86D85">
        <w:rPr>
          <w:rFonts w:ascii="Verdana" w:hAnsi="Verdana" w:cs="Arial"/>
          <w:lang w:val="nl-NL"/>
        </w:rPr>
        <w:t>b</w:t>
      </w:r>
      <w:r w:rsidRPr="006A31F0" w:rsidR="008650C3">
        <w:rPr>
          <w:rFonts w:ascii="Verdana" w:hAnsi="Verdana" w:cs="Arial"/>
          <w:lang w:val="nl-NL"/>
        </w:rPr>
        <w:t>elasting- en socialezekerheidspositie van grensarbeider</w:t>
      </w:r>
      <w:r w:rsidR="00D86D85">
        <w:rPr>
          <w:rFonts w:ascii="Verdana" w:hAnsi="Verdana" w:cs="Arial"/>
          <w:lang w:val="nl-NL"/>
        </w:rPr>
        <w:t>s</w:t>
      </w:r>
      <w:r w:rsidRPr="006A31F0" w:rsidR="008650C3">
        <w:rPr>
          <w:rFonts w:ascii="Verdana" w:hAnsi="Verdana" w:cs="Arial"/>
          <w:lang w:val="nl-NL"/>
        </w:rPr>
        <w:t xml:space="preserve"> van 5 maart 2020 is gevraagd om te kijken </w:t>
      </w:r>
      <w:r w:rsidRPr="006A31F0" w:rsidR="00820CBC">
        <w:rPr>
          <w:rFonts w:ascii="Verdana" w:hAnsi="Verdana" w:cs="Arial"/>
          <w:lang w:val="nl-NL"/>
        </w:rPr>
        <w:t xml:space="preserve">naar, kort gezegd, </w:t>
      </w:r>
      <w:r w:rsidRPr="006A31F0" w:rsidR="008650C3">
        <w:rPr>
          <w:rFonts w:ascii="Verdana" w:hAnsi="Verdana" w:cs="Arial"/>
          <w:lang w:val="nl-NL"/>
        </w:rPr>
        <w:t>een drempelregeling voor thuiswerkdagen, waardoor een beperkt aantal thuiswerkdagen niet direct zou leiden tot verschuiving van het heffingsrecht</w:t>
      </w:r>
      <w:r w:rsidRPr="006A31F0" w:rsidR="00444D78">
        <w:rPr>
          <w:rFonts w:ascii="Verdana" w:hAnsi="Verdana" w:cs="Arial"/>
          <w:lang w:val="nl-NL"/>
        </w:rPr>
        <w:t xml:space="preserve"> naar het woonland</w:t>
      </w:r>
      <w:r w:rsidRPr="006A31F0" w:rsidR="008650C3">
        <w:rPr>
          <w:rFonts w:ascii="Verdana" w:hAnsi="Verdana" w:cs="Arial"/>
          <w:lang w:val="nl-NL"/>
        </w:rPr>
        <w:t>.</w:t>
      </w:r>
      <w:r w:rsidRPr="006A31F0" w:rsidR="008650C3">
        <w:rPr>
          <w:rStyle w:val="FootnoteReference"/>
          <w:rFonts w:ascii="Verdana" w:hAnsi="Verdana" w:cs="Arial"/>
          <w:lang w:val="nl-NL"/>
        </w:rPr>
        <w:footnoteReference w:id="7"/>
      </w:r>
      <w:r w:rsidRPr="006A31F0" w:rsidR="008650C3">
        <w:rPr>
          <w:rFonts w:ascii="Verdana" w:hAnsi="Verdana" w:cs="Arial"/>
          <w:lang w:val="nl-NL"/>
        </w:rPr>
        <w:t xml:space="preserve"> </w:t>
      </w:r>
      <w:r w:rsidRPr="006A31F0" w:rsidR="00444D78">
        <w:rPr>
          <w:rFonts w:ascii="Verdana" w:hAnsi="Verdana" w:cs="Arial"/>
          <w:lang w:val="nl-NL"/>
        </w:rPr>
        <w:t xml:space="preserve">Dit is tijdens de </w:t>
      </w:r>
      <w:r w:rsidRPr="006A31F0" w:rsidR="00B246F2">
        <w:rPr>
          <w:rFonts w:ascii="Verdana" w:hAnsi="Verdana" w:cs="Arial"/>
          <w:lang w:val="nl-NL"/>
        </w:rPr>
        <w:t xml:space="preserve">onderhandelingen </w:t>
      </w:r>
      <w:r w:rsidRPr="006A31F0" w:rsidR="00444D78">
        <w:rPr>
          <w:rFonts w:ascii="Verdana" w:hAnsi="Verdana" w:cs="Arial"/>
          <w:lang w:val="nl-NL"/>
        </w:rPr>
        <w:t>met Duitsland aan de orde gekomen. Nu een dergelijke regeling de nodig</w:t>
      </w:r>
      <w:r w:rsidRPr="006A31F0" w:rsidR="00820CBC">
        <w:rPr>
          <w:rFonts w:ascii="Verdana" w:hAnsi="Verdana" w:cs="Arial"/>
          <w:lang w:val="nl-NL"/>
        </w:rPr>
        <w:t>e</w:t>
      </w:r>
      <w:r w:rsidRPr="006A31F0" w:rsidR="00444D78">
        <w:rPr>
          <w:rFonts w:ascii="Verdana" w:hAnsi="Verdana" w:cs="Arial"/>
          <w:lang w:val="nl-NL"/>
        </w:rPr>
        <w:t xml:space="preserve"> complexiteit met zich brengt</w:t>
      </w:r>
      <w:r w:rsidRPr="006A31F0" w:rsidR="00820CBC">
        <w:rPr>
          <w:rFonts w:ascii="Verdana" w:hAnsi="Verdana" w:cs="Arial"/>
          <w:lang w:val="nl-NL"/>
        </w:rPr>
        <w:t xml:space="preserve"> en </w:t>
      </w:r>
      <w:r w:rsidRPr="006A31F0" w:rsidR="00A3410C">
        <w:rPr>
          <w:rFonts w:ascii="Verdana" w:hAnsi="Verdana" w:cs="Arial"/>
          <w:lang w:val="nl-NL"/>
        </w:rPr>
        <w:t xml:space="preserve">tevens </w:t>
      </w:r>
      <w:r w:rsidRPr="006A31F0" w:rsidR="00820CBC">
        <w:rPr>
          <w:rFonts w:ascii="Verdana" w:hAnsi="Verdana" w:cs="Arial"/>
          <w:lang w:val="nl-NL"/>
        </w:rPr>
        <w:t>nader onderzoek vergt</w:t>
      </w:r>
      <w:r w:rsidRPr="006A31F0" w:rsidR="00444D78">
        <w:rPr>
          <w:rFonts w:ascii="Verdana" w:hAnsi="Verdana" w:cs="Arial"/>
          <w:lang w:val="nl-NL"/>
        </w:rPr>
        <w:t xml:space="preserve">, worden </w:t>
      </w:r>
      <w:r w:rsidRPr="006A31F0" w:rsidR="00820CBC">
        <w:rPr>
          <w:rFonts w:ascii="Verdana" w:hAnsi="Verdana" w:cs="Arial"/>
          <w:lang w:val="nl-NL"/>
        </w:rPr>
        <w:t xml:space="preserve">de </w:t>
      </w:r>
      <w:r w:rsidRPr="006A31F0" w:rsidR="00444D78">
        <w:rPr>
          <w:rFonts w:ascii="Verdana" w:hAnsi="Verdana" w:cs="Arial"/>
          <w:lang w:val="nl-NL"/>
        </w:rPr>
        <w:t xml:space="preserve">gesprekken hierover </w:t>
      </w:r>
      <w:r w:rsidRPr="006A31F0" w:rsidR="00820CBC">
        <w:rPr>
          <w:rFonts w:ascii="Verdana" w:hAnsi="Verdana" w:cs="Arial"/>
          <w:lang w:val="nl-NL"/>
        </w:rPr>
        <w:t xml:space="preserve">met Duitsland </w:t>
      </w:r>
      <w:r w:rsidRPr="006A31F0" w:rsidR="00444D78">
        <w:rPr>
          <w:rFonts w:ascii="Verdana" w:hAnsi="Verdana" w:cs="Arial"/>
          <w:lang w:val="nl-NL"/>
        </w:rPr>
        <w:t>los van dit Wijzigingsprotocol voortgezet.</w:t>
      </w:r>
    </w:p>
    <w:p w:rsidRPr="006A31F0" w:rsidR="00062B66" w:rsidP="006A31F0" w:rsidRDefault="00062B66" w14:paraId="2B2ED2BB"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p>
    <w:p w:rsidRPr="006A31F0" w:rsidR="00D144C0" w:rsidP="006A31F0" w:rsidRDefault="00357697" w14:paraId="3E571ACA"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r w:rsidRPr="006A31F0">
        <w:rPr>
          <w:rFonts w:ascii="Verdana" w:hAnsi="Verdana" w:cs="Arial"/>
          <w:b/>
          <w:i/>
          <w:lang w:val="nl-NL"/>
        </w:rPr>
        <w:t>I.3. Budgettaire gevolgen</w:t>
      </w:r>
    </w:p>
    <w:p w:rsidRPr="006A31F0" w:rsidR="00F90570" w:rsidP="006A31F0" w:rsidRDefault="00F90570" w14:paraId="2EAB7C78" w14:textId="53EB9C42">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t xml:space="preserve">De wijzigingen </w:t>
      </w:r>
      <w:r w:rsidR="003D2CD2">
        <w:rPr>
          <w:rFonts w:ascii="Verdana" w:hAnsi="Verdana" w:cs="Arial"/>
          <w:lang w:val="nl-NL"/>
        </w:rPr>
        <w:t xml:space="preserve">die met het Wijzigingsprotocol worden aangebracht in het Verdrag en het Protocol bij het Verdrag </w:t>
      </w:r>
      <w:r w:rsidRPr="006A31F0">
        <w:rPr>
          <w:rFonts w:ascii="Verdana" w:hAnsi="Verdana" w:cs="Arial"/>
          <w:lang w:val="nl-NL"/>
        </w:rPr>
        <w:t xml:space="preserve">betreffen met name een aanpassing van het heffingsrecht over socialezekerheidsuitkeringen, het verwerken van de door Nederland en Duitsland gemaakte keuzes bij het MLI en redactionele aanpassingen. De implementatie van het MLI heeft naar verwachting per saldo geen budgettaire gevolgen.  </w:t>
      </w:r>
    </w:p>
    <w:p w:rsidRPr="006A31F0" w:rsidR="00F90570" w:rsidP="006A31F0" w:rsidRDefault="00F90570" w14:paraId="03D2CD35"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t>Doordat het heffingsrecht over socialezekerheidsuitkeringen (niet zijnde socialezekerheidspensioenen) tot een bedrag van € 15.000 aan het bronland wordt toegewezen, verliest Nederland het heffingsrecht over Duitse uitkeringen tot € 15.000 aan inwoners van Nederland, maar verkrijgt Nederland het heffingsrecht over Nederlandse uitkeringen tot € 15.000 aan inwoners van Duitsland. In het laatste geval gaat het om meeropbrengst in de loon- en inkomstenbelasting van enkele miljoenen euro, op basis van gegevens uit de loonaangiften en afhankelijk van de persoonlijke situatie. Het is op basis van de aangiften inkomstenbelasting niet precies af te leiden over welk bedrag het heffingsrecht verloren gaat, maar aangezien het aantal grenswerkers dat in Nederland woont en in Duitsland</w:t>
      </w:r>
      <w:r w:rsidRPr="006A31F0">
        <w:rPr>
          <w:rFonts w:ascii="Verdana" w:hAnsi="Verdana" w:cs="Arial"/>
        </w:rPr>
        <w:t xml:space="preserve"> werkt</w:t>
      </w:r>
      <w:r w:rsidRPr="006A31F0">
        <w:rPr>
          <w:rFonts w:ascii="Verdana" w:hAnsi="Verdana" w:cs="Arial"/>
          <w:lang w:val="nl-NL"/>
        </w:rPr>
        <w:t xml:space="preserve"> lager ligt dan omgekeerd,</w:t>
      </w:r>
      <w:r w:rsidRPr="006A31F0">
        <w:rPr>
          <w:rStyle w:val="FootnoteReference"/>
          <w:rFonts w:ascii="Verdana" w:hAnsi="Verdana" w:cs="Arial"/>
          <w:lang w:val="nl-NL"/>
        </w:rPr>
        <w:footnoteReference w:id="8"/>
      </w:r>
      <w:r w:rsidRPr="006A31F0">
        <w:rPr>
          <w:rFonts w:ascii="Verdana" w:hAnsi="Verdana" w:cs="Arial"/>
          <w:lang w:val="nl-NL"/>
        </w:rPr>
        <w:t xml:space="preserve"> en er dus waarschijnlijk een lager bedrag aan socialezekerheidsuitkeringen vanuit Duitsland naar Nederland uitgekeerd wordt dan omgekeerd, is het aannemelijk dat de derving in ieder geval niet groter is dan de extra opbrengst. Per saldo zijn de budgettaire effecten naar verwachting verwaarloosbaar.</w:t>
      </w:r>
    </w:p>
    <w:p w:rsidRPr="006A31F0" w:rsidR="00936F28" w:rsidP="006A31F0" w:rsidRDefault="00936F28" w14:paraId="491713EA"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p>
    <w:p w:rsidRPr="009E2FDC" w:rsidR="005C3F4C" w:rsidP="006A31F0" w:rsidRDefault="005C3F4C" w14:paraId="1563D18D" w14:textId="6D5E2784">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r w:rsidRPr="009E2FDC">
        <w:rPr>
          <w:rFonts w:ascii="Verdana" w:hAnsi="Verdana" w:cs="Arial"/>
          <w:b/>
          <w:i/>
          <w:lang w:val="nl-NL"/>
        </w:rPr>
        <w:t>I.4</w:t>
      </w:r>
      <w:r w:rsidR="00C945AA">
        <w:rPr>
          <w:rFonts w:ascii="Verdana" w:hAnsi="Verdana" w:cs="Arial"/>
          <w:b/>
          <w:i/>
          <w:lang w:val="nl-NL"/>
        </w:rPr>
        <w:t>.</w:t>
      </w:r>
      <w:r w:rsidRPr="009E2FDC">
        <w:rPr>
          <w:rFonts w:ascii="Verdana" w:hAnsi="Verdana" w:cs="Arial"/>
          <w:b/>
          <w:i/>
          <w:lang w:val="nl-NL"/>
        </w:rPr>
        <w:t xml:space="preserve"> Uitvoeringsgevolgen</w:t>
      </w:r>
    </w:p>
    <w:p w:rsidR="005C3F4C" w:rsidP="006A31F0" w:rsidRDefault="00856EE3" w14:paraId="67EEDDB0" w14:textId="24C3FFA4">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856EE3">
        <w:rPr>
          <w:rFonts w:ascii="Verdana" w:hAnsi="Verdana" w:cs="Arial"/>
          <w:lang w:val="nl-NL"/>
        </w:rPr>
        <w:t xml:space="preserve">De Belastingdienst heeft </w:t>
      </w:r>
      <w:r w:rsidR="003D60EA">
        <w:rPr>
          <w:rFonts w:ascii="Verdana" w:hAnsi="Verdana" w:cs="Arial"/>
          <w:lang w:val="nl-NL"/>
        </w:rPr>
        <w:t>het Wijzigingsprotocol</w:t>
      </w:r>
      <w:r w:rsidRPr="00856EE3">
        <w:rPr>
          <w:rFonts w:ascii="Verdana" w:hAnsi="Verdana" w:cs="Arial"/>
          <w:lang w:val="nl-NL"/>
        </w:rPr>
        <w:t xml:space="preserve"> op uitvoerbaarheid beoordeeld </w:t>
      </w:r>
      <w:r>
        <w:rPr>
          <w:rFonts w:ascii="Verdana" w:hAnsi="Verdana" w:cs="Arial"/>
          <w:lang w:val="nl-NL"/>
        </w:rPr>
        <w:t>door middel van</w:t>
      </w:r>
      <w:r w:rsidRPr="00856EE3">
        <w:rPr>
          <w:rFonts w:ascii="Verdana" w:hAnsi="Verdana" w:cs="Arial"/>
          <w:lang w:val="nl-NL"/>
        </w:rPr>
        <w:t xml:space="preserve"> een </w:t>
      </w:r>
      <w:r>
        <w:rPr>
          <w:rFonts w:ascii="Verdana" w:hAnsi="Verdana" w:cs="Arial"/>
          <w:lang w:val="nl-NL"/>
        </w:rPr>
        <w:t>U</w:t>
      </w:r>
      <w:r w:rsidRPr="00856EE3">
        <w:rPr>
          <w:rFonts w:ascii="Verdana" w:hAnsi="Verdana" w:cs="Arial"/>
          <w:lang w:val="nl-NL"/>
        </w:rPr>
        <w:t xml:space="preserve">itvoeringstoets. Hieruit </w:t>
      </w:r>
      <w:r w:rsidR="009E2FDC">
        <w:rPr>
          <w:rFonts w:ascii="Verdana" w:hAnsi="Verdana" w:cs="Arial"/>
          <w:lang w:val="nl-NL"/>
        </w:rPr>
        <w:t>volgt</w:t>
      </w:r>
      <w:r w:rsidRPr="00856EE3" w:rsidR="009E2FDC">
        <w:rPr>
          <w:rFonts w:ascii="Verdana" w:hAnsi="Verdana" w:cs="Arial"/>
          <w:lang w:val="nl-NL"/>
        </w:rPr>
        <w:t xml:space="preserve"> </w:t>
      </w:r>
      <w:r w:rsidRPr="00856EE3">
        <w:rPr>
          <w:rFonts w:ascii="Verdana" w:hAnsi="Verdana" w:cs="Arial"/>
          <w:lang w:val="nl-NL"/>
        </w:rPr>
        <w:t xml:space="preserve">dat de maatregel uitvoerbaar is per 2022 </w:t>
      </w:r>
      <w:r w:rsidRPr="00856EE3">
        <w:rPr>
          <w:rFonts w:ascii="Verdana" w:hAnsi="Verdana" w:cs="Arial"/>
          <w:lang w:val="nl-NL"/>
        </w:rPr>
        <w:lastRenderedPageBreak/>
        <w:t>en een beperkte impact heeft.</w:t>
      </w:r>
    </w:p>
    <w:p w:rsidRPr="006A31F0" w:rsidR="00C945AA" w:rsidP="006A31F0" w:rsidRDefault="00C945AA" w14:paraId="12DB1E6C" w14:textId="77777777">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lang w:val="nl-NL"/>
        </w:rPr>
      </w:pPr>
    </w:p>
    <w:p w:rsidRPr="006A31F0" w:rsidR="00D144C0" w:rsidP="006A31F0" w:rsidRDefault="00D144C0" w14:paraId="51BB9C07" w14:textId="77777777">
      <w:pPr>
        <w:spacing w:line="360" w:lineRule="auto"/>
        <w:rPr>
          <w:rFonts w:ascii="Verdana" w:hAnsi="Verdana" w:cs="Arial"/>
          <w:b/>
          <w:bCs/>
          <w:i/>
          <w:lang w:val="nl-NL"/>
        </w:rPr>
      </w:pPr>
      <w:r w:rsidRPr="006A31F0">
        <w:rPr>
          <w:rFonts w:ascii="Verdana" w:hAnsi="Verdana" w:cs="Arial"/>
          <w:b/>
          <w:i/>
          <w:lang w:val="nl-NL"/>
        </w:rPr>
        <w:t>I.</w:t>
      </w:r>
      <w:r w:rsidRPr="006A31F0" w:rsidR="005C3F4C">
        <w:rPr>
          <w:rFonts w:ascii="Verdana" w:hAnsi="Verdana" w:cs="Arial"/>
          <w:b/>
          <w:i/>
          <w:lang w:val="nl-NL"/>
        </w:rPr>
        <w:t>5</w:t>
      </w:r>
      <w:r w:rsidRPr="006A31F0">
        <w:rPr>
          <w:rFonts w:ascii="Verdana" w:hAnsi="Verdana" w:cs="Arial"/>
          <w:b/>
          <w:i/>
          <w:lang w:val="nl-NL"/>
        </w:rPr>
        <w:t xml:space="preserve">. </w:t>
      </w:r>
      <w:r w:rsidRPr="006A31F0">
        <w:rPr>
          <w:rFonts w:ascii="Verdana" w:hAnsi="Verdana" w:cs="Arial"/>
          <w:b/>
          <w:bCs/>
          <w:i/>
          <w:lang w:val="nl-NL"/>
        </w:rPr>
        <w:t>Koninkrijkspositie</w:t>
      </w:r>
    </w:p>
    <w:p w:rsidRPr="006A31F0" w:rsidR="00263D5A" w:rsidP="002D3C2A" w:rsidRDefault="00263D5A" w14:paraId="255D9262" w14:textId="068F24A2">
      <w:pPr>
        <w:tabs>
          <w:tab w:val="left" w:pos="-720"/>
          <w:tab w:val="left" w:pos="-288"/>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t xml:space="preserve">Het Wijzigingsprotocol zal, net als het Verdrag en het Protocol bij het Verdrag zelf, alleen gelden voor het Europese deel van Nederland. Het Verdrag, met Protocol, kan ook in gewijzigde vorm uitgebreid worden tot de Caribische delen van het Koninkrijk, ingevolge artikel 32 van het Verdrag. </w:t>
      </w:r>
      <w:r w:rsidRPr="002D3C2A" w:rsidR="002D3C2A">
        <w:rPr>
          <w:rFonts w:ascii="Verdana" w:hAnsi="Verdana" w:cs="Arial"/>
          <w:lang w:val="nl-NL"/>
        </w:rPr>
        <w:t>Indien in de toekomst tot uitbreiding wordt overgegaan naar één of meer van de andere delen van het Koninkrijk, behoeft die uitbreiding een afzonderlijke overeenstemming met Duitsland en nadere formele vastlegging in een verdrag.</w:t>
      </w:r>
      <w:r w:rsidR="00ED4D1F">
        <w:rPr>
          <w:rFonts w:ascii="Verdana" w:hAnsi="Verdana" w:cs="Arial"/>
          <w:lang w:val="nl-NL"/>
        </w:rPr>
        <w:t xml:space="preserve"> </w:t>
      </w:r>
      <w:r w:rsidR="00C945AA">
        <w:rPr>
          <w:rFonts w:ascii="Verdana" w:hAnsi="Verdana" w:cs="Arial"/>
          <w:lang w:val="nl-NL"/>
        </w:rPr>
        <w:t>Een dergelijk</w:t>
      </w:r>
      <w:r w:rsidRPr="002D3C2A" w:rsidR="00C945AA">
        <w:rPr>
          <w:rFonts w:ascii="Verdana" w:hAnsi="Verdana" w:cs="Arial"/>
          <w:lang w:val="nl-NL"/>
        </w:rPr>
        <w:t xml:space="preserve"> </w:t>
      </w:r>
      <w:r w:rsidRPr="002D3C2A" w:rsidR="002D3C2A">
        <w:rPr>
          <w:rFonts w:ascii="Verdana" w:hAnsi="Verdana" w:cs="Arial"/>
          <w:lang w:val="nl-NL"/>
        </w:rPr>
        <w:t>uitbreidingsverdrag zal separaat ter goedkeuring aan het parlement dienen te worden voorgelegd. Ook eventuele uitbreidingsverdragen ten behoeve van Aruba, Curaçao of Sint Maarten zullen uiteraard de goedkeuring van het parlement behoeven.</w:t>
      </w:r>
      <w:r w:rsidRPr="006A31F0">
        <w:rPr>
          <w:rFonts w:ascii="Verdana" w:hAnsi="Verdana" w:cs="Arial"/>
          <w:lang w:val="nl-NL"/>
        </w:rPr>
        <w:t xml:space="preserve"> </w:t>
      </w:r>
    </w:p>
    <w:p w:rsidRPr="006A31F0" w:rsidR="00062B66" w:rsidP="006A31F0" w:rsidRDefault="00062B66" w14:paraId="11C58B47" w14:textId="77777777">
      <w:pPr>
        <w:spacing w:line="360" w:lineRule="auto"/>
        <w:rPr>
          <w:rFonts w:ascii="Verdana" w:hAnsi="Verdana" w:cs="Arial"/>
          <w:b/>
          <w:bCs/>
          <w:i/>
          <w:lang w:val="nl-NL"/>
        </w:rPr>
      </w:pPr>
    </w:p>
    <w:p w:rsidRPr="006A31F0" w:rsidR="004E289D" w:rsidP="00EE1FFA" w:rsidRDefault="004E289D" w14:paraId="627CD5D1" w14:textId="77777777">
      <w:pPr>
        <w:keepNext/>
        <w:widowControl/>
        <w:spacing w:line="360" w:lineRule="auto"/>
        <w:rPr>
          <w:rFonts w:ascii="Verdana" w:hAnsi="Verdana" w:cs="Arial"/>
          <w:b/>
          <w:i/>
          <w:lang w:val="nl-NL"/>
        </w:rPr>
      </w:pPr>
      <w:r w:rsidRPr="006A31F0">
        <w:rPr>
          <w:rFonts w:ascii="Verdana" w:hAnsi="Verdana" w:cs="Arial"/>
          <w:b/>
          <w:i/>
          <w:lang w:val="nl-NL"/>
        </w:rPr>
        <w:t>I.</w:t>
      </w:r>
      <w:r w:rsidRPr="006A31F0" w:rsidR="005C3F4C">
        <w:rPr>
          <w:rFonts w:ascii="Verdana" w:hAnsi="Verdana" w:cs="Arial"/>
          <w:b/>
          <w:i/>
          <w:lang w:val="nl-NL"/>
        </w:rPr>
        <w:t>6</w:t>
      </w:r>
      <w:r w:rsidRPr="006A31F0">
        <w:rPr>
          <w:rFonts w:ascii="Verdana" w:hAnsi="Verdana" w:cs="Arial"/>
          <w:b/>
          <w:i/>
          <w:lang w:val="nl-NL"/>
        </w:rPr>
        <w:t>. Inbreng van derden</w:t>
      </w:r>
      <w:r w:rsidRPr="006A31F0" w:rsidR="008650C3">
        <w:rPr>
          <w:rFonts w:ascii="Verdana" w:hAnsi="Verdana" w:cs="Arial"/>
          <w:b/>
          <w:i/>
          <w:lang w:val="nl-NL"/>
        </w:rPr>
        <w:t xml:space="preserve"> </w:t>
      </w:r>
    </w:p>
    <w:p w:rsidRPr="006A31F0" w:rsidR="006A25E4" w:rsidP="006A31F0" w:rsidRDefault="004E289D" w14:paraId="6A23A783" w14:textId="72FA9573">
      <w:pPr>
        <w:widowControl/>
        <w:spacing w:line="360" w:lineRule="auto"/>
        <w:ind w:firstLine="708"/>
        <w:rPr>
          <w:rFonts w:ascii="Verdana" w:hAnsi="Verdana" w:cs="Arial"/>
          <w:lang w:val="nl-NL"/>
        </w:rPr>
      </w:pPr>
      <w:r w:rsidRPr="006A31F0">
        <w:rPr>
          <w:rFonts w:ascii="Verdana" w:hAnsi="Verdana" w:cs="Arial"/>
          <w:lang w:val="nl-NL"/>
        </w:rPr>
        <w:t xml:space="preserve">In </w:t>
      </w:r>
      <w:r w:rsidRPr="006A31F0" w:rsidR="008F56EE">
        <w:rPr>
          <w:rFonts w:ascii="Verdana" w:hAnsi="Verdana" w:cs="Arial"/>
          <w:lang w:val="nl-NL"/>
        </w:rPr>
        <w:t>de ”R</w:t>
      </w:r>
      <w:r w:rsidRPr="006A31F0">
        <w:rPr>
          <w:rFonts w:ascii="Verdana" w:hAnsi="Verdana" w:cs="Arial"/>
          <w:lang w:val="nl-NL"/>
        </w:rPr>
        <w:t>apportage van fiscale knelpunten van grensarbeiders 2019</w:t>
      </w:r>
      <w:r w:rsidRPr="006A31F0" w:rsidR="008F56EE">
        <w:rPr>
          <w:rFonts w:ascii="Verdana" w:hAnsi="Verdana" w:cs="Arial"/>
          <w:lang w:val="nl-NL"/>
        </w:rPr>
        <w:t>”</w:t>
      </w:r>
      <w:r w:rsidRPr="006A31F0" w:rsidR="008F56EE">
        <w:rPr>
          <w:rStyle w:val="FootnoteReference"/>
          <w:rFonts w:ascii="Verdana" w:hAnsi="Verdana" w:cs="Arial"/>
          <w:lang w:val="nl-NL"/>
        </w:rPr>
        <w:footnoteReference w:id="9"/>
      </w:r>
      <w:r w:rsidRPr="006A31F0">
        <w:rPr>
          <w:rFonts w:ascii="Verdana" w:hAnsi="Verdana" w:cs="Arial"/>
          <w:lang w:val="nl-NL"/>
        </w:rPr>
        <w:t xml:space="preserve"> en tijdens het Algemeen Overleg </w:t>
      </w:r>
      <w:r w:rsidR="00E14414">
        <w:rPr>
          <w:rFonts w:ascii="Verdana" w:hAnsi="Verdana" w:cs="Arial"/>
          <w:lang w:val="nl-NL"/>
        </w:rPr>
        <w:t>over de b</w:t>
      </w:r>
      <w:r w:rsidRPr="006A31F0">
        <w:rPr>
          <w:rFonts w:ascii="Verdana" w:hAnsi="Verdana" w:cs="Arial"/>
          <w:lang w:val="nl-NL"/>
        </w:rPr>
        <w:t>elasting- en socialezekerheidspositie van grensarbeider</w:t>
      </w:r>
      <w:r w:rsidR="00E14414">
        <w:rPr>
          <w:rFonts w:ascii="Verdana" w:hAnsi="Verdana" w:cs="Arial"/>
          <w:lang w:val="nl-NL"/>
        </w:rPr>
        <w:t>s</w:t>
      </w:r>
      <w:r w:rsidRPr="006A31F0">
        <w:rPr>
          <w:rFonts w:ascii="Verdana" w:hAnsi="Verdana" w:cs="Arial"/>
          <w:lang w:val="nl-NL"/>
        </w:rPr>
        <w:t xml:space="preserve"> van 5 maart 2020</w:t>
      </w:r>
      <w:r w:rsidRPr="006A31F0" w:rsidR="008F56EE">
        <w:rPr>
          <w:rStyle w:val="FootnoteReference"/>
          <w:rFonts w:ascii="Verdana" w:hAnsi="Verdana" w:cs="Arial"/>
          <w:lang w:val="nl-NL"/>
        </w:rPr>
        <w:footnoteReference w:id="10"/>
      </w:r>
      <w:r w:rsidRPr="006A31F0">
        <w:rPr>
          <w:rFonts w:ascii="Verdana" w:hAnsi="Verdana" w:cs="Arial"/>
          <w:lang w:val="nl-NL"/>
        </w:rPr>
        <w:t xml:space="preserve"> is aangekondigd dat </w:t>
      </w:r>
      <w:r w:rsidRPr="006A31F0" w:rsidR="00C809CA">
        <w:rPr>
          <w:rFonts w:ascii="Verdana" w:hAnsi="Verdana" w:cs="Arial"/>
          <w:lang w:val="nl-NL"/>
        </w:rPr>
        <w:t>het Ministerie van Financiën in</w:t>
      </w:r>
      <w:r w:rsidRPr="006A31F0">
        <w:rPr>
          <w:rFonts w:ascii="Verdana" w:hAnsi="Verdana" w:cs="Arial"/>
          <w:lang w:val="nl-NL"/>
        </w:rPr>
        <w:t xml:space="preserve"> overleg met Duitsland </w:t>
      </w:r>
      <w:r w:rsidRPr="006A31F0" w:rsidR="004D5DDC">
        <w:rPr>
          <w:rFonts w:ascii="Verdana" w:hAnsi="Verdana" w:cs="Arial"/>
          <w:lang w:val="nl-NL"/>
        </w:rPr>
        <w:t>onderzoekt</w:t>
      </w:r>
      <w:r w:rsidRPr="006A31F0">
        <w:rPr>
          <w:rFonts w:ascii="Verdana" w:hAnsi="Verdana" w:cs="Arial"/>
          <w:lang w:val="nl-NL"/>
        </w:rPr>
        <w:t xml:space="preserve"> of er een oplossing</w:t>
      </w:r>
      <w:r w:rsidRPr="006A31F0" w:rsidR="00C809CA">
        <w:rPr>
          <w:rFonts w:ascii="Verdana" w:hAnsi="Verdana" w:cs="Arial"/>
          <w:lang w:val="nl-NL"/>
        </w:rPr>
        <w:t xml:space="preserve"> k</w:t>
      </w:r>
      <w:r w:rsidRPr="006A31F0" w:rsidR="004D5DDC">
        <w:rPr>
          <w:rFonts w:ascii="Verdana" w:hAnsi="Verdana" w:cs="Arial"/>
          <w:lang w:val="nl-NL"/>
        </w:rPr>
        <w:t>a</w:t>
      </w:r>
      <w:r w:rsidRPr="006A31F0" w:rsidR="00C809CA">
        <w:rPr>
          <w:rFonts w:ascii="Verdana" w:hAnsi="Verdana" w:cs="Arial"/>
          <w:lang w:val="nl-NL"/>
        </w:rPr>
        <w:t>n worden</w:t>
      </w:r>
      <w:r w:rsidRPr="006A31F0">
        <w:rPr>
          <w:rFonts w:ascii="Verdana" w:hAnsi="Verdana" w:cs="Arial"/>
          <w:lang w:val="nl-NL"/>
        </w:rPr>
        <w:t xml:space="preserve"> gevonden voor de on</w:t>
      </w:r>
      <w:r w:rsidRPr="006A31F0" w:rsidR="00D97CB4">
        <w:rPr>
          <w:rFonts w:ascii="Verdana" w:hAnsi="Verdana" w:cs="Arial"/>
          <w:lang w:val="nl-NL"/>
        </w:rPr>
        <w:t>evenwichtige</w:t>
      </w:r>
      <w:r w:rsidRPr="006A31F0">
        <w:rPr>
          <w:rFonts w:ascii="Verdana" w:hAnsi="Verdana" w:cs="Arial"/>
          <w:lang w:val="nl-NL"/>
        </w:rPr>
        <w:t xml:space="preserve"> uitkomsten van artikel 17 van het Verdrag met betrekking tot een aantal specifieke Duitse </w:t>
      </w:r>
      <w:r w:rsidRPr="006A31F0" w:rsidR="00862D6B">
        <w:rPr>
          <w:rFonts w:ascii="Verdana" w:hAnsi="Verdana" w:cs="Arial"/>
          <w:lang w:val="nl-NL"/>
        </w:rPr>
        <w:t xml:space="preserve">kortdurende </w:t>
      </w:r>
      <w:r w:rsidRPr="006A31F0">
        <w:rPr>
          <w:rFonts w:ascii="Verdana" w:hAnsi="Verdana" w:cs="Arial"/>
          <w:lang w:val="nl-NL"/>
        </w:rPr>
        <w:t>socialezekerheidsuitkeringen.</w:t>
      </w:r>
    </w:p>
    <w:p w:rsidRPr="006A31F0" w:rsidR="004E289D" w:rsidP="006A31F0" w:rsidRDefault="004E289D" w14:paraId="74DE3EB4" w14:textId="77777777">
      <w:pPr>
        <w:widowControl/>
        <w:spacing w:line="360" w:lineRule="auto"/>
        <w:ind w:firstLine="708"/>
        <w:rPr>
          <w:rFonts w:ascii="Verdana" w:hAnsi="Verdana" w:cs="Arial"/>
          <w:lang w:val="nl-NL"/>
        </w:rPr>
      </w:pPr>
      <w:r w:rsidRPr="006A31F0">
        <w:rPr>
          <w:rFonts w:ascii="Verdana" w:hAnsi="Verdana" w:cs="Arial"/>
          <w:lang w:val="nl-NL"/>
        </w:rPr>
        <w:t xml:space="preserve">In het kader van voorgenoemde </w:t>
      </w:r>
      <w:r w:rsidRPr="006A31F0" w:rsidR="00C809CA">
        <w:rPr>
          <w:rFonts w:ascii="Verdana" w:hAnsi="Verdana" w:cs="Arial"/>
          <w:lang w:val="nl-NL"/>
        </w:rPr>
        <w:t>knelpunten</w:t>
      </w:r>
      <w:r w:rsidRPr="006A31F0">
        <w:rPr>
          <w:rFonts w:ascii="Verdana" w:hAnsi="Verdana" w:cs="Arial"/>
          <w:lang w:val="nl-NL"/>
        </w:rPr>
        <w:t xml:space="preserve">rapportage heeft er overleg plaatsgevonden met </w:t>
      </w:r>
      <w:r w:rsidRPr="006A31F0" w:rsidR="00911B19">
        <w:rPr>
          <w:rFonts w:ascii="Verdana" w:hAnsi="Verdana" w:cs="Arial"/>
          <w:lang w:val="nl-NL"/>
        </w:rPr>
        <w:t>de</w:t>
      </w:r>
      <w:r w:rsidRPr="006A31F0">
        <w:rPr>
          <w:rFonts w:ascii="Verdana" w:hAnsi="Verdana" w:cs="Arial"/>
          <w:lang w:val="nl-NL"/>
        </w:rPr>
        <w:t xml:space="preserve"> Vereniging </w:t>
      </w:r>
      <w:r w:rsidRPr="006A31F0" w:rsidR="00C809CA">
        <w:rPr>
          <w:rFonts w:ascii="Verdana" w:hAnsi="Verdana" w:cs="Arial"/>
          <w:lang w:val="nl-NL"/>
        </w:rPr>
        <w:t>Europese Grenslandbewoners</w:t>
      </w:r>
      <w:r w:rsidRPr="006A31F0">
        <w:rPr>
          <w:rFonts w:ascii="Verdana" w:hAnsi="Verdana" w:cs="Arial"/>
          <w:lang w:val="nl-NL"/>
        </w:rPr>
        <w:t>.</w:t>
      </w:r>
      <w:r w:rsidRPr="006A31F0" w:rsidR="004D5DDC">
        <w:rPr>
          <w:rFonts w:ascii="Verdana" w:hAnsi="Verdana" w:cs="Arial"/>
          <w:lang w:val="nl-NL"/>
        </w:rPr>
        <w:t xml:space="preserve"> </w:t>
      </w:r>
      <w:r w:rsidRPr="006A31F0" w:rsidR="00636AFB">
        <w:rPr>
          <w:rFonts w:ascii="Verdana" w:hAnsi="Verdana" w:cs="Arial"/>
          <w:lang w:val="nl-NL"/>
        </w:rPr>
        <w:t>Bij die bespreking</w:t>
      </w:r>
      <w:r w:rsidRPr="006A31F0" w:rsidR="00911B19">
        <w:rPr>
          <w:rFonts w:ascii="Verdana" w:hAnsi="Verdana" w:cs="Arial"/>
          <w:lang w:val="nl-NL"/>
        </w:rPr>
        <w:t xml:space="preserve"> is</w:t>
      </w:r>
      <w:r w:rsidRPr="006A31F0" w:rsidR="00345C58">
        <w:rPr>
          <w:rFonts w:ascii="Verdana" w:hAnsi="Verdana" w:cs="Arial"/>
          <w:lang w:val="nl-NL"/>
        </w:rPr>
        <w:t xml:space="preserve"> ook gewezen op de onevenwichtige uitkomsten van artikel 17 van het Verdrag met betrekking tot een aantal specifieke Duitse </w:t>
      </w:r>
      <w:r w:rsidRPr="006A31F0" w:rsidR="001D738A">
        <w:rPr>
          <w:rFonts w:ascii="Verdana" w:hAnsi="Verdana" w:cs="Arial"/>
          <w:lang w:val="nl-NL"/>
        </w:rPr>
        <w:t xml:space="preserve">kortdurende </w:t>
      </w:r>
      <w:r w:rsidRPr="006A31F0" w:rsidR="00345C58">
        <w:rPr>
          <w:rFonts w:ascii="Verdana" w:hAnsi="Verdana" w:cs="Arial"/>
          <w:lang w:val="nl-NL"/>
        </w:rPr>
        <w:t>socialezekerheidsuitkeringen</w:t>
      </w:r>
      <w:r w:rsidRPr="006A31F0" w:rsidR="004D5DDC">
        <w:rPr>
          <w:rFonts w:ascii="Verdana" w:hAnsi="Verdana" w:cs="Arial"/>
          <w:lang w:val="nl-NL"/>
        </w:rPr>
        <w:t xml:space="preserve">. Daarnaast </w:t>
      </w:r>
      <w:r w:rsidRPr="006A31F0" w:rsidR="004F46C4">
        <w:rPr>
          <w:rFonts w:ascii="Verdana" w:hAnsi="Verdana" w:cs="Arial"/>
          <w:lang w:val="nl-NL"/>
        </w:rPr>
        <w:t>he</w:t>
      </w:r>
      <w:r w:rsidRPr="006A31F0" w:rsidR="007E5D3D">
        <w:rPr>
          <w:rFonts w:ascii="Verdana" w:hAnsi="Verdana" w:cs="Arial"/>
          <w:lang w:val="nl-NL"/>
        </w:rPr>
        <w:t xml:space="preserve">eft ook een enkele belanghebbende </w:t>
      </w:r>
      <w:r w:rsidRPr="006A31F0" w:rsidR="004D5DDC">
        <w:rPr>
          <w:rFonts w:ascii="Verdana" w:hAnsi="Verdana" w:cs="Arial"/>
          <w:lang w:val="nl-NL"/>
        </w:rPr>
        <w:t xml:space="preserve">aandacht gevraagd voor deze problematiek die speelt bij </w:t>
      </w:r>
      <w:r w:rsidRPr="006A31F0" w:rsidR="008B4CB3">
        <w:rPr>
          <w:rFonts w:ascii="Verdana" w:hAnsi="Verdana" w:cs="Arial"/>
          <w:lang w:val="nl-NL"/>
        </w:rPr>
        <w:t>Duitse kortdurende socialezekerheidsuitkeringen</w:t>
      </w:r>
      <w:r w:rsidRPr="006A31F0">
        <w:rPr>
          <w:rFonts w:ascii="Verdana" w:hAnsi="Verdana" w:cs="Arial"/>
          <w:lang w:val="nl-NL"/>
        </w:rPr>
        <w:t>.</w:t>
      </w:r>
    </w:p>
    <w:p w:rsidRPr="006A31F0" w:rsidR="00273211" w:rsidP="006A31F0" w:rsidRDefault="00273211" w14:paraId="0D1871BC" w14:textId="77777777">
      <w:pPr>
        <w:widowControl/>
        <w:spacing w:after="160" w:line="360" w:lineRule="auto"/>
        <w:rPr>
          <w:rFonts w:ascii="Verdana" w:hAnsi="Verdana" w:cs="Arial"/>
          <w:b/>
          <w:i/>
          <w:lang w:val="nl-NL"/>
        </w:rPr>
      </w:pPr>
    </w:p>
    <w:p w:rsidR="000B121B" w:rsidP="006A31F0" w:rsidRDefault="00D144C0" w14:paraId="7DCFF3F6" w14:textId="725000A8">
      <w:pPr>
        <w:widowControl/>
        <w:spacing w:after="160" w:line="360" w:lineRule="auto"/>
        <w:rPr>
          <w:rFonts w:ascii="Verdana" w:hAnsi="Verdana" w:cs="Arial"/>
        </w:rPr>
      </w:pPr>
      <w:r w:rsidRPr="006A31F0">
        <w:rPr>
          <w:rFonts w:ascii="Verdana" w:hAnsi="Verdana" w:cs="Arial"/>
          <w:b/>
          <w:i/>
          <w:lang w:val="nl-NL"/>
        </w:rPr>
        <w:t>I.</w:t>
      </w:r>
      <w:r w:rsidRPr="006A31F0" w:rsidR="005C3F4C">
        <w:rPr>
          <w:rFonts w:ascii="Verdana" w:hAnsi="Verdana" w:cs="Arial"/>
          <w:b/>
          <w:i/>
          <w:lang w:val="nl-NL"/>
        </w:rPr>
        <w:t>7</w:t>
      </w:r>
      <w:r w:rsidRPr="006A31F0">
        <w:rPr>
          <w:rFonts w:ascii="Verdana" w:hAnsi="Verdana" w:cs="Arial"/>
          <w:b/>
          <w:i/>
          <w:lang w:val="nl-NL"/>
        </w:rPr>
        <w:t xml:space="preserve">. </w:t>
      </w:r>
      <w:proofErr w:type="spellStart"/>
      <w:r w:rsidRPr="006A31F0">
        <w:rPr>
          <w:rFonts w:ascii="Verdana" w:hAnsi="Verdana" w:cs="Arial"/>
          <w:b/>
          <w:i/>
          <w:lang w:val="nl-NL"/>
        </w:rPr>
        <w:t>Toetsschema</w:t>
      </w:r>
      <w:proofErr w:type="spellEnd"/>
      <w:r w:rsidRPr="006A31F0">
        <w:rPr>
          <w:rFonts w:ascii="Verdana" w:hAnsi="Verdana" w:cs="Arial"/>
          <w:b/>
          <w:i/>
          <w:lang w:val="nl-NL"/>
        </w:rPr>
        <w:t xml:space="preserve"> Standaardcriteria Fiscaal Verdragsbeleid 20</w:t>
      </w:r>
      <w:r w:rsidRPr="006A31F0" w:rsidR="00062B66">
        <w:rPr>
          <w:rFonts w:ascii="Verdana" w:hAnsi="Verdana" w:cs="Arial"/>
          <w:b/>
          <w:i/>
          <w:lang w:val="nl-NL"/>
        </w:rPr>
        <w:t>20</w:t>
      </w:r>
      <w:r w:rsidRPr="006A31F0" w:rsidR="000B121B">
        <w:rPr>
          <w:rFonts w:ascii="Verdana" w:hAnsi="Verdana" w:cs="Arial"/>
        </w:rPr>
        <w:br/>
        <w:t xml:space="preserve">In onderstaand schema met </w:t>
      </w:r>
      <w:r w:rsidRPr="006A31F0" w:rsidR="008944BB">
        <w:rPr>
          <w:rFonts w:ascii="Verdana" w:hAnsi="Verdana" w:cs="Arial"/>
        </w:rPr>
        <w:t>toetsings</w:t>
      </w:r>
      <w:r w:rsidRPr="006A31F0" w:rsidR="000B121B">
        <w:rPr>
          <w:rFonts w:ascii="Verdana" w:hAnsi="Verdana" w:cs="Arial"/>
        </w:rPr>
        <w:t xml:space="preserve">criteria voor </w:t>
      </w:r>
      <w:r w:rsidRPr="006A31F0" w:rsidR="008944BB">
        <w:rPr>
          <w:rFonts w:ascii="Verdana" w:hAnsi="Verdana" w:cs="Arial"/>
        </w:rPr>
        <w:t>Nederlandse bilaterale</w:t>
      </w:r>
      <w:r w:rsidRPr="006A31F0" w:rsidR="000B121B">
        <w:rPr>
          <w:rFonts w:ascii="Verdana" w:hAnsi="Verdana" w:cs="Arial"/>
        </w:rPr>
        <w:t xml:space="preserve"> belastingverdragen zijn de </w:t>
      </w:r>
      <w:r w:rsidRPr="006A31F0" w:rsidR="00D2094F">
        <w:rPr>
          <w:rFonts w:ascii="Verdana" w:hAnsi="Verdana" w:cs="Arial"/>
        </w:rPr>
        <w:t xml:space="preserve">voor dit </w:t>
      </w:r>
      <w:r w:rsidRPr="006A31F0" w:rsidR="003B439C">
        <w:rPr>
          <w:rFonts w:ascii="Verdana" w:hAnsi="Verdana" w:cs="Arial"/>
        </w:rPr>
        <w:t xml:space="preserve">Wijzigingsprotocol </w:t>
      </w:r>
      <w:r w:rsidRPr="006A31F0" w:rsidR="00D2094F">
        <w:rPr>
          <w:rFonts w:ascii="Verdana" w:hAnsi="Verdana" w:cs="Arial"/>
        </w:rPr>
        <w:t xml:space="preserve">relevante </w:t>
      </w:r>
      <w:r w:rsidRPr="006A31F0" w:rsidR="008944BB">
        <w:rPr>
          <w:rFonts w:ascii="Verdana" w:hAnsi="Verdana" w:cs="Arial"/>
        </w:rPr>
        <w:t xml:space="preserve">toetsingscriteria </w:t>
      </w:r>
      <w:r w:rsidRPr="006A31F0" w:rsidR="000B121B">
        <w:rPr>
          <w:rFonts w:ascii="Verdana" w:hAnsi="Verdana" w:cs="Arial"/>
        </w:rPr>
        <w:t>opgenomen zoals geformuleerd en toegelicht in de NFV 2020. Dit schema biedt uitvoering aan de motie-Van Vliet</w:t>
      </w:r>
      <w:r w:rsidRPr="006A31F0" w:rsidR="000B121B">
        <w:rPr>
          <w:rFonts w:ascii="Verdana" w:hAnsi="Verdana" w:cs="Arial"/>
          <w:vertAlign w:val="superscript"/>
        </w:rPr>
        <w:footnoteReference w:id="11"/>
      </w:r>
      <w:r w:rsidRPr="006A31F0" w:rsidR="000B121B">
        <w:rPr>
          <w:rFonts w:ascii="Verdana" w:hAnsi="Verdana" w:cs="Arial"/>
        </w:rPr>
        <w:t xml:space="preserve"> en wordt gevoegd bij elke toelichting bij nieuwe belastingverdragen. </w:t>
      </w:r>
      <w:r w:rsidRPr="006A31F0" w:rsidR="00E8346F">
        <w:rPr>
          <w:rFonts w:ascii="Verdana" w:hAnsi="Verdana" w:cs="Arial"/>
        </w:rPr>
        <w:t xml:space="preserve">Omdat sprake is van een (beperkt) wijzigingsprotocol is het </w:t>
      </w:r>
      <w:r w:rsidRPr="006A31F0" w:rsidR="00E8346F">
        <w:rPr>
          <w:rFonts w:ascii="Verdana" w:hAnsi="Verdana" w:cs="Arial"/>
        </w:rPr>
        <w:lastRenderedPageBreak/>
        <w:t xml:space="preserve">toetsschema ingekort en beperkt tot de in het Wijzigingsprotocol opgenomen wijzigingen van het Verdrag. </w:t>
      </w:r>
      <w:r w:rsidRPr="006A31F0" w:rsidR="000B121B">
        <w:rPr>
          <w:rFonts w:ascii="Verdana" w:hAnsi="Verdana" w:cs="Arial"/>
        </w:rPr>
        <w:t>Per onderdeel wordt aangegeven of de inzet geconcretiseerd is in het Wijzigingsprotocol en wordt verwezen naar de relevante passage in de toelichting.</w:t>
      </w:r>
    </w:p>
    <w:p w:rsidR="004054D8" w:rsidP="006A31F0" w:rsidRDefault="004054D8" w14:paraId="023626F2" w14:textId="779BE184">
      <w:pPr>
        <w:widowControl/>
        <w:spacing w:after="160" w:line="360" w:lineRule="auto"/>
        <w:rPr>
          <w:rFonts w:ascii="Verdana" w:hAnsi="Verdana" w:cs="Arial"/>
          <w:b/>
          <w:i/>
          <w:lang w:val="nl-NL"/>
        </w:rPr>
      </w:pPr>
    </w:p>
    <w:p w:rsidRPr="006A31F0" w:rsidR="004054D8" w:rsidP="006A31F0" w:rsidRDefault="004054D8" w14:paraId="32278EAC" w14:textId="77777777">
      <w:pPr>
        <w:widowControl/>
        <w:spacing w:after="160" w:line="360" w:lineRule="auto"/>
        <w:rPr>
          <w:rFonts w:ascii="Verdana" w:hAnsi="Verdana" w:cs="Arial"/>
          <w:b/>
          <w:i/>
          <w:lang w:val="nl-NL"/>
        </w:rPr>
      </w:pPr>
    </w:p>
    <w:tbl>
      <w:tblPr>
        <w:tblW w:w="5083" w:type="pct"/>
        <w:tblLayout w:type="fixed"/>
        <w:tblCellMar>
          <w:left w:w="70" w:type="dxa"/>
          <w:right w:w="70" w:type="dxa"/>
        </w:tblCellMar>
        <w:tblLook w:val="04A0" w:firstRow="1" w:lastRow="0" w:firstColumn="1" w:lastColumn="0" w:noHBand="0" w:noVBand="1"/>
      </w:tblPr>
      <w:tblGrid>
        <w:gridCol w:w="842"/>
        <w:gridCol w:w="160"/>
        <w:gridCol w:w="3049"/>
        <w:gridCol w:w="622"/>
        <w:gridCol w:w="707"/>
        <w:gridCol w:w="851"/>
        <w:gridCol w:w="993"/>
        <w:gridCol w:w="1983"/>
      </w:tblGrid>
      <w:tr w:rsidRPr="006A31F0" w:rsidR="00F90570" w:rsidTr="008D72EE" w14:paraId="3B042C1B" w14:textId="77777777">
        <w:trPr>
          <w:trHeight w:val="490"/>
        </w:trPr>
        <w:tc>
          <w:tcPr>
            <w:tcW w:w="457" w:type="pct"/>
            <w:tcBorders>
              <w:top w:val="single" w:color="FFFFFF" w:sz="8" w:space="0"/>
              <w:left w:val="single" w:color="FFFFFF" w:sz="8" w:space="0"/>
              <w:bottom w:val="single" w:color="FFFFFF" w:sz="8" w:space="0"/>
              <w:right w:val="single" w:color="FFFFFF" w:sz="8" w:space="0"/>
            </w:tcBorders>
            <w:shd w:val="clear" w:color="000000" w:fill="F2F2F2"/>
            <w:hideMark/>
          </w:tcPr>
          <w:p w:rsidRPr="006A31F0" w:rsidR="000C2084" w:rsidP="006A31F0" w:rsidRDefault="000C2084" w14:paraId="000557FE" w14:textId="77777777">
            <w:pPr>
              <w:widowControl/>
              <w:rPr>
                <w:rFonts w:ascii="Verdana" w:hAnsi="Verdana" w:cs="Calibri"/>
                <w:b/>
                <w:bCs/>
                <w:color w:val="000000"/>
                <w:lang w:val="nl-NL"/>
              </w:rPr>
            </w:pPr>
            <w:r w:rsidRPr="006A31F0">
              <w:rPr>
                <w:rFonts w:ascii="Verdana" w:hAnsi="Verdana" w:cs="Calibri"/>
                <w:b/>
                <w:bCs/>
                <w:color w:val="000000"/>
                <w:lang w:val="nl-NL"/>
              </w:rPr>
              <w:t>NFV 2020</w:t>
            </w:r>
          </w:p>
        </w:tc>
        <w:tc>
          <w:tcPr>
            <w:tcW w:w="1743" w:type="pct"/>
            <w:gridSpan w:val="2"/>
            <w:tcBorders>
              <w:top w:val="single" w:color="FFFFFF" w:sz="8" w:space="0"/>
              <w:left w:val="nil"/>
              <w:bottom w:val="single" w:color="FFFFFF" w:sz="8" w:space="0"/>
              <w:right w:val="single" w:color="FFFFFF" w:sz="8" w:space="0"/>
            </w:tcBorders>
            <w:shd w:val="clear" w:color="000000" w:fill="F2F2F2"/>
            <w:hideMark/>
          </w:tcPr>
          <w:p w:rsidRPr="006A31F0" w:rsidR="000C2084" w:rsidP="006A31F0" w:rsidRDefault="000C2084" w14:paraId="680D5EAC" w14:textId="77777777">
            <w:pPr>
              <w:widowControl/>
              <w:rPr>
                <w:rFonts w:ascii="Verdana" w:hAnsi="Verdana" w:cs="Calibri"/>
                <w:b/>
                <w:bCs/>
                <w:color w:val="000000"/>
                <w:lang w:val="nl-NL"/>
              </w:rPr>
            </w:pPr>
            <w:r w:rsidRPr="006A31F0">
              <w:rPr>
                <w:rFonts w:ascii="Verdana" w:hAnsi="Verdana" w:cs="Calibri"/>
                <w:b/>
                <w:bCs/>
                <w:color w:val="000000"/>
                <w:lang w:val="nl-NL"/>
              </w:rPr>
              <w:t> </w:t>
            </w:r>
          </w:p>
        </w:tc>
        <w:tc>
          <w:tcPr>
            <w:tcW w:w="338" w:type="pct"/>
            <w:tcBorders>
              <w:top w:val="single" w:color="FFFFFF" w:sz="8" w:space="0"/>
              <w:left w:val="nil"/>
              <w:bottom w:val="single" w:color="FFFFFF" w:sz="8" w:space="0"/>
              <w:right w:val="single" w:color="FFFFFF" w:sz="8" w:space="0"/>
            </w:tcBorders>
            <w:shd w:val="clear" w:color="000000" w:fill="F2F2F2"/>
            <w:hideMark/>
          </w:tcPr>
          <w:p w:rsidRPr="006A31F0" w:rsidR="000C2084" w:rsidP="006A31F0" w:rsidRDefault="000C2084" w14:paraId="63F5DD8D" w14:textId="77777777">
            <w:pPr>
              <w:widowControl/>
              <w:jc w:val="center"/>
              <w:rPr>
                <w:rFonts w:ascii="Verdana" w:hAnsi="Verdana" w:cs="Calibri"/>
                <w:b/>
                <w:bCs/>
                <w:color w:val="000000"/>
                <w:lang w:val="nl-NL"/>
              </w:rPr>
            </w:pPr>
            <w:r w:rsidRPr="006A31F0">
              <w:rPr>
                <w:rFonts w:ascii="Verdana" w:hAnsi="Verdana" w:cs="Calibri"/>
                <w:b/>
                <w:bCs/>
                <w:color w:val="000000"/>
                <w:lang w:val="nl-NL"/>
              </w:rPr>
              <w:t xml:space="preserve">Ja </w:t>
            </w:r>
          </w:p>
        </w:tc>
        <w:tc>
          <w:tcPr>
            <w:tcW w:w="384" w:type="pct"/>
            <w:tcBorders>
              <w:top w:val="single" w:color="FFFFFF" w:sz="8" w:space="0"/>
              <w:left w:val="nil"/>
              <w:bottom w:val="single" w:color="FFFFFF" w:sz="8" w:space="0"/>
              <w:right w:val="single" w:color="FFFFFF" w:sz="4" w:space="0"/>
            </w:tcBorders>
            <w:shd w:val="clear" w:color="000000" w:fill="F2F2F2"/>
            <w:hideMark/>
          </w:tcPr>
          <w:p w:rsidRPr="006A31F0" w:rsidR="000C2084" w:rsidP="006A31F0" w:rsidRDefault="000C2084" w14:paraId="6A415598" w14:textId="77777777">
            <w:pPr>
              <w:widowControl/>
              <w:jc w:val="center"/>
              <w:rPr>
                <w:rFonts w:ascii="Verdana" w:hAnsi="Verdana" w:cs="Calibri"/>
                <w:b/>
                <w:bCs/>
                <w:color w:val="000000"/>
                <w:lang w:val="nl-NL"/>
              </w:rPr>
            </w:pPr>
            <w:r w:rsidRPr="006A31F0">
              <w:rPr>
                <w:rFonts w:ascii="Verdana" w:hAnsi="Verdana" w:cs="Calibri"/>
                <w:b/>
                <w:bCs/>
                <w:color w:val="000000"/>
                <w:lang w:val="nl-NL"/>
              </w:rPr>
              <w:t>Nee</w:t>
            </w:r>
          </w:p>
        </w:tc>
        <w:tc>
          <w:tcPr>
            <w:tcW w:w="462" w:type="pct"/>
            <w:tcBorders>
              <w:top w:val="single" w:color="FFFFFF" w:sz="8" w:space="0"/>
              <w:left w:val="single" w:color="FFFFFF" w:sz="8" w:space="0"/>
              <w:bottom w:val="single" w:color="FFFFFF" w:sz="8" w:space="0"/>
              <w:right w:val="single" w:color="FFFFFF" w:sz="8" w:space="0"/>
            </w:tcBorders>
            <w:shd w:val="clear" w:color="000000" w:fill="F2F2F2"/>
            <w:hideMark/>
          </w:tcPr>
          <w:p w:rsidRPr="006A31F0" w:rsidR="000C2084" w:rsidP="006A31F0" w:rsidRDefault="000C2084" w14:paraId="677D8D38" w14:textId="77777777">
            <w:pPr>
              <w:widowControl/>
              <w:jc w:val="center"/>
              <w:rPr>
                <w:rFonts w:ascii="Verdana" w:hAnsi="Verdana" w:cs="Calibri"/>
                <w:b/>
                <w:bCs/>
                <w:color w:val="000000"/>
                <w:lang w:val="nl-NL"/>
              </w:rPr>
            </w:pPr>
            <w:r w:rsidRPr="006A31F0">
              <w:rPr>
                <w:rFonts w:ascii="Verdana" w:hAnsi="Verdana" w:cs="Calibri"/>
                <w:b/>
                <w:bCs/>
                <w:color w:val="000000"/>
                <w:lang w:val="nl-NL"/>
              </w:rPr>
              <w:t>Deels</w:t>
            </w:r>
          </w:p>
        </w:tc>
        <w:tc>
          <w:tcPr>
            <w:tcW w:w="539" w:type="pct"/>
            <w:tcBorders>
              <w:top w:val="single" w:color="FFFFFF" w:sz="8" w:space="0"/>
              <w:left w:val="nil"/>
              <w:bottom w:val="single" w:color="FFFFFF" w:sz="8" w:space="0"/>
              <w:right w:val="single" w:color="FFFFFF" w:sz="4" w:space="0"/>
            </w:tcBorders>
            <w:shd w:val="clear" w:color="000000" w:fill="F2F2F2"/>
            <w:hideMark/>
          </w:tcPr>
          <w:p w:rsidRPr="006A31F0" w:rsidR="000C2084" w:rsidP="006A31F0" w:rsidRDefault="000C2084" w14:paraId="569F97DA" w14:textId="77777777">
            <w:pPr>
              <w:widowControl/>
              <w:jc w:val="center"/>
              <w:rPr>
                <w:rFonts w:ascii="Verdana" w:hAnsi="Verdana" w:cs="Calibri"/>
                <w:b/>
                <w:bCs/>
                <w:color w:val="000000"/>
                <w:lang w:val="nl-NL"/>
              </w:rPr>
            </w:pPr>
            <w:r w:rsidRPr="006A31F0">
              <w:rPr>
                <w:rFonts w:ascii="Verdana" w:hAnsi="Verdana" w:cs="Calibri"/>
                <w:b/>
                <w:bCs/>
                <w:color w:val="000000"/>
                <w:lang w:val="nl-NL"/>
              </w:rPr>
              <w:t>N.v.t.</w:t>
            </w:r>
          </w:p>
        </w:tc>
        <w:tc>
          <w:tcPr>
            <w:tcW w:w="1077" w:type="pct"/>
            <w:tcBorders>
              <w:top w:val="single" w:color="FFFFFF" w:sz="8" w:space="0"/>
              <w:left w:val="single" w:color="FFFFFF" w:sz="8" w:space="0"/>
              <w:bottom w:val="single" w:color="FFFFFF" w:sz="8" w:space="0"/>
              <w:right w:val="single" w:color="FFFFFF" w:sz="4" w:space="0"/>
            </w:tcBorders>
            <w:shd w:val="clear" w:color="000000" w:fill="F2F2F2"/>
            <w:hideMark/>
          </w:tcPr>
          <w:p w:rsidRPr="006A31F0" w:rsidR="000C2084" w:rsidP="006A31F0" w:rsidRDefault="000C2084" w14:paraId="43915F5C" w14:textId="77777777">
            <w:pPr>
              <w:widowControl/>
              <w:jc w:val="center"/>
              <w:rPr>
                <w:rFonts w:ascii="Verdana" w:hAnsi="Verdana" w:cs="Calibri"/>
                <w:b/>
                <w:bCs/>
                <w:color w:val="000000"/>
                <w:lang w:val="nl-NL"/>
              </w:rPr>
            </w:pPr>
            <w:r w:rsidRPr="006A31F0">
              <w:rPr>
                <w:rFonts w:ascii="Verdana" w:hAnsi="Verdana" w:cs="Calibri"/>
                <w:b/>
                <w:bCs/>
                <w:color w:val="000000"/>
                <w:lang w:val="nl-NL"/>
              </w:rPr>
              <w:t>Paragraaf toelichting</w:t>
            </w:r>
          </w:p>
        </w:tc>
      </w:tr>
      <w:tr w:rsidRPr="006A31F0" w:rsidR="00F90570" w:rsidTr="008D72EE" w14:paraId="628860CA" w14:textId="77777777">
        <w:trPr>
          <w:trHeight w:val="555"/>
        </w:trPr>
        <w:tc>
          <w:tcPr>
            <w:tcW w:w="457" w:type="pct"/>
            <w:tcBorders>
              <w:top w:val="nil"/>
              <w:left w:val="single" w:color="FFFFFF" w:sz="4" w:space="0"/>
              <w:bottom w:val="single" w:color="FFFFFF" w:sz="8" w:space="0"/>
              <w:right w:val="single" w:color="FFFFFF" w:sz="8" w:space="0"/>
            </w:tcBorders>
            <w:shd w:val="clear" w:color="000000" w:fill="8EA9DB"/>
            <w:hideMark/>
          </w:tcPr>
          <w:p w:rsidRPr="006A31F0" w:rsidR="000C2084" w:rsidP="006A31F0" w:rsidRDefault="000C2084" w14:paraId="2A1CDFED" w14:textId="77777777">
            <w:pPr>
              <w:widowControl/>
              <w:rPr>
                <w:rFonts w:ascii="Verdana" w:hAnsi="Verdana" w:cs="Calibri"/>
                <w:b/>
                <w:bCs/>
                <w:lang w:val="nl-NL"/>
              </w:rPr>
            </w:pPr>
            <w:r w:rsidRPr="006A31F0">
              <w:rPr>
                <w:rFonts w:ascii="Verdana" w:hAnsi="Verdana" w:cs="Calibri"/>
                <w:b/>
                <w:bCs/>
                <w:lang w:val="nl-NL"/>
              </w:rPr>
              <w:t>I</w:t>
            </w:r>
          </w:p>
        </w:tc>
        <w:tc>
          <w:tcPr>
            <w:tcW w:w="1743" w:type="pct"/>
            <w:gridSpan w:val="2"/>
            <w:tcBorders>
              <w:top w:val="single" w:color="FFFFFF" w:sz="8" w:space="0"/>
              <w:left w:val="nil"/>
              <w:bottom w:val="single" w:color="FFFFFF" w:sz="8" w:space="0"/>
              <w:right w:val="single" w:color="FFFFFF" w:sz="8" w:space="0"/>
            </w:tcBorders>
            <w:shd w:val="clear" w:color="000000" w:fill="8EA9DB"/>
            <w:vAlign w:val="bottom"/>
            <w:hideMark/>
          </w:tcPr>
          <w:p w:rsidRPr="006A31F0" w:rsidR="000C2084" w:rsidP="006A31F0" w:rsidRDefault="000C2084" w14:paraId="30C751F4" w14:textId="77777777">
            <w:pPr>
              <w:widowControl/>
              <w:rPr>
                <w:rFonts w:ascii="Verdana" w:hAnsi="Verdana" w:cs="Calibri"/>
                <w:b/>
                <w:bCs/>
                <w:lang w:val="nl-NL"/>
              </w:rPr>
            </w:pPr>
            <w:r w:rsidRPr="006A31F0">
              <w:rPr>
                <w:rFonts w:ascii="Verdana" w:hAnsi="Verdana" w:cs="Calibri"/>
                <w:b/>
                <w:bCs/>
                <w:lang w:val="nl-NL"/>
              </w:rPr>
              <w:t>Voorkoming dubbele heffing - bepalingen in afwijking of ter aanvulling op het OESO MV volgens het Nederlands verdragsbeleid</w:t>
            </w:r>
          </w:p>
        </w:tc>
        <w:tc>
          <w:tcPr>
            <w:tcW w:w="338" w:type="pct"/>
            <w:tcBorders>
              <w:top w:val="nil"/>
              <w:left w:val="nil"/>
              <w:bottom w:val="single" w:color="FFFFFF" w:sz="8" w:space="0"/>
              <w:right w:val="single" w:color="FFFFFF" w:sz="8" w:space="0"/>
            </w:tcBorders>
            <w:shd w:val="clear" w:color="000000" w:fill="8EA9DB"/>
            <w:hideMark/>
          </w:tcPr>
          <w:p w:rsidRPr="006A31F0" w:rsidR="000C2084" w:rsidP="006A31F0" w:rsidRDefault="000C2084" w14:paraId="699FC2B9" w14:textId="77777777">
            <w:pPr>
              <w:widowControl/>
              <w:jc w:val="center"/>
              <w:rPr>
                <w:rFonts w:ascii="Verdana" w:hAnsi="Verdana" w:cs="Calibri"/>
                <w:lang w:val="nl-NL"/>
              </w:rPr>
            </w:pPr>
            <w:r w:rsidRPr="006A31F0">
              <w:rPr>
                <w:rFonts w:ascii="Verdana" w:hAnsi="Verdana" w:cs="Calibri"/>
                <w:lang w:val="nl-NL"/>
              </w:rPr>
              <w:t> </w:t>
            </w:r>
          </w:p>
        </w:tc>
        <w:tc>
          <w:tcPr>
            <w:tcW w:w="384" w:type="pct"/>
            <w:tcBorders>
              <w:top w:val="nil"/>
              <w:left w:val="nil"/>
              <w:bottom w:val="single" w:color="FFFFFF" w:sz="8" w:space="0"/>
              <w:right w:val="single" w:color="FFFFFF" w:sz="8" w:space="0"/>
            </w:tcBorders>
            <w:shd w:val="clear" w:color="000000" w:fill="8EA9DB"/>
            <w:hideMark/>
          </w:tcPr>
          <w:p w:rsidRPr="006A31F0" w:rsidR="000C2084" w:rsidP="006A31F0" w:rsidRDefault="000C2084" w14:paraId="30FE1F2E" w14:textId="77777777">
            <w:pPr>
              <w:widowControl/>
              <w:jc w:val="center"/>
              <w:rPr>
                <w:rFonts w:ascii="Verdana" w:hAnsi="Verdana" w:cs="Calibri"/>
                <w:lang w:val="nl-NL"/>
              </w:rPr>
            </w:pPr>
            <w:r w:rsidRPr="006A31F0">
              <w:rPr>
                <w:rFonts w:ascii="Verdana" w:hAnsi="Verdana" w:cs="Calibri"/>
                <w:lang w:val="nl-NL"/>
              </w:rPr>
              <w:t> </w:t>
            </w:r>
          </w:p>
        </w:tc>
        <w:tc>
          <w:tcPr>
            <w:tcW w:w="462" w:type="pct"/>
            <w:tcBorders>
              <w:top w:val="nil"/>
              <w:left w:val="nil"/>
              <w:bottom w:val="single" w:color="FFFFFF" w:sz="8" w:space="0"/>
              <w:right w:val="single" w:color="FFFFFF" w:sz="8" w:space="0"/>
            </w:tcBorders>
            <w:shd w:val="clear" w:color="000000" w:fill="8EA9DB"/>
            <w:hideMark/>
          </w:tcPr>
          <w:p w:rsidRPr="006A31F0" w:rsidR="000C2084" w:rsidP="006A31F0" w:rsidRDefault="000C2084" w14:paraId="1FFEF7BD" w14:textId="77777777">
            <w:pPr>
              <w:widowControl/>
              <w:jc w:val="center"/>
              <w:rPr>
                <w:rFonts w:ascii="Verdana" w:hAnsi="Verdana" w:cs="Calibri"/>
                <w:lang w:val="nl-NL"/>
              </w:rPr>
            </w:pPr>
            <w:r w:rsidRPr="006A31F0">
              <w:rPr>
                <w:rFonts w:ascii="Verdana" w:hAnsi="Verdana" w:cs="Calibri"/>
                <w:lang w:val="nl-NL"/>
              </w:rPr>
              <w:t> </w:t>
            </w:r>
          </w:p>
        </w:tc>
        <w:tc>
          <w:tcPr>
            <w:tcW w:w="539" w:type="pct"/>
            <w:tcBorders>
              <w:top w:val="nil"/>
              <w:left w:val="nil"/>
              <w:bottom w:val="single" w:color="FFFFFF" w:sz="8" w:space="0"/>
              <w:right w:val="single" w:color="FFFFFF" w:sz="8" w:space="0"/>
            </w:tcBorders>
            <w:shd w:val="clear" w:color="000000" w:fill="8EA9DB"/>
            <w:hideMark/>
          </w:tcPr>
          <w:p w:rsidRPr="006A31F0" w:rsidR="000C2084" w:rsidP="006A31F0" w:rsidRDefault="000C2084" w14:paraId="1372C0D7" w14:textId="77777777">
            <w:pPr>
              <w:widowControl/>
              <w:jc w:val="center"/>
              <w:rPr>
                <w:rFonts w:ascii="Verdana" w:hAnsi="Verdana" w:cs="Calibri"/>
                <w:lang w:val="nl-NL"/>
              </w:rPr>
            </w:pPr>
            <w:r w:rsidRPr="006A31F0">
              <w:rPr>
                <w:rFonts w:ascii="Verdana" w:hAnsi="Verdana" w:cs="Calibri"/>
                <w:lang w:val="nl-NL"/>
              </w:rPr>
              <w:t> </w:t>
            </w:r>
          </w:p>
        </w:tc>
        <w:tc>
          <w:tcPr>
            <w:tcW w:w="1077" w:type="pct"/>
            <w:tcBorders>
              <w:top w:val="nil"/>
              <w:left w:val="nil"/>
              <w:bottom w:val="single" w:color="FFFFFF" w:sz="8" w:space="0"/>
              <w:right w:val="single" w:color="FFFFFF" w:sz="4" w:space="0"/>
            </w:tcBorders>
            <w:shd w:val="clear" w:color="000000" w:fill="8EA9DB"/>
            <w:hideMark/>
          </w:tcPr>
          <w:p w:rsidRPr="006A31F0" w:rsidR="000C2084" w:rsidP="006A31F0" w:rsidRDefault="000C2084" w14:paraId="345CADE8" w14:textId="77777777">
            <w:pPr>
              <w:widowControl/>
              <w:jc w:val="center"/>
              <w:rPr>
                <w:rFonts w:ascii="Verdana" w:hAnsi="Verdana" w:cs="Calibri"/>
                <w:lang w:val="nl-NL"/>
              </w:rPr>
            </w:pPr>
            <w:r w:rsidRPr="006A31F0">
              <w:rPr>
                <w:rFonts w:ascii="Verdana" w:hAnsi="Verdana" w:cs="Calibri"/>
                <w:lang w:val="nl-NL"/>
              </w:rPr>
              <w:t> </w:t>
            </w:r>
          </w:p>
        </w:tc>
      </w:tr>
      <w:tr w:rsidRPr="006A31F0" w:rsidR="00F90570" w:rsidTr="008D72EE" w14:paraId="59035751" w14:textId="77777777">
        <w:trPr>
          <w:trHeight w:val="600"/>
        </w:trPr>
        <w:tc>
          <w:tcPr>
            <w:tcW w:w="457" w:type="pct"/>
            <w:tcBorders>
              <w:top w:val="nil"/>
              <w:left w:val="single" w:color="FFFFFF" w:sz="4" w:space="0"/>
              <w:bottom w:val="single" w:color="FFFFFF" w:sz="8" w:space="0"/>
              <w:right w:val="single" w:color="FFFFFF" w:sz="8" w:space="0"/>
            </w:tcBorders>
            <w:shd w:val="clear" w:color="000000" w:fill="DDEBF7"/>
            <w:vAlign w:val="bottom"/>
            <w:hideMark/>
          </w:tcPr>
          <w:p w:rsidRPr="006A31F0" w:rsidR="000C2084" w:rsidP="006A31F0" w:rsidRDefault="000C2084" w14:paraId="24F6187A" w14:textId="77777777">
            <w:pPr>
              <w:widowControl/>
              <w:rPr>
                <w:rFonts w:ascii="Verdana" w:hAnsi="Verdana" w:cs="Calibri"/>
                <w:i/>
                <w:iCs/>
                <w:lang w:val="nl-NL"/>
              </w:rPr>
            </w:pPr>
            <w:r w:rsidRPr="006A31F0">
              <w:rPr>
                <w:rFonts w:ascii="Verdana" w:hAnsi="Verdana" w:cs="Calibri"/>
                <w:i/>
                <w:iCs/>
                <w:lang w:val="nl-NL"/>
              </w:rPr>
              <w:t> </w:t>
            </w:r>
          </w:p>
        </w:tc>
        <w:tc>
          <w:tcPr>
            <w:tcW w:w="1743" w:type="pct"/>
            <w:gridSpan w:val="2"/>
            <w:tcBorders>
              <w:top w:val="nil"/>
              <w:left w:val="nil"/>
              <w:bottom w:val="nil"/>
              <w:right w:val="nil"/>
            </w:tcBorders>
            <w:shd w:val="clear" w:color="000000" w:fill="DDEBF7"/>
            <w:vAlign w:val="bottom"/>
            <w:hideMark/>
          </w:tcPr>
          <w:p w:rsidRPr="006A31F0" w:rsidR="000C2084" w:rsidP="006A31F0" w:rsidRDefault="000C2084" w14:paraId="1015B3CD" w14:textId="77777777">
            <w:pPr>
              <w:widowControl/>
              <w:rPr>
                <w:rFonts w:ascii="Verdana" w:hAnsi="Verdana" w:cs="Calibri"/>
                <w:b/>
                <w:bCs/>
                <w:i/>
                <w:iCs/>
                <w:lang w:val="nl-NL"/>
              </w:rPr>
            </w:pPr>
            <w:r w:rsidRPr="006A31F0">
              <w:rPr>
                <w:rFonts w:ascii="Verdana" w:hAnsi="Verdana" w:cs="Calibri"/>
                <w:b/>
                <w:bCs/>
                <w:i/>
                <w:iCs/>
                <w:lang w:val="nl-NL"/>
              </w:rPr>
              <w:t>Arbeid</w:t>
            </w:r>
          </w:p>
        </w:tc>
        <w:tc>
          <w:tcPr>
            <w:tcW w:w="338" w:type="pct"/>
            <w:tcBorders>
              <w:top w:val="nil"/>
              <w:left w:val="single" w:color="FFFFFF" w:sz="8" w:space="0"/>
              <w:bottom w:val="single" w:color="FFFFFF" w:sz="8" w:space="0"/>
              <w:right w:val="single" w:color="FFFFFF" w:sz="8" w:space="0"/>
            </w:tcBorders>
            <w:shd w:val="clear" w:color="000000" w:fill="DDEBF7"/>
            <w:hideMark/>
          </w:tcPr>
          <w:p w:rsidRPr="006A31F0" w:rsidR="000C2084" w:rsidP="006A31F0" w:rsidRDefault="000C2084" w14:paraId="2B9F6AC8" w14:textId="77777777">
            <w:pPr>
              <w:widowControl/>
              <w:jc w:val="center"/>
              <w:rPr>
                <w:rFonts w:ascii="Verdana" w:hAnsi="Verdana" w:cs="Calibri"/>
                <w:lang w:val="nl-NL"/>
              </w:rPr>
            </w:pPr>
            <w:r w:rsidRPr="006A31F0">
              <w:rPr>
                <w:rFonts w:ascii="Verdana" w:hAnsi="Verdana" w:cs="Calibri"/>
                <w:lang w:val="nl-NL"/>
              </w:rPr>
              <w:t> </w:t>
            </w:r>
          </w:p>
        </w:tc>
        <w:tc>
          <w:tcPr>
            <w:tcW w:w="384"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1DD0540C" w14:textId="77777777">
            <w:pPr>
              <w:widowControl/>
              <w:jc w:val="center"/>
              <w:rPr>
                <w:rFonts w:ascii="Verdana" w:hAnsi="Verdana" w:cs="Calibri"/>
                <w:lang w:val="nl-NL"/>
              </w:rPr>
            </w:pPr>
            <w:r w:rsidRPr="006A31F0">
              <w:rPr>
                <w:rFonts w:ascii="Verdana" w:hAnsi="Verdana" w:cs="Calibri"/>
                <w:lang w:val="nl-NL"/>
              </w:rPr>
              <w:t> </w:t>
            </w:r>
          </w:p>
        </w:tc>
        <w:tc>
          <w:tcPr>
            <w:tcW w:w="462"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5C351E95" w14:textId="77777777">
            <w:pPr>
              <w:widowControl/>
              <w:jc w:val="center"/>
              <w:rPr>
                <w:rFonts w:ascii="Verdana" w:hAnsi="Verdana" w:cs="Calibri"/>
                <w:lang w:val="nl-NL"/>
              </w:rPr>
            </w:pPr>
            <w:r w:rsidRPr="006A31F0">
              <w:rPr>
                <w:rFonts w:ascii="Verdana" w:hAnsi="Verdana" w:cs="Calibri"/>
                <w:lang w:val="nl-NL"/>
              </w:rPr>
              <w:t> </w:t>
            </w:r>
          </w:p>
        </w:tc>
        <w:tc>
          <w:tcPr>
            <w:tcW w:w="539"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7CE32C3E" w14:textId="77777777">
            <w:pPr>
              <w:widowControl/>
              <w:jc w:val="center"/>
              <w:rPr>
                <w:rFonts w:ascii="Verdana" w:hAnsi="Verdana" w:cs="Calibri"/>
                <w:lang w:val="nl-NL"/>
              </w:rPr>
            </w:pPr>
            <w:r w:rsidRPr="006A31F0">
              <w:rPr>
                <w:rFonts w:ascii="Verdana" w:hAnsi="Verdana" w:cs="Calibri"/>
                <w:lang w:val="nl-NL"/>
              </w:rPr>
              <w:t> </w:t>
            </w:r>
          </w:p>
        </w:tc>
        <w:tc>
          <w:tcPr>
            <w:tcW w:w="1077" w:type="pct"/>
            <w:tcBorders>
              <w:top w:val="nil"/>
              <w:left w:val="nil"/>
              <w:bottom w:val="single" w:color="FFFFFF" w:sz="8" w:space="0"/>
              <w:right w:val="single" w:color="FFFFFF" w:sz="4" w:space="0"/>
            </w:tcBorders>
            <w:shd w:val="clear" w:color="000000" w:fill="DDEBF7"/>
            <w:hideMark/>
          </w:tcPr>
          <w:p w:rsidRPr="006A31F0" w:rsidR="000C2084" w:rsidP="006A31F0" w:rsidRDefault="000C2084" w14:paraId="322538DD" w14:textId="77777777">
            <w:pPr>
              <w:widowControl/>
              <w:jc w:val="center"/>
              <w:rPr>
                <w:rFonts w:ascii="Verdana" w:hAnsi="Verdana" w:cs="Calibri"/>
                <w:lang w:val="nl-NL"/>
              </w:rPr>
            </w:pPr>
            <w:r w:rsidRPr="006A31F0">
              <w:rPr>
                <w:rFonts w:ascii="Verdana" w:hAnsi="Verdana" w:cs="Calibri"/>
                <w:lang w:val="nl-NL"/>
              </w:rPr>
              <w:t> </w:t>
            </w:r>
          </w:p>
        </w:tc>
      </w:tr>
      <w:tr w:rsidRPr="006A31F0" w:rsidR="00F90570" w:rsidTr="008D72EE" w14:paraId="6504BF9E" w14:textId="77777777">
        <w:trPr>
          <w:trHeight w:val="540"/>
        </w:trPr>
        <w:tc>
          <w:tcPr>
            <w:tcW w:w="457" w:type="pct"/>
            <w:tcBorders>
              <w:top w:val="nil"/>
              <w:left w:val="single" w:color="FFFFFF" w:sz="8" w:space="0"/>
              <w:bottom w:val="single" w:color="FFFFFF" w:sz="8" w:space="0"/>
              <w:right w:val="single" w:color="FFFFFF" w:sz="8" w:space="0"/>
            </w:tcBorders>
            <w:shd w:val="clear" w:color="000000" w:fill="F2F2F2"/>
            <w:hideMark/>
          </w:tcPr>
          <w:p w:rsidRPr="006A31F0" w:rsidR="000C2084" w:rsidP="006A31F0" w:rsidRDefault="000C2084" w14:paraId="7039A0E1" w14:textId="77777777">
            <w:pPr>
              <w:widowControl/>
              <w:rPr>
                <w:rFonts w:ascii="Verdana" w:hAnsi="Verdana" w:cs="Calibri"/>
                <w:color w:val="000000"/>
                <w:lang w:val="nl-NL"/>
              </w:rPr>
            </w:pPr>
            <w:r w:rsidRPr="006A31F0">
              <w:rPr>
                <w:rFonts w:ascii="Verdana" w:hAnsi="Verdana" w:cs="Calibri"/>
                <w:color w:val="000000"/>
                <w:lang w:val="nl-NL"/>
              </w:rPr>
              <w:t>4.10</w:t>
            </w:r>
          </w:p>
        </w:tc>
        <w:tc>
          <w:tcPr>
            <w:tcW w:w="1743" w:type="pct"/>
            <w:gridSpan w:val="2"/>
            <w:tcBorders>
              <w:top w:val="single" w:color="FFFFFF" w:sz="8" w:space="0"/>
              <w:left w:val="nil"/>
              <w:bottom w:val="single" w:color="FFFFFF" w:sz="8" w:space="0"/>
              <w:right w:val="single" w:color="FFFFFF" w:sz="8" w:space="0"/>
            </w:tcBorders>
            <w:shd w:val="clear" w:color="000000" w:fill="F2F2F2"/>
            <w:hideMark/>
          </w:tcPr>
          <w:p w:rsidRPr="006A31F0" w:rsidR="000C2084" w:rsidP="006A31F0" w:rsidRDefault="000C2084" w14:paraId="6DDDCB80" w14:textId="77777777">
            <w:pPr>
              <w:widowControl/>
              <w:rPr>
                <w:rFonts w:ascii="Verdana" w:hAnsi="Verdana" w:cs="Calibri"/>
                <w:color w:val="000000"/>
                <w:lang w:val="nl-NL"/>
              </w:rPr>
            </w:pPr>
            <w:r w:rsidRPr="006A31F0">
              <w:rPr>
                <w:rFonts w:ascii="Verdana" w:hAnsi="Verdana" w:cs="Calibri"/>
                <w:color w:val="000000"/>
                <w:lang w:val="nl-NL"/>
              </w:rPr>
              <w:t xml:space="preserve">Opname van een bronstaatheffing voor gefacilieerd opgebouwde </w:t>
            </w:r>
            <w:r w:rsidRPr="006A31F0">
              <w:rPr>
                <w:rFonts w:ascii="Verdana" w:hAnsi="Verdana" w:cs="Calibri"/>
                <w:b/>
                <w:bCs/>
                <w:color w:val="000000"/>
                <w:lang w:val="nl-NL"/>
              </w:rPr>
              <w:t xml:space="preserve">pensioenen </w:t>
            </w:r>
            <w:r w:rsidRPr="006A31F0">
              <w:rPr>
                <w:rFonts w:ascii="Verdana" w:hAnsi="Verdana" w:cs="Calibri"/>
                <w:color w:val="000000"/>
                <w:lang w:val="nl-NL"/>
              </w:rPr>
              <w:t>en</w:t>
            </w:r>
            <w:r w:rsidRPr="006A31F0">
              <w:rPr>
                <w:rFonts w:ascii="Verdana" w:hAnsi="Verdana" w:cs="Calibri"/>
                <w:b/>
                <w:bCs/>
                <w:color w:val="000000"/>
                <w:lang w:val="nl-NL"/>
              </w:rPr>
              <w:t xml:space="preserve"> </w:t>
            </w:r>
            <w:r w:rsidRPr="006A31F0">
              <w:rPr>
                <w:rFonts w:ascii="Verdana" w:hAnsi="Verdana" w:cs="Calibri"/>
                <w:color w:val="000000"/>
                <w:lang w:val="nl-NL"/>
              </w:rPr>
              <w:t>voor</w:t>
            </w:r>
            <w:r w:rsidRPr="006A31F0">
              <w:rPr>
                <w:rFonts w:ascii="Verdana" w:hAnsi="Verdana" w:cs="Calibri"/>
                <w:b/>
                <w:bCs/>
                <w:color w:val="000000"/>
                <w:lang w:val="nl-NL"/>
              </w:rPr>
              <w:t xml:space="preserve"> socialezekerheidsuitkeringen</w:t>
            </w:r>
          </w:p>
        </w:tc>
        <w:tc>
          <w:tcPr>
            <w:tcW w:w="338" w:type="pct"/>
            <w:tcBorders>
              <w:top w:val="nil"/>
              <w:left w:val="nil"/>
              <w:bottom w:val="single" w:color="FFFFFF" w:sz="8" w:space="0"/>
              <w:right w:val="single" w:color="FFFFFF" w:sz="8" w:space="0"/>
            </w:tcBorders>
            <w:shd w:val="clear" w:color="000000" w:fill="F2F2F2"/>
            <w:hideMark/>
          </w:tcPr>
          <w:p w:rsidRPr="006A31F0" w:rsidR="000C2084" w:rsidP="006A31F0" w:rsidRDefault="000C2084" w14:paraId="70D4DFC3"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384" w:type="pct"/>
            <w:tcBorders>
              <w:top w:val="nil"/>
              <w:left w:val="nil"/>
              <w:bottom w:val="single" w:color="FFFFFF" w:sz="8" w:space="0"/>
              <w:right w:val="single" w:color="FFFFFF" w:sz="4" w:space="0"/>
            </w:tcBorders>
            <w:shd w:val="clear" w:color="000000" w:fill="F2F2F2"/>
            <w:hideMark/>
          </w:tcPr>
          <w:p w:rsidRPr="006A31F0" w:rsidR="000C2084" w:rsidP="006A31F0" w:rsidRDefault="000C2084" w14:paraId="31993C31"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462" w:type="pct"/>
            <w:tcBorders>
              <w:top w:val="nil"/>
              <w:left w:val="single" w:color="FFFFFF" w:sz="8" w:space="0"/>
              <w:bottom w:val="single" w:color="FFFFFF" w:sz="8" w:space="0"/>
              <w:right w:val="single" w:color="FFFFFF" w:sz="8" w:space="0"/>
            </w:tcBorders>
            <w:shd w:val="clear" w:color="000000" w:fill="F2F2F2"/>
            <w:hideMark/>
          </w:tcPr>
          <w:p w:rsidRPr="006A31F0" w:rsidR="000C2084" w:rsidP="006A31F0" w:rsidRDefault="00581848" w14:paraId="5EA7037C" w14:textId="77777777">
            <w:pPr>
              <w:widowControl/>
              <w:jc w:val="center"/>
              <w:rPr>
                <w:rFonts w:ascii="Verdana" w:hAnsi="Verdana" w:cs="Calibri"/>
                <w:b/>
                <w:color w:val="000000"/>
                <w:lang w:val="nl-NL"/>
              </w:rPr>
            </w:pPr>
            <w:r w:rsidRPr="006A31F0">
              <w:rPr>
                <w:rFonts w:ascii="Verdana" w:hAnsi="Verdana" w:cs="Calibri"/>
                <w:b/>
                <w:color w:val="000000"/>
                <w:lang w:val="nl-NL"/>
              </w:rPr>
              <w:t>X</w:t>
            </w:r>
          </w:p>
        </w:tc>
        <w:tc>
          <w:tcPr>
            <w:tcW w:w="539" w:type="pct"/>
            <w:tcBorders>
              <w:top w:val="nil"/>
              <w:left w:val="nil"/>
              <w:bottom w:val="single" w:color="FFFFFF" w:sz="8" w:space="0"/>
              <w:right w:val="single" w:color="FFFFFF" w:sz="4" w:space="0"/>
            </w:tcBorders>
            <w:shd w:val="clear" w:color="000000" w:fill="F2F2F2"/>
            <w:hideMark/>
          </w:tcPr>
          <w:p w:rsidRPr="006A31F0" w:rsidR="000C2084" w:rsidP="006A31F0" w:rsidRDefault="000C2084" w14:paraId="483D842A"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1077" w:type="pct"/>
            <w:tcBorders>
              <w:top w:val="nil"/>
              <w:left w:val="single" w:color="FFFFFF" w:sz="8" w:space="0"/>
              <w:bottom w:val="single" w:color="FFFFFF" w:sz="8" w:space="0"/>
              <w:right w:val="single" w:color="FFFFFF" w:sz="4" w:space="0"/>
            </w:tcBorders>
            <w:shd w:val="clear" w:color="000000" w:fill="F2F2F2"/>
            <w:hideMark/>
          </w:tcPr>
          <w:p w:rsidRPr="006A31F0" w:rsidR="000C2084" w:rsidP="006A31F0" w:rsidRDefault="00581848" w14:paraId="7B040A1C" w14:textId="77777777">
            <w:pPr>
              <w:widowControl/>
              <w:jc w:val="center"/>
              <w:rPr>
                <w:rFonts w:ascii="Verdana" w:hAnsi="Verdana" w:cs="Calibri"/>
                <w:color w:val="000000"/>
                <w:lang w:val="nl-NL"/>
              </w:rPr>
            </w:pPr>
            <w:r w:rsidRPr="006A31F0">
              <w:rPr>
                <w:rFonts w:ascii="Verdana" w:hAnsi="Verdana" w:cs="Calibri"/>
                <w:color w:val="000000"/>
                <w:lang w:val="nl-NL"/>
              </w:rPr>
              <w:t>II.</w:t>
            </w:r>
            <w:r w:rsidRPr="006A31F0" w:rsidR="008875DA">
              <w:rPr>
                <w:rFonts w:ascii="Verdana" w:hAnsi="Verdana" w:cs="Calibri"/>
                <w:color w:val="000000"/>
                <w:lang w:val="nl-NL"/>
              </w:rPr>
              <w:t>4</w:t>
            </w:r>
          </w:p>
        </w:tc>
      </w:tr>
      <w:tr w:rsidRPr="006A31F0" w:rsidR="00F90570" w:rsidTr="008D72EE" w14:paraId="2E6E9F35" w14:textId="77777777">
        <w:trPr>
          <w:trHeight w:val="825"/>
        </w:trPr>
        <w:tc>
          <w:tcPr>
            <w:tcW w:w="457" w:type="pct"/>
            <w:tcBorders>
              <w:top w:val="nil"/>
              <w:left w:val="nil"/>
              <w:bottom w:val="single" w:color="FFFFFF" w:sz="8" w:space="0"/>
              <w:right w:val="single" w:color="FFFFFF" w:sz="8" w:space="0"/>
            </w:tcBorders>
            <w:shd w:val="clear" w:color="000000" w:fill="F2F2F2"/>
            <w:hideMark/>
          </w:tcPr>
          <w:p w:rsidRPr="006A31F0" w:rsidR="000C2084" w:rsidP="006A31F0" w:rsidRDefault="000C2084" w14:paraId="0237FC86" w14:textId="77777777">
            <w:pPr>
              <w:widowControl/>
              <w:rPr>
                <w:rFonts w:ascii="Verdana" w:hAnsi="Verdana" w:cs="Calibri"/>
                <w:color w:val="000000"/>
                <w:lang w:val="nl-NL"/>
              </w:rPr>
            </w:pPr>
            <w:r w:rsidRPr="006A31F0">
              <w:rPr>
                <w:rFonts w:ascii="Verdana" w:hAnsi="Verdana" w:cs="Calibri"/>
                <w:color w:val="000000"/>
                <w:lang w:val="nl-NL"/>
              </w:rPr>
              <w:t>4.12</w:t>
            </w:r>
          </w:p>
        </w:tc>
        <w:tc>
          <w:tcPr>
            <w:tcW w:w="1743" w:type="pct"/>
            <w:gridSpan w:val="2"/>
            <w:tcBorders>
              <w:top w:val="single" w:color="FFFFFF" w:sz="8" w:space="0"/>
              <w:left w:val="nil"/>
              <w:bottom w:val="single" w:color="FFFFFF" w:sz="8" w:space="0"/>
              <w:right w:val="single" w:color="FFFFFF" w:sz="8" w:space="0"/>
            </w:tcBorders>
            <w:shd w:val="clear" w:color="000000" w:fill="F2F2F2"/>
            <w:hideMark/>
          </w:tcPr>
          <w:p w:rsidRPr="006A31F0" w:rsidR="000C2084" w:rsidP="006A31F0" w:rsidRDefault="000C2084" w14:paraId="38DF5847" w14:textId="77777777">
            <w:pPr>
              <w:widowControl/>
              <w:rPr>
                <w:rFonts w:ascii="Verdana" w:hAnsi="Verdana" w:cs="Calibri"/>
                <w:color w:val="000000"/>
                <w:lang w:val="nl-NL"/>
              </w:rPr>
            </w:pPr>
            <w:r w:rsidRPr="006A31F0">
              <w:rPr>
                <w:rFonts w:ascii="Verdana" w:hAnsi="Verdana" w:cs="Calibri"/>
                <w:color w:val="000000"/>
                <w:lang w:val="nl-NL"/>
              </w:rPr>
              <w:t xml:space="preserve">Opname van een bepaling op basis waarvan de bepalingen over de uitwisseling van informatie en bijstand bij de invordering van belastingen eveneens van toepassing zijn op de Nederlandse inkomensafhankelijke regelingen </w:t>
            </w:r>
            <w:r w:rsidRPr="006A31F0">
              <w:rPr>
                <w:rFonts w:ascii="Verdana" w:hAnsi="Verdana" w:cs="Calibri"/>
                <w:b/>
                <w:bCs/>
                <w:color w:val="000000"/>
                <w:lang w:val="nl-NL"/>
              </w:rPr>
              <w:t>(toeslagen)</w:t>
            </w:r>
          </w:p>
        </w:tc>
        <w:tc>
          <w:tcPr>
            <w:tcW w:w="338" w:type="pct"/>
            <w:tcBorders>
              <w:top w:val="nil"/>
              <w:left w:val="nil"/>
              <w:bottom w:val="single" w:color="FFFFFF" w:sz="8" w:space="0"/>
              <w:right w:val="single" w:color="FFFFFF" w:sz="8" w:space="0"/>
            </w:tcBorders>
            <w:shd w:val="clear" w:color="000000" w:fill="F2F2F2"/>
            <w:hideMark/>
          </w:tcPr>
          <w:p w:rsidRPr="006A31F0" w:rsidR="000C2084" w:rsidP="006A31F0" w:rsidRDefault="000C2084" w14:paraId="6B4A6D17" w14:textId="711F8F08">
            <w:pPr>
              <w:widowControl/>
              <w:jc w:val="center"/>
              <w:rPr>
                <w:rFonts w:ascii="Verdana" w:hAnsi="Verdana" w:cs="Calibri"/>
                <w:color w:val="000000"/>
                <w:lang w:val="nl-NL"/>
              </w:rPr>
            </w:pPr>
            <w:r w:rsidRPr="006A31F0">
              <w:rPr>
                <w:rFonts w:ascii="Verdana" w:hAnsi="Verdana" w:cs="Calibri"/>
                <w:color w:val="000000"/>
                <w:lang w:val="nl-NL"/>
              </w:rPr>
              <w:t> </w:t>
            </w:r>
          </w:p>
        </w:tc>
        <w:tc>
          <w:tcPr>
            <w:tcW w:w="384" w:type="pct"/>
            <w:tcBorders>
              <w:top w:val="nil"/>
              <w:left w:val="nil"/>
              <w:bottom w:val="single" w:color="FFFFFF" w:sz="8" w:space="0"/>
              <w:right w:val="single" w:color="FFFFFF" w:sz="4" w:space="0"/>
            </w:tcBorders>
            <w:shd w:val="clear" w:color="000000" w:fill="F2F2F2"/>
            <w:hideMark/>
          </w:tcPr>
          <w:p w:rsidRPr="006A31F0" w:rsidR="000C2084" w:rsidP="006A31F0" w:rsidRDefault="000C2084" w14:paraId="2147FF46"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462" w:type="pct"/>
            <w:tcBorders>
              <w:top w:val="nil"/>
              <w:left w:val="nil"/>
              <w:bottom w:val="single" w:color="FFFFFF" w:sz="8" w:space="0"/>
              <w:right w:val="single" w:color="FFFFFF" w:sz="8" w:space="0"/>
            </w:tcBorders>
            <w:shd w:val="clear" w:color="000000" w:fill="F2F2F2"/>
            <w:hideMark/>
          </w:tcPr>
          <w:p w:rsidRPr="006A31F0" w:rsidR="000C2084" w:rsidP="006A31F0" w:rsidRDefault="008875DA" w14:paraId="6218D3E7" w14:textId="77777777">
            <w:pPr>
              <w:widowControl/>
              <w:jc w:val="center"/>
              <w:rPr>
                <w:rFonts w:ascii="Verdana" w:hAnsi="Verdana" w:cs="Calibri"/>
                <w:b/>
                <w:color w:val="000000"/>
                <w:lang w:val="nl-NL"/>
              </w:rPr>
            </w:pPr>
            <w:r w:rsidRPr="006A31F0">
              <w:rPr>
                <w:rFonts w:ascii="Verdana" w:hAnsi="Verdana" w:cs="Calibri"/>
                <w:b/>
                <w:color w:val="000000"/>
                <w:lang w:val="nl-NL"/>
              </w:rPr>
              <w:t>X</w:t>
            </w:r>
          </w:p>
        </w:tc>
        <w:tc>
          <w:tcPr>
            <w:tcW w:w="539" w:type="pct"/>
            <w:tcBorders>
              <w:top w:val="nil"/>
              <w:left w:val="nil"/>
              <w:bottom w:val="single" w:color="FFFFFF" w:sz="8" w:space="0"/>
              <w:right w:val="single" w:color="FFFFFF" w:sz="8" w:space="0"/>
            </w:tcBorders>
            <w:shd w:val="clear" w:color="000000" w:fill="F2F2F2"/>
            <w:hideMark/>
          </w:tcPr>
          <w:p w:rsidRPr="006A31F0" w:rsidR="000C2084" w:rsidP="006A31F0" w:rsidRDefault="000C2084" w14:paraId="6D863CF3"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1077" w:type="pct"/>
            <w:tcBorders>
              <w:top w:val="nil"/>
              <w:left w:val="nil"/>
              <w:bottom w:val="single" w:color="FFFFFF" w:sz="8" w:space="0"/>
              <w:right w:val="single" w:color="FFFFFF" w:sz="8" w:space="0"/>
            </w:tcBorders>
            <w:shd w:val="clear" w:color="000000" w:fill="F2F2F2"/>
            <w:hideMark/>
          </w:tcPr>
          <w:p w:rsidRPr="006A31F0" w:rsidR="000C2084" w:rsidP="006A31F0" w:rsidRDefault="00A26D62" w14:paraId="51DD3608" w14:textId="77777777">
            <w:pPr>
              <w:widowControl/>
              <w:jc w:val="center"/>
              <w:rPr>
                <w:rFonts w:ascii="Verdana" w:hAnsi="Verdana" w:cs="Calibri"/>
                <w:color w:val="000000"/>
                <w:lang w:val="nl-NL"/>
              </w:rPr>
            </w:pPr>
            <w:r w:rsidRPr="006A31F0">
              <w:rPr>
                <w:rFonts w:ascii="Verdana" w:hAnsi="Verdana" w:cs="Calibri"/>
                <w:color w:val="000000"/>
                <w:lang w:val="nl-NL"/>
              </w:rPr>
              <w:t>Par.</w:t>
            </w:r>
            <w:r w:rsidRPr="006A31F0" w:rsidR="000C2084">
              <w:rPr>
                <w:rFonts w:ascii="Verdana" w:hAnsi="Verdana" w:cs="Calibri"/>
                <w:color w:val="000000"/>
                <w:lang w:val="nl-NL"/>
              </w:rPr>
              <w:t> </w:t>
            </w:r>
            <w:r w:rsidRPr="006A31F0">
              <w:rPr>
                <w:rFonts w:ascii="Verdana" w:hAnsi="Verdana" w:cs="Calibri"/>
                <w:color w:val="000000"/>
                <w:lang w:val="nl-NL"/>
              </w:rPr>
              <w:t>II.</w:t>
            </w:r>
            <w:r w:rsidRPr="006A31F0" w:rsidR="002172B9">
              <w:rPr>
                <w:rFonts w:ascii="Verdana" w:hAnsi="Verdana" w:cs="Calibri"/>
                <w:color w:val="000000"/>
                <w:lang w:val="nl-NL"/>
              </w:rPr>
              <w:t>7</w:t>
            </w:r>
          </w:p>
        </w:tc>
      </w:tr>
      <w:tr w:rsidRPr="006A31F0" w:rsidR="00F90570" w:rsidTr="008D72EE" w14:paraId="573A11D4" w14:textId="77777777">
        <w:trPr>
          <w:trHeight w:val="600"/>
        </w:trPr>
        <w:tc>
          <w:tcPr>
            <w:tcW w:w="457" w:type="pct"/>
            <w:tcBorders>
              <w:top w:val="nil"/>
              <w:left w:val="single" w:color="FFFFFF" w:sz="4" w:space="0"/>
              <w:bottom w:val="single" w:color="FFFFFF" w:sz="8" w:space="0"/>
              <w:right w:val="single" w:color="FFFFFF" w:sz="8" w:space="0"/>
            </w:tcBorders>
            <w:shd w:val="clear" w:color="000000" w:fill="DDEBF7"/>
            <w:vAlign w:val="bottom"/>
            <w:hideMark/>
          </w:tcPr>
          <w:p w:rsidRPr="006A31F0" w:rsidR="000C2084" w:rsidP="006A31F0" w:rsidRDefault="000C2084" w14:paraId="64DE86F9" w14:textId="77777777">
            <w:pPr>
              <w:widowControl/>
              <w:rPr>
                <w:rFonts w:ascii="Verdana" w:hAnsi="Verdana" w:cs="Calibri"/>
                <w:i/>
                <w:iCs/>
                <w:lang w:val="nl-NL"/>
              </w:rPr>
            </w:pPr>
            <w:r w:rsidRPr="006A31F0">
              <w:rPr>
                <w:rFonts w:ascii="Verdana" w:hAnsi="Verdana" w:cs="Calibri"/>
                <w:i/>
                <w:iCs/>
                <w:lang w:val="nl-NL"/>
              </w:rPr>
              <w:t> </w:t>
            </w:r>
          </w:p>
        </w:tc>
        <w:tc>
          <w:tcPr>
            <w:tcW w:w="1743" w:type="pct"/>
            <w:gridSpan w:val="2"/>
            <w:tcBorders>
              <w:top w:val="nil"/>
              <w:left w:val="nil"/>
              <w:bottom w:val="nil"/>
              <w:right w:val="nil"/>
            </w:tcBorders>
            <w:shd w:val="clear" w:color="000000" w:fill="DDEBF7"/>
            <w:vAlign w:val="bottom"/>
            <w:hideMark/>
          </w:tcPr>
          <w:p w:rsidRPr="006A31F0" w:rsidR="000C2084" w:rsidP="006A31F0" w:rsidRDefault="000C2084" w14:paraId="47ECECAD" w14:textId="77777777">
            <w:pPr>
              <w:widowControl/>
              <w:rPr>
                <w:rFonts w:ascii="Verdana" w:hAnsi="Verdana" w:cs="Calibri"/>
                <w:b/>
                <w:bCs/>
                <w:i/>
                <w:iCs/>
                <w:lang w:val="nl-NL"/>
              </w:rPr>
            </w:pPr>
            <w:r w:rsidRPr="006A31F0">
              <w:rPr>
                <w:rFonts w:ascii="Verdana" w:hAnsi="Verdana" w:cs="Calibri"/>
                <w:b/>
                <w:bCs/>
                <w:i/>
                <w:iCs/>
                <w:lang w:val="nl-NL"/>
              </w:rPr>
              <w:t>Minimumstandaarden</w:t>
            </w:r>
          </w:p>
        </w:tc>
        <w:tc>
          <w:tcPr>
            <w:tcW w:w="338" w:type="pct"/>
            <w:tcBorders>
              <w:top w:val="nil"/>
              <w:left w:val="single" w:color="FFFFFF" w:sz="8" w:space="0"/>
              <w:bottom w:val="single" w:color="FFFFFF" w:sz="8" w:space="0"/>
              <w:right w:val="single" w:color="FFFFFF" w:sz="8" w:space="0"/>
            </w:tcBorders>
            <w:shd w:val="clear" w:color="000000" w:fill="DDEBF7"/>
            <w:hideMark/>
          </w:tcPr>
          <w:p w:rsidRPr="006A31F0" w:rsidR="000C2084" w:rsidP="006A31F0" w:rsidRDefault="000C2084" w14:paraId="67408A1A" w14:textId="77777777">
            <w:pPr>
              <w:widowControl/>
              <w:jc w:val="center"/>
              <w:rPr>
                <w:rFonts w:ascii="Verdana" w:hAnsi="Verdana" w:cs="Calibri"/>
                <w:lang w:val="nl-NL"/>
              </w:rPr>
            </w:pPr>
            <w:r w:rsidRPr="006A31F0">
              <w:rPr>
                <w:rFonts w:ascii="Verdana" w:hAnsi="Verdana" w:cs="Calibri"/>
                <w:lang w:val="nl-NL"/>
              </w:rPr>
              <w:t> </w:t>
            </w:r>
          </w:p>
        </w:tc>
        <w:tc>
          <w:tcPr>
            <w:tcW w:w="384"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31FEFECF" w14:textId="77777777">
            <w:pPr>
              <w:widowControl/>
              <w:jc w:val="center"/>
              <w:rPr>
                <w:rFonts w:ascii="Verdana" w:hAnsi="Verdana" w:cs="Calibri"/>
                <w:lang w:val="nl-NL"/>
              </w:rPr>
            </w:pPr>
            <w:r w:rsidRPr="006A31F0">
              <w:rPr>
                <w:rFonts w:ascii="Verdana" w:hAnsi="Verdana" w:cs="Calibri"/>
                <w:lang w:val="nl-NL"/>
              </w:rPr>
              <w:t> </w:t>
            </w:r>
          </w:p>
        </w:tc>
        <w:tc>
          <w:tcPr>
            <w:tcW w:w="462"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1E820C3D" w14:textId="77777777">
            <w:pPr>
              <w:widowControl/>
              <w:jc w:val="center"/>
              <w:rPr>
                <w:rFonts w:ascii="Verdana" w:hAnsi="Verdana" w:cs="Calibri"/>
                <w:lang w:val="nl-NL"/>
              </w:rPr>
            </w:pPr>
            <w:r w:rsidRPr="006A31F0">
              <w:rPr>
                <w:rFonts w:ascii="Verdana" w:hAnsi="Verdana" w:cs="Calibri"/>
                <w:lang w:val="nl-NL"/>
              </w:rPr>
              <w:t> </w:t>
            </w:r>
          </w:p>
        </w:tc>
        <w:tc>
          <w:tcPr>
            <w:tcW w:w="539"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7E1C4D1C" w14:textId="77777777">
            <w:pPr>
              <w:widowControl/>
              <w:jc w:val="center"/>
              <w:rPr>
                <w:rFonts w:ascii="Verdana" w:hAnsi="Verdana" w:cs="Calibri"/>
                <w:lang w:val="nl-NL"/>
              </w:rPr>
            </w:pPr>
            <w:r w:rsidRPr="006A31F0">
              <w:rPr>
                <w:rFonts w:ascii="Verdana" w:hAnsi="Verdana" w:cs="Calibri"/>
                <w:lang w:val="nl-NL"/>
              </w:rPr>
              <w:t> </w:t>
            </w:r>
          </w:p>
        </w:tc>
        <w:tc>
          <w:tcPr>
            <w:tcW w:w="1077" w:type="pct"/>
            <w:tcBorders>
              <w:top w:val="nil"/>
              <w:left w:val="nil"/>
              <w:bottom w:val="single" w:color="FFFFFF" w:sz="8" w:space="0"/>
              <w:right w:val="single" w:color="FFFFFF" w:sz="4" w:space="0"/>
            </w:tcBorders>
            <w:shd w:val="clear" w:color="000000" w:fill="DDEBF7"/>
            <w:hideMark/>
          </w:tcPr>
          <w:p w:rsidRPr="006A31F0" w:rsidR="000C2084" w:rsidP="006A31F0" w:rsidRDefault="000C2084" w14:paraId="1EC719EB" w14:textId="77777777">
            <w:pPr>
              <w:widowControl/>
              <w:jc w:val="center"/>
              <w:rPr>
                <w:rFonts w:ascii="Verdana" w:hAnsi="Verdana" w:cs="Calibri"/>
                <w:lang w:val="nl-NL"/>
              </w:rPr>
            </w:pPr>
            <w:r w:rsidRPr="006A31F0">
              <w:rPr>
                <w:rFonts w:ascii="Verdana" w:hAnsi="Verdana" w:cs="Calibri"/>
                <w:lang w:val="nl-NL"/>
              </w:rPr>
              <w:t> </w:t>
            </w:r>
          </w:p>
        </w:tc>
      </w:tr>
      <w:tr w:rsidRPr="006A31F0" w:rsidR="00F90570" w:rsidTr="008D72EE" w14:paraId="4D388394" w14:textId="77777777">
        <w:trPr>
          <w:trHeight w:val="375"/>
        </w:trPr>
        <w:tc>
          <w:tcPr>
            <w:tcW w:w="457" w:type="pct"/>
            <w:tcBorders>
              <w:top w:val="nil"/>
              <w:left w:val="nil"/>
              <w:bottom w:val="single" w:color="FFFFFF" w:sz="8" w:space="0"/>
              <w:right w:val="single" w:color="FFFFFF" w:sz="8" w:space="0"/>
            </w:tcBorders>
            <w:shd w:val="clear" w:color="000000" w:fill="F2F2F2"/>
            <w:hideMark/>
          </w:tcPr>
          <w:p w:rsidRPr="006A31F0" w:rsidR="000C2084" w:rsidP="006A31F0" w:rsidRDefault="000C2084" w14:paraId="69CADA77" w14:textId="77777777">
            <w:pPr>
              <w:widowControl/>
              <w:rPr>
                <w:rFonts w:ascii="Verdana" w:hAnsi="Verdana" w:cs="Calibri"/>
                <w:color w:val="000000"/>
                <w:lang w:val="nl-NL"/>
              </w:rPr>
            </w:pPr>
            <w:r w:rsidRPr="006A31F0">
              <w:rPr>
                <w:rFonts w:ascii="Verdana" w:hAnsi="Verdana" w:cs="Calibri"/>
                <w:color w:val="000000"/>
                <w:lang w:val="nl-NL"/>
              </w:rPr>
              <w:t>3.2</w:t>
            </w:r>
          </w:p>
        </w:tc>
        <w:tc>
          <w:tcPr>
            <w:tcW w:w="1743" w:type="pct"/>
            <w:gridSpan w:val="2"/>
            <w:tcBorders>
              <w:top w:val="single" w:color="FFFFFF" w:sz="8" w:space="0"/>
              <w:left w:val="nil"/>
              <w:bottom w:val="single" w:color="FFFFFF" w:sz="8" w:space="0"/>
              <w:right w:val="single" w:color="FFFFFF" w:sz="8" w:space="0"/>
            </w:tcBorders>
            <w:shd w:val="clear" w:color="000000" w:fill="F2F2F2"/>
            <w:hideMark/>
          </w:tcPr>
          <w:p w:rsidRPr="006A31F0" w:rsidR="000C2084" w:rsidP="006A31F0" w:rsidRDefault="000C2084" w14:paraId="262BE904" w14:textId="77777777">
            <w:pPr>
              <w:widowControl/>
              <w:rPr>
                <w:rFonts w:ascii="Verdana" w:hAnsi="Verdana" w:cs="Calibri"/>
                <w:color w:val="000000"/>
                <w:lang w:val="nl-NL"/>
              </w:rPr>
            </w:pPr>
            <w:r w:rsidRPr="006A31F0">
              <w:rPr>
                <w:rFonts w:ascii="Verdana" w:hAnsi="Verdana" w:cs="Calibri"/>
                <w:color w:val="000000"/>
                <w:lang w:val="nl-NL"/>
              </w:rPr>
              <w:t xml:space="preserve">Opname van de </w:t>
            </w:r>
            <w:r w:rsidRPr="006A31F0">
              <w:rPr>
                <w:rFonts w:ascii="Verdana" w:hAnsi="Verdana" w:cs="Calibri"/>
                <w:b/>
                <w:bCs/>
                <w:color w:val="000000"/>
                <w:lang w:val="nl-NL"/>
              </w:rPr>
              <w:t>minimumstandaarden</w:t>
            </w:r>
            <w:r w:rsidRPr="006A31F0">
              <w:rPr>
                <w:rFonts w:ascii="Verdana" w:hAnsi="Verdana" w:cs="Calibri"/>
                <w:color w:val="000000"/>
                <w:lang w:val="nl-NL"/>
              </w:rPr>
              <w:t xml:space="preserve"> van het BEPS-project</w:t>
            </w:r>
          </w:p>
        </w:tc>
        <w:tc>
          <w:tcPr>
            <w:tcW w:w="338" w:type="pct"/>
            <w:tcBorders>
              <w:top w:val="nil"/>
              <w:left w:val="nil"/>
              <w:bottom w:val="single" w:color="FFFFFF" w:sz="8" w:space="0"/>
              <w:right w:val="single" w:color="FFFFFF" w:sz="8" w:space="0"/>
            </w:tcBorders>
            <w:shd w:val="clear" w:color="000000" w:fill="F2F2F2"/>
            <w:hideMark/>
          </w:tcPr>
          <w:p w:rsidRPr="006A31F0" w:rsidR="000C2084" w:rsidP="006A31F0" w:rsidRDefault="000C2084" w14:paraId="7D96F380" w14:textId="77777777">
            <w:pPr>
              <w:widowControl/>
              <w:jc w:val="center"/>
              <w:rPr>
                <w:rFonts w:ascii="Verdana" w:hAnsi="Verdana" w:cs="Calibri"/>
                <w:color w:val="000000"/>
                <w:lang w:val="nl-NL"/>
              </w:rPr>
            </w:pPr>
            <w:r w:rsidRPr="006A31F0">
              <w:rPr>
                <w:rFonts w:ascii="Verdana" w:hAnsi="Verdana" w:cs="Calibri"/>
                <w:color w:val="000000"/>
                <w:lang w:val="nl-NL"/>
              </w:rPr>
              <w:t> </w:t>
            </w:r>
            <w:r w:rsidRPr="006A31F0" w:rsidR="00A26D62">
              <w:rPr>
                <w:rFonts w:ascii="Verdana" w:hAnsi="Verdana" w:cs="Calibri"/>
                <w:b/>
                <w:color w:val="000000"/>
                <w:lang w:val="nl-NL"/>
              </w:rPr>
              <w:t>X</w:t>
            </w:r>
          </w:p>
        </w:tc>
        <w:tc>
          <w:tcPr>
            <w:tcW w:w="384" w:type="pct"/>
            <w:tcBorders>
              <w:top w:val="nil"/>
              <w:left w:val="nil"/>
              <w:bottom w:val="single" w:color="FFFFFF" w:sz="8" w:space="0"/>
              <w:right w:val="single" w:color="FFFFFF" w:sz="4" w:space="0"/>
            </w:tcBorders>
            <w:shd w:val="clear" w:color="000000" w:fill="F2F2F2"/>
            <w:hideMark/>
          </w:tcPr>
          <w:p w:rsidRPr="006A31F0" w:rsidR="000C2084" w:rsidP="006A31F0" w:rsidRDefault="000C2084" w14:paraId="2308666B"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462" w:type="pct"/>
            <w:tcBorders>
              <w:top w:val="nil"/>
              <w:left w:val="single" w:color="FFFFFF" w:sz="8" w:space="0"/>
              <w:bottom w:val="single" w:color="FFFFFF" w:sz="8" w:space="0"/>
              <w:right w:val="single" w:color="FFFFFF" w:sz="8" w:space="0"/>
            </w:tcBorders>
            <w:shd w:val="clear" w:color="000000" w:fill="F2F2F2"/>
            <w:hideMark/>
          </w:tcPr>
          <w:p w:rsidRPr="006A31F0" w:rsidR="000C2084" w:rsidP="006A31F0" w:rsidRDefault="000C2084" w14:paraId="144DE686"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539" w:type="pct"/>
            <w:tcBorders>
              <w:top w:val="nil"/>
              <w:left w:val="nil"/>
              <w:bottom w:val="single" w:color="FFFFFF" w:sz="8" w:space="0"/>
              <w:right w:val="single" w:color="FFFFFF" w:sz="4" w:space="0"/>
            </w:tcBorders>
            <w:shd w:val="clear" w:color="000000" w:fill="F2F2F2"/>
            <w:hideMark/>
          </w:tcPr>
          <w:p w:rsidRPr="006A31F0" w:rsidR="000C2084" w:rsidP="006A31F0" w:rsidRDefault="000C2084" w14:paraId="0B915962"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1077" w:type="pct"/>
            <w:tcBorders>
              <w:top w:val="nil"/>
              <w:left w:val="single" w:color="FFFFFF" w:sz="8" w:space="0"/>
              <w:bottom w:val="single" w:color="FFFFFF" w:sz="8" w:space="0"/>
              <w:right w:val="single" w:color="FFFFFF" w:sz="4" w:space="0"/>
            </w:tcBorders>
            <w:shd w:val="clear" w:color="000000" w:fill="F2F2F2"/>
            <w:hideMark/>
          </w:tcPr>
          <w:p w:rsidRPr="006A31F0" w:rsidR="000C2084" w:rsidP="001A46C1" w:rsidRDefault="005F4C56" w14:paraId="621EA8A4" w14:textId="763883A7">
            <w:pPr>
              <w:widowControl/>
              <w:jc w:val="center"/>
              <w:rPr>
                <w:rFonts w:ascii="Verdana" w:hAnsi="Verdana" w:cs="Calibri"/>
                <w:color w:val="000000"/>
                <w:lang w:val="nl-NL"/>
              </w:rPr>
            </w:pPr>
            <w:r w:rsidRPr="006A31F0">
              <w:rPr>
                <w:rFonts w:ascii="Verdana" w:hAnsi="Verdana" w:cs="Calibri"/>
                <w:color w:val="000000"/>
                <w:lang w:val="nl-NL"/>
              </w:rPr>
              <w:t>Par. II.</w:t>
            </w:r>
            <w:r w:rsidR="001A46C1">
              <w:rPr>
                <w:rFonts w:ascii="Verdana" w:hAnsi="Verdana" w:cs="Calibri"/>
                <w:color w:val="000000"/>
                <w:lang w:val="nl-NL"/>
              </w:rPr>
              <w:t>6</w:t>
            </w:r>
          </w:p>
        </w:tc>
      </w:tr>
      <w:tr w:rsidRPr="006A31F0" w:rsidR="00F90570" w:rsidTr="008D72EE" w14:paraId="65678C81" w14:textId="77777777">
        <w:trPr>
          <w:trHeight w:val="555"/>
        </w:trPr>
        <w:tc>
          <w:tcPr>
            <w:tcW w:w="457" w:type="pct"/>
            <w:tcBorders>
              <w:top w:val="nil"/>
              <w:left w:val="single" w:color="FFFFFF" w:sz="4" w:space="0"/>
              <w:bottom w:val="single" w:color="FFFFFF" w:sz="8" w:space="0"/>
              <w:right w:val="single" w:color="FFFFFF" w:sz="8" w:space="0"/>
            </w:tcBorders>
            <w:shd w:val="clear" w:color="000000" w:fill="DDEBF7"/>
            <w:vAlign w:val="bottom"/>
            <w:hideMark/>
          </w:tcPr>
          <w:p w:rsidRPr="006A31F0" w:rsidR="000C2084" w:rsidP="006A31F0" w:rsidRDefault="000C2084" w14:paraId="0C1CA31B" w14:textId="77777777">
            <w:pPr>
              <w:widowControl/>
              <w:rPr>
                <w:rFonts w:ascii="Verdana" w:hAnsi="Verdana" w:cs="Calibri"/>
                <w:i/>
                <w:iCs/>
                <w:lang w:val="nl-NL"/>
              </w:rPr>
            </w:pPr>
            <w:r w:rsidRPr="006A31F0">
              <w:rPr>
                <w:rFonts w:ascii="Verdana" w:hAnsi="Verdana" w:cs="Calibri"/>
                <w:i/>
                <w:iCs/>
                <w:lang w:val="nl-NL"/>
              </w:rPr>
              <w:t> </w:t>
            </w:r>
          </w:p>
        </w:tc>
        <w:tc>
          <w:tcPr>
            <w:tcW w:w="1743" w:type="pct"/>
            <w:gridSpan w:val="2"/>
            <w:tcBorders>
              <w:top w:val="nil"/>
              <w:left w:val="nil"/>
              <w:bottom w:val="nil"/>
              <w:right w:val="nil"/>
            </w:tcBorders>
            <w:shd w:val="clear" w:color="000000" w:fill="DDEBF7"/>
            <w:vAlign w:val="bottom"/>
            <w:hideMark/>
          </w:tcPr>
          <w:p w:rsidRPr="006A31F0" w:rsidR="000C2084" w:rsidP="006A31F0" w:rsidRDefault="000C2084" w14:paraId="41A9EA39" w14:textId="77777777">
            <w:pPr>
              <w:widowControl/>
              <w:rPr>
                <w:rFonts w:ascii="Verdana" w:hAnsi="Verdana" w:cs="Calibri"/>
                <w:b/>
                <w:bCs/>
                <w:i/>
                <w:iCs/>
                <w:lang w:val="nl-NL"/>
              </w:rPr>
            </w:pPr>
            <w:r w:rsidRPr="006A31F0">
              <w:rPr>
                <w:rFonts w:ascii="Verdana" w:hAnsi="Verdana" w:cs="Calibri"/>
                <w:b/>
                <w:bCs/>
                <w:i/>
                <w:iCs/>
                <w:lang w:val="nl-NL"/>
              </w:rPr>
              <w:t>Overige maatregelen BEPS-project</w:t>
            </w:r>
          </w:p>
        </w:tc>
        <w:tc>
          <w:tcPr>
            <w:tcW w:w="338" w:type="pct"/>
            <w:tcBorders>
              <w:top w:val="nil"/>
              <w:left w:val="single" w:color="FFFFFF" w:sz="8" w:space="0"/>
              <w:bottom w:val="single" w:color="FFFFFF" w:sz="8" w:space="0"/>
              <w:right w:val="single" w:color="FFFFFF" w:sz="8" w:space="0"/>
            </w:tcBorders>
            <w:shd w:val="clear" w:color="000000" w:fill="DDEBF7"/>
            <w:hideMark/>
          </w:tcPr>
          <w:p w:rsidRPr="006A31F0" w:rsidR="000C2084" w:rsidP="006A31F0" w:rsidRDefault="000C2084" w14:paraId="2E8B5504" w14:textId="77777777">
            <w:pPr>
              <w:widowControl/>
              <w:jc w:val="center"/>
              <w:rPr>
                <w:rFonts w:ascii="Verdana" w:hAnsi="Verdana" w:cs="Calibri"/>
                <w:lang w:val="nl-NL"/>
              </w:rPr>
            </w:pPr>
            <w:r w:rsidRPr="006A31F0">
              <w:rPr>
                <w:rFonts w:ascii="Verdana" w:hAnsi="Verdana" w:cs="Calibri"/>
                <w:lang w:val="nl-NL"/>
              </w:rPr>
              <w:t> </w:t>
            </w:r>
          </w:p>
        </w:tc>
        <w:tc>
          <w:tcPr>
            <w:tcW w:w="384"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324938CB" w14:textId="77777777">
            <w:pPr>
              <w:widowControl/>
              <w:jc w:val="center"/>
              <w:rPr>
                <w:rFonts w:ascii="Verdana" w:hAnsi="Verdana" w:cs="Calibri"/>
                <w:lang w:val="nl-NL"/>
              </w:rPr>
            </w:pPr>
            <w:r w:rsidRPr="006A31F0">
              <w:rPr>
                <w:rFonts w:ascii="Verdana" w:hAnsi="Verdana" w:cs="Calibri"/>
                <w:lang w:val="nl-NL"/>
              </w:rPr>
              <w:t> </w:t>
            </w:r>
          </w:p>
        </w:tc>
        <w:tc>
          <w:tcPr>
            <w:tcW w:w="462"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3E14A262" w14:textId="77777777">
            <w:pPr>
              <w:widowControl/>
              <w:jc w:val="center"/>
              <w:rPr>
                <w:rFonts w:ascii="Verdana" w:hAnsi="Verdana" w:cs="Calibri"/>
                <w:lang w:val="nl-NL"/>
              </w:rPr>
            </w:pPr>
            <w:r w:rsidRPr="006A31F0">
              <w:rPr>
                <w:rFonts w:ascii="Verdana" w:hAnsi="Verdana" w:cs="Calibri"/>
                <w:lang w:val="nl-NL"/>
              </w:rPr>
              <w:t> </w:t>
            </w:r>
          </w:p>
        </w:tc>
        <w:tc>
          <w:tcPr>
            <w:tcW w:w="539" w:type="pct"/>
            <w:tcBorders>
              <w:top w:val="nil"/>
              <w:left w:val="nil"/>
              <w:bottom w:val="single" w:color="FFFFFF" w:sz="8" w:space="0"/>
              <w:right w:val="single" w:color="FFFFFF" w:sz="8" w:space="0"/>
            </w:tcBorders>
            <w:shd w:val="clear" w:color="000000" w:fill="DDEBF7"/>
            <w:hideMark/>
          </w:tcPr>
          <w:p w:rsidRPr="006A31F0" w:rsidR="000C2084" w:rsidP="006A31F0" w:rsidRDefault="000C2084" w14:paraId="38A64CE3" w14:textId="77777777">
            <w:pPr>
              <w:widowControl/>
              <w:jc w:val="center"/>
              <w:rPr>
                <w:rFonts w:ascii="Verdana" w:hAnsi="Verdana" w:cs="Calibri"/>
                <w:lang w:val="nl-NL"/>
              </w:rPr>
            </w:pPr>
            <w:r w:rsidRPr="006A31F0">
              <w:rPr>
                <w:rFonts w:ascii="Verdana" w:hAnsi="Verdana" w:cs="Calibri"/>
                <w:lang w:val="nl-NL"/>
              </w:rPr>
              <w:t> </w:t>
            </w:r>
          </w:p>
        </w:tc>
        <w:tc>
          <w:tcPr>
            <w:tcW w:w="1077" w:type="pct"/>
            <w:tcBorders>
              <w:top w:val="nil"/>
              <w:left w:val="nil"/>
              <w:bottom w:val="single" w:color="FFFFFF" w:sz="8" w:space="0"/>
              <w:right w:val="single" w:color="FFFFFF" w:sz="4" w:space="0"/>
            </w:tcBorders>
            <w:shd w:val="clear" w:color="000000" w:fill="DDEBF7"/>
            <w:hideMark/>
          </w:tcPr>
          <w:p w:rsidRPr="006A31F0" w:rsidR="000C2084" w:rsidP="006A31F0" w:rsidRDefault="000C2084" w14:paraId="5EE07EA6" w14:textId="77777777">
            <w:pPr>
              <w:widowControl/>
              <w:jc w:val="center"/>
              <w:rPr>
                <w:rFonts w:ascii="Verdana" w:hAnsi="Verdana" w:cs="Calibri"/>
                <w:lang w:val="nl-NL"/>
              </w:rPr>
            </w:pPr>
            <w:r w:rsidRPr="006A31F0">
              <w:rPr>
                <w:rFonts w:ascii="Verdana" w:hAnsi="Verdana" w:cs="Calibri"/>
                <w:lang w:val="nl-NL"/>
              </w:rPr>
              <w:t> </w:t>
            </w:r>
          </w:p>
        </w:tc>
      </w:tr>
      <w:tr w:rsidRPr="0032328D" w:rsidR="00F90570" w:rsidTr="008D72EE" w14:paraId="43FEB056" w14:textId="77777777">
        <w:trPr>
          <w:trHeight w:val="315"/>
        </w:trPr>
        <w:tc>
          <w:tcPr>
            <w:tcW w:w="457" w:type="pct"/>
            <w:tcBorders>
              <w:top w:val="nil"/>
              <w:left w:val="single" w:color="FFFFFF" w:sz="8" w:space="0"/>
              <w:bottom w:val="single" w:color="FFFFFF" w:sz="8" w:space="0"/>
              <w:right w:val="single" w:color="FFFFFF" w:sz="8" w:space="0"/>
            </w:tcBorders>
            <w:shd w:val="clear" w:color="000000" w:fill="F2F2F2"/>
            <w:hideMark/>
          </w:tcPr>
          <w:p w:rsidRPr="006A31F0" w:rsidR="000C2084" w:rsidP="006A31F0" w:rsidRDefault="000C2084" w14:paraId="508627C6" w14:textId="77777777">
            <w:pPr>
              <w:widowControl/>
              <w:rPr>
                <w:rFonts w:ascii="Verdana" w:hAnsi="Verdana" w:cs="Calibri"/>
                <w:color w:val="000000"/>
                <w:lang w:val="nl-NL"/>
              </w:rPr>
            </w:pPr>
            <w:r w:rsidRPr="006A31F0">
              <w:rPr>
                <w:rFonts w:ascii="Verdana" w:hAnsi="Verdana" w:cs="Calibri"/>
                <w:color w:val="000000"/>
                <w:lang w:val="nl-NL"/>
              </w:rPr>
              <w:t>3.3</w:t>
            </w:r>
          </w:p>
        </w:tc>
        <w:tc>
          <w:tcPr>
            <w:tcW w:w="1743" w:type="pct"/>
            <w:gridSpan w:val="2"/>
            <w:tcBorders>
              <w:top w:val="single" w:color="FFFFFF" w:sz="8" w:space="0"/>
              <w:left w:val="nil"/>
              <w:bottom w:val="single" w:color="FFFFFF" w:sz="8" w:space="0"/>
              <w:right w:val="single" w:color="FFFFFF" w:sz="8" w:space="0"/>
            </w:tcBorders>
            <w:shd w:val="clear" w:color="000000" w:fill="F2F2F2"/>
            <w:hideMark/>
          </w:tcPr>
          <w:p w:rsidRPr="006A31F0" w:rsidR="000C2084" w:rsidP="006A31F0" w:rsidRDefault="000C2084" w14:paraId="45B0BAE2" w14:textId="77777777">
            <w:pPr>
              <w:widowControl/>
              <w:rPr>
                <w:rFonts w:ascii="Verdana" w:hAnsi="Verdana" w:cs="Calibri"/>
                <w:color w:val="000000"/>
                <w:lang w:val="nl-NL"/>
              </w:rPr>
            </w:pPr>
            <w:r w:rsidRPr="006A31F0">
              <w:rPr>
                <w:rFonts w:ascii="Verdana" w:hAnsi="Verdana" w:cs="Calibri"/>
                <w:color w:val="000000"/>
                <w:lang w:val="nl-NL"/>
              </w:rPr>
              <w:t>Opname van de</w:t>
            </w:r>
            <w:r w:rsidRPr="006A31F0">
              <w:rPr>
                <w:rFonts w:ascii="Verdana" w:hAnsi="Verdana" w:cs="Calibri"/>
                <w:b/>
                <w:bCs/>
                <w:color w:val="000000"/>
                <w:lang w:val="nl-NL"/>
              </w:rPr>
              <w:t xml:space="preserve"> overige aanvullende maatregelen</w:t>
            </w:r>
            <w:r w:rsidRPr="006A31F0">
              <w:rPr>
                <w:rFonts w:ascii="Verdana" w:hAnsi="Verdana" w:cs="Calibri"/>
                <w:color w:val="000000"/>
                <w:lang w:val="nl-NL"/>
              </w:rPr>
              <w:t xml:space="preserve"> van het BEPS-project</w:t>
            </w:r>
          </w:p>
        </w:tc>
        <w:tc>
          <w:tcPr>
            <w:tcW w:w="338" w:type="pct"/>
            <w:tcBorders>
              <w:top w:val="nil"/>
              <w:left w:val="nil"/>
              <w:bottom w:val="single" w:color="FFFFFF" w:sz="8" w:space="0"/>
              <w:right w:val="single" w:color="FFFFFF" w:sz="8" w:space="0"/>
            </w:tcBorders>
            <w:shd w:val="clear" w:color="000000" w:fill="F2F2F2"/>
            <w:hideMark/>
          </w:tcPr>
          <w:p w:rsidRPr="006A31F0" w:rsidR="000C2084" w:rsidP="006A31F0" w:rsidRDefault="00787326" w14:paraId="27FE55C8" w14:textId="77777777">
            <w:pPr>
              <w:widowControl/>
              <w:jc w:val="center"/>
              <w:rPr>
                <w:rFonts w:ascii="Verdana" w:hAnsi="Verdana" w:cs="Calibri"/>
                <w:b/>
                <w:color w:val="000000"/>
                <w:lang w:val="nl-NL"/>
              </w:rPr>
            </w:pPr>
            <w:r w:rsidRPr="006A31F0">
              <w:rPr>
                <w:rFonts w:ascii="Verdana" w:hAnsi="Verdana" w:cs="Calibri"/>
                <w:b/>
                <w:color w:val="000000"/>
                <w:lang w:val="nl-NL"/>
              </w:rPr>
              <w:t>X</w:t>
            </w:r>
            <w:r w:rsidRPr="006A31F0" w:rsidR="000C2084">
              <w:rPr>
                <w:rFonts w:ascii="Verdana" w:hAnsi="Verdana" w:cs="Calibri"/>
                <w:b/>
                <w:color w:val="000000"/>
                <w:lang w:val="nl-NL"/>
              </w:rPr>
              <w:t> </w:t>
            </w:r>
          </w:p>
        </w:tc>
        <w:tc>
          <w:tcPr>
            <w:tcW w:w="384" w:type="pct"/>
            <w:tcBorders>
              <w:top w:val="nil"/>
              <w:left w:val="nil"/>
              <w:bottom w:val="single" w:color="FFFFFF" w:sz="8" w:space="0"/>
              <w:right w:val="single" w:color="FFFFFF" w:sz="4" w:space="0"/>
            </w:tcBorders>
            <w:shd w:val="clear" w:color="000000" w:fill="F2F2F2"/>
            <w:hideMark/>
          </w:tcPr>
          <w:p w:rsidRPr="006A31F0" w:rsidR="000C2084" w:rsidP="006A31F0" w:rsidRDefault="000C2084" w14:paraId="632D9FCA"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462" w:type="pct"/>
            <w:tcBorders>
              <w:top w:val="nil"/>
              <w:left w:val="single" w:color="FFFFFF" w:sz="8" w:space="0"/>
              <w:bottom w:val="single" w:color="FFFFFF" w:sz="8" w:space="0"/>
              <w:right w:val="single" w:color="FFFFFF" w:sz="8" w:space="0"/>
            </w:tcBorders>
            <w:shd w:val="clear" w:color="000000" w:fill="F2F2F2"/>
            <w:hideMark/>
          </w:tcPr>
          <w:p w:rsidRPr="006A31F0" w:rsidR="000C2084" w:rsidP="006A31F0" w:rsidRDefault="000C2084" w14:paraId="6857E2D2"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539" w:type="pct"/>
            <w:tcBorders>
              <w:top w:val="nil"/>
              <w:left w:val="nil"/>
              <w:bottom w:val="single" w:color="FFFFFF" w:sz="8" w:space="0"/>
              <w:right w:val="single" w:color="FFFFFF" w:sz="4" w:space="0"/>
            </w:tcBorders>
            <w:shd w:val="clear" w:color="000000" w:fill="F2F2F2"/>
            <w:hideMark/>
          </w:tcPr>
          <w:p w:rsidRPr="006A31F0" w:rsidR="000C2084" w:rsidP="006A31F0" w:rsidRDefault="000C2084" w14:paraId="0EA57559" w14:textId="77777777">
            <w:pPr>
              <w:widowControl/>
              <w:jc w:val="center"/>
              <w:rPr>
                <w:rFonts w:ascii="Verdana" w:hAnsi="Verdana" w:cs="Calibri"/>
                <w:color w:val="000000"/>
                <w:lang w:val="nl-NL"/>
              </w:rPr>
            </w:pPr>
            <w:r w:rsidRPr="006A31F0">
              <w:rPr>
                <w:rFonts w:ascii="Verdana" w:hAnsi="Verdana" w:cs="Calibri"/>
                <w:color w:val="000000"/>
                <w:lang w:val="nl-NL"/>
              </w:rPr>
              <w:t> </w:t>
            </w:r>
          </w:p>
        </w:tc>
        <w:tc>
          <w:tcPr>
            <w:tcW w:w="1077" w:type="pct"/>
            <w:tcBorders>
              <w:top w:val="nil"/>
              <w:left w:val="single" w:color="FFFFFF" w:sz="8" w:space="0"/>
              <w:bottom w:val="single" w:color="FFFFFF" w:sz="8" w:space="0"/>
              <w:right w:val="single" w:color="FFFFFF" w:sz="4" w:space="0"/>
            </w:tcBorders>
            <w:shd w:val="clear" w:color="000000" w:fill="F2F2F2"/>
            <w:hideMark/>
          </w:tcPr>
          <w:p w:rsidRPr="006A31F0" w:rsidR="000C2084" w:rsidP="009E2FDC" w:rsidRDefault="000B121B" w14:paraId="7C938FC0" w14:textId="13EFF6A7">
            <w:pPr>
              <w:widowControl/>
              <w:jc w:val="center"/>
              <w:rPr>
                <w:rFonts w:ascii="Verdana" w:hAnsi="Verdana" w:cs="Calibri"/>
                <w:color w:val="000000"/>
                <w:lang w:val="fr-FR"/>
              </w:rPr>
            </w:pPr>
            <w:r w:rsidRPr="006A31F0">
              <w:rPr>
                <w:rFonts w:ascii="Verdana" w:hAnsi="Verdana" w:cs="Calibri"/>
                <w:color w:val="000000"/>
                <w:lang w:val="fr-FR"/>
              </w:rPr>
              <w:t>Par. II.1, II.2</w:t>
            </w:r>
            <w:r w:rsidR="009E2FDC">
              <w:rPr>
                <w:rFonts w:ascii="Verdana" w:hAnsi="Verdana" w:cs="Calibri"/>
                <w:color w:val="000000"/>
                <w:lang w:val="fr-FR"/>
              </w:rPr>
              <w:t>,</w:t>
            </w:r>
            <w:r w:rsidRPr="006A31F0">
              <w:rPr>
                <w:rFonts w:ascii="Verdana" w:hAnsi="Verdana" w:cs="Calibri"/>
                <w:color w:val="000000"/>
                <w:lang w:val="fr-FR"/>
              </w:rPr>
              <w:t xml:space="preserve"> II.3</w:t>
            </w:r>
            <w:r w:rsidR="009E2FDC">
              <w:rPr>
                <w:rFonts w:ascii="Verdana" w:hAnsi="Verdana" w:cs="Calibri"/>
                <w:color w:val="000000"/>
                <w:lang w:val="fr-FR"/>
              </w:rPr>
              <w:t xml:space="preserve"> en II.5</w:t>
            </w:r>
          </w:p>
        </w:tc>
      </w:tr>
      <w:tr w:rsidRPr="006A31F0" w:rsidR="003C6F15" w:rsidTr="009E2FDC" w14:paraId="656D266D" w14:textId="77777777">
        <w:trPr>
          <w:trHeight w:val="615"/>
        </w:trPr>
        <w:tc>
          <w:tcPr>
            <w:tcW w:w="457" w:type="pct"/>
            <w:tcBorders>
              <w:top w:val="nil"/>
              <w:left w:val="single" w:color="FFFFFF" w:sz="8" w:space="0"/>
              <w:bottom w:val="single" w:color="FFFFFF" w:sz="8" w:space="0"/>
              <w:right w:val="single" w:color="FFFFFF" w:sz="8" w:space="0"/>
            </w:tcBorders>
            <w:shd w:val="clear" w:color="000000" w:fill="F2F2F2"/>
            <w:hideMark/>
          </w:tcPr>
          <w:p w:rsidRPr="006A31F0" w:rsidR="000C2084" w:rsidP="006A31F0" w:rsidRDefault="000C2084" w14:paraId="1CBFA930" w14:textId="77777777">
            <w:pPr>
              <w:widowControl/>
              <w:rPr>
                <w:rFonts w:ascii="Verdana" w:hAnsi="Verdana" w:cs="Calibri"/>
                <w:color w:val="000000"/>
                <w:lang w:val="fr-FR"/>
              </w:rPr>
            </w:pPr>
            <w:r w:rsidRPr="006A31F0">
              <w:rPr>
                <w:rFonts w:ascii="Verdana" w:hAnsi="Verdana" w:cs="Calibri"/>
                <w:color w:val="000000"/>
                <w:lang w:val="fr-FR"/>
              </w:rPr>
              <w:t> </w:t>
            </w:r>
          </w:p>
        </w:tc>
        <w:tc>
          <w:tcPr>
            <w:tcW w:w="87" w:type="pct"/>
            <w:tcBorders>
              <w:top w:val="nil"/>
              <w:left w:val="nil"/>
              <w:bottom w:val="single" w:color="FFFFFF" w:sz="8" w:space="0"/>
              <w:right w:val="nil"/>
            </w:tcBorders>
            <w:shd w:val="clear" w:color="000000" w:fill="F2F2F2"/>
            <w:hideMark/>
          </w:tcPr>
          <w:p w:rsidRPr="006A31F0" w:rsidR="000C2084" w:rsidP="006A31F0" w:rsidRDefault="000C2084" w14:paraId="7FCA5706" w14:textId="77777777">
            <w:pPr>
              <w:widowControl/>
              <w:rPr>
                <w:rFonts w:ascii="Verdana" w:hAnsi="Verdana" w:cs="Calibri"/>
                <w:color w:val="000000"/>
                <w:lang w:val="fr-FR"/>
              </w:rPr>
            </w:pPr>
            <w:r w:rsidRPr="006A31F0">
              <w:rPr>
                <w:rFonts w:ascii="Verdana" w:hAnsi="Verdana" w:cs="Calibri"/>
                <w:color w:val="000000"/>
                <w:lang w:val="fr-FR"/>
              </w:rPr>
              <w:t> </w:t>
            </w:r>
          </w:p>
        </w:tc>
        <w:tc>
          <w:tcPr>
            <w:tcW w:w="1994" w:type="pct"/>
            <w:gridSpan w:val="2"/>
            <w:tcBorders>
              <w:top w:val="nil"/>
              <w:left w:val="single" w:color="FFFFFF" w:sz="8" w:space="0"/>
              <w:bottom w:val="single" w:color="FFFFFF" w:sz="8" w:space="0"/>
              <w:right w:val="single" w:color="FFFFFF" w:sz="8" w:space="0"/>
            </w:tcBorders>
            <w:shd w:val="clear" w:color="000000" w:fill="F2F2F2"/>
            <w:hideMark/>
          </w:tcPr>
          <w:p w:rsidRPr="006A31F0" w:rsidR="000C2084" w:rsidP="006A31F0" w:rsidRDefault="000C2084" w14:paraId="1079710D" w14:textId="77777777">
            <w:pPr>
              <w:widowControl/>
              <w:rPr>
                <w:rFonts w:ascii="Verdana" w:hAnsi="Verdana" w:cs="Calibri"/>
                <w:color w:val="000000"/>
                <w:lang w:val="nl-NL"/>
              </w:rPr>
            </w:pPr>
            <w:r w:rsidRPr="006A31F0">
              <w:rPr>
                <w:rFonts w:ascii="Verdana" w:hAnsi="Verdana" w:cs="Calibri"/>
                <w:color w:val="000000"/>
                <w:lang w:val="nl-NL"/>
              </w:rPr>
              <w:t>Zo ja, het betreft de volgende overige maatregelen van het BEPS-project:</w:t>
            </w:r>
          </w:p>
        </w:tc>
        <w:tc>
          <w:tcPr>
            <w:tcW w:w="2462" w:type="pct"/>
            <w:gridSpan w:val="4"/>
            <w:tcBorders>
              <w:top w:val="single" w:color="FFFFFF" w:sz="8" w:space="0"/>
              <w:left w:val="nil"/>
              <w:bottom w:val="nil"/>
              <w:right w:val="nil"/>
            </w:tcBorders>
            <w:shd w:val="clear" w:color="000000" w:fill="EDEDED"/>
            <w:noWrap/>
            <w:hideMark/>
          </w:tcPr>
          <w:p w:rsidRPr="006A31F0" w:rsidR="003C6F15" w:rsidP="006A31F0" w:rsidRDefault="005C4485" w14:paraId="1DF2BA8B" w14:textId="77777777">
            <w:pPr>
              <w:widowControl/>
              <w:rPr>
                <w:rFonts w:ascii="Verdana" w:hAnsi="Verdana" w:cs="Calibri"/>
                <w:color w:val="000000"/>
                <w:lang w:val="nl-NL"/>
              </w:rPr>
            </w:pPr>
            <w:r w:rsidRPr="006A31F0">
              <w:rPr>
                <w:rFonts w:ascii="Verdana" w:hAnsi="Verdana" w:cs="Calibri"/>
                <w:color w:val="000000"/>
                <w:lang w:val="nl-NL"/>
              </w:rPr>
              <w:t xml:space="preserve">Par. II.1: aanpassing artikel 5 m.b.t. </w:t>
            </w:r>
          </w:p>
          <w:p w:rsidRPr="006A31F0" w:rsidR="003C6F15" w:rsidP="006A31F0" w:rsidRDefault="003C6F15" w14:paraId="03EB3087" w14:textId="77777777">
            <w:pPr>
              <w:widowControl/>
              <w:rPr>
                <w:rFonts w:ascii="Verdana" w:hAnsi="Verdana" w:cs="Calibri"/>
                <w:color w:val="000000"/>
                <w:lang w:val="nl-NL"/>
              </w:rPr>
            </w:pPr>
            <w:r w:rsidRPr="006A31F0">
              <w:rPr>
                <w:rFonts w:ascii="Verdana" w:hAnsi="Verdana" w:cs="Calibri"/>
                <w:color w:val="000000"/>
                <w:lang w:val="nl-NL"/>
              </w:rPr>
              <w:t>situaties waarin geen sprake is van</w:t>
            </w:r>
          </w:p>
          <w:p w:rsidRPr="006A31F0" w:rsidR="000C2084" w:rsidP="006A31F0" w:rsidRDefault="003C6F15" w14:paraId="70B17033" w14:textId="77777777">
            <w:pPr>
              <w:widowControl/>
              <w:rPr>
                <w:rFonts w:ascii="Verdana" w:hAnsi="Verdana" w:cs="Calibri"/>
                <w:color w:val="000000"/>
                <w:lang w:val="nl-NL"/>
              </w:rPr>
            </w:pPr>
            <w:r w:rsidRPr="006A31F0">
              <w:rPr>
                <w:rFonts w:ascii="Verdana" w:hAnsi="Verdana" w:cs="Calibri"/>
                <w:color w:val="000000"/>
                <w:lang w:val="nl-NL"/>
              </w:rPr>
              <w:t xml:space="preserve">een </w:t>
            </w:r>
            <w:r w:rsidRPr="006A31F0" w:rsidR="005C4485">
              <w:rPr>
                <w:rFonts w:ascii="Verdana" w:hAnsi="Verdana" w:cs="Calibri"/>
                <w:color w:val="000000"/>
                <w:lang w:val="nl-NL"/>
              </w:rPr>
              <w:t>vaste inrichting</w:t>
            </w:r>
            <w:r w:rsidRPr="006A31F0">
              <w:rPr>
                <w:rFonts w:ascii="Verdana" w:hAnsi="Verdana" w:cs="Calibri"/>
                <w:color w:val="000000"/>
                <w:lang w:val="nl-NL"/>
              </w:rPr>
              <w:t>.</w:t>
            </w:r>
          </w:p>
          <w:p w:rsidRPr="006A31F0" w:rsidR="003C6F15" w:rsidP="006A31F0" w:rsidRDefault="000B121B" w14:paraId="622A4777" w14:textId="037AF04C">
            <w:pPr>
              <w:widowControl/>
              <w:rPr>
                <w:rFonts w:ascii="Verdana" w:hAnsi="Verdana" w:cs="Calibri"/>
                <w:color w:val="000000"/>
                <w:lang w:val="nl-NL"/>
              </w:rPr>
            </w:pPr>
            <w:r w:rsidRPr="006A31F0">
              <w:rPr>
                <w:rFonts w:ascii="Verdana" w:hAnsi="Verdana" w:cs="Calibri"/>
                <w:color w:val="000000"/>
                <w:lang w:val="nl-NL"/>
              </w:rPr>
              <w:t xml:space="preserve">Par. II.2: </w:t>
            </w:r>
            <w:r w:rsidRPr="006A31F0" w:rsidR="003C6F15">
              <w:rPr>
                <w:rFonts w:ascii="Verdana" w:hAnsi="Verdana" w:cs="Calibri"/>
                <w:color w:val="000000"/>
                <w:lang w:val="nl-NL"/>
              </w:rPr>
              <w:t>introductie minimale houdstertermijn</w:t>
            </w:r>
          </w:p>
          <w:p w:rsidRPr="006A31F0" w:rsidR="003C6F15" w:rsidP="006A31F0" w:rsidRDefault="003C6F15" w14:paraId="0B0492A6" w14:textId="77777777">
            <w:pPr>
              <w:widowControl/>
              <w:rPr>
                <w:rFonts w:ascii="Verdana" w:hAnsi="Verdana" w:cs="Calibri"/>
                <w:color w:val="000000"/>
                <w:lang w:val="nl-NL"/>
              </w:rPr>
            </w:pPr>
            <w:r w:rsidRPr="006A31F0">
              <w:rPr>
                <w:rFonts w:ascii="Verdana" w:hAnsi="Verdana" w:cs="Calibri"/>
                <w:color w:val="000000"/>
                <w:lang w:val="nl-NL"/>
              </w:rPr>
              <w:t>voor verlaagd tarief deelnemingsdividend.</w:t>
            </w:r>
          </w:p>
          <w:p w:rsidR="003C6F15" w:rsidP="006A31F0" w:rsidRDefault="003C6F15" w14:paraId="021D5B26" w14:textId="48770296">
            <w:pPr>
              <w:widowControl/>
              <w:rPr>
                <w:rFonts w:ascii="Verdana" w:hAnsi="Verdana" w:cs="Calibri"/>
                <w:color w:val="000000"/>
                <w:lang w:val="nl-NL"/>
              </w:rPr>
            </w:pPr>
            <w:r w:rsidRPr="006A31F0">
              <w:rPr>
                <w:rFonts w:ascii="Verdana" w:hAnsi="Verdana" w:cs="Calibri"/>
                <w:color w:val="000000"/>
                <w:lang w:val="nl-NL"/>
              </w:rPr>
              <w:t xml:space="preserve">Par. II.3: introductie 365 dagen </w:t>
            </w:r>
            <w:proofErr w:type="spellStart"/>
            <w:r w:rsidRPr="006A31F0">
              <w:rPr>
                <w:rFonts w:ascii="Verdana" w:hAnsi="Verdana" w:cs="Calibri"/>
                <w:color w:val="000000"/>
                <w:lang w:val="nl-NL"/>
              </w:rPr>
              <w:t>toetsperiode</w:t>
            </w:r>
            <w:proofErr w:type="spellEnd"/>
            <w:r w:rsidR="008D72EE">
              <w:rPr>
                <w:rFonts w:ascii="Verdana" w:hAnsi="Verdana" w:cs="Calibri"/>
                <w:color w:val="000000"/>
                <w:lang w:val="nl-NL"/>
              </w:rPr>
              <w:t xml:space="preserve"> </w:t>
            </w:r>
            <w:r w:rsidRPr="006A31F0" w:rsidR="007116B1">
              <w:rPr>
                <w:rFonts w:ascii="Verdana" w:hAnsi="Verdana" w:cs="Calibri"/>
                <w:color w:val="000000"/>
                <w:lang w:val="nl-NL"/>
              </w:rPr>
              <w:t>v</w:t>
            </w:r>
            <w:r w:rsidRPr="006A31F0">
              <w:rPr>
                <w:rFonts w:ascii="Verdana" w:hAnsi="Verdana" w:cs="Calibri"/>
                <w:color w:val="000000"/>
                <w:lang w:val="nl-NL"/>
              </w:rPr>
              <w:t xml:space="preserve">oor kwalificatie </w:t>
            </w:r>
            <w:proofErr w:type="spellStart"/>
            <w:r w:rsidRPr="006A31F0">
              <w:rPr>
                <w:rFonts w:ascii="Verdana" w:hAnsi="Verdana" w:cs="Calibri"/>
                <w:color w:val="000000"/>
                <w:lang w:val="nl-NL"/>
              </w:rPr>
              <w:t>onroerend</w:t>
            </w:r>
            <w:r w:rsidRPr="006A31F0" w:rsidR="00D2094F">
              <w:rPr>
                <w:rFonts w:ascii="Verdana" w:hAnsi="Verdana" w:cs="Calibri"/>
                <w:color w:val="000000"/>
                <w:lang w:val="nl-NL"/>
              </w:rPr>
              <w:t>ezaak</w:t>
            </w:r>
            <w:r w:rsidRPr="006A31F0">
              <w:rPr>
                <w:rFonts w:ascii="Verdana" w:hAnsi="Verdana" w:cs="Calibri"/>
                <w:color w:val="000000"/>
                <w:lang w:val="nl-NL"/>
              </w:rPr>
              <w:t>lichaam</w:t>
            </w:r>
            <w:proofErr w:type="spellEnd"/>
          </w:p>
          <w:p w:rsidRPr="006A31F0" w:rsidR="000B121B" w:rsidP="006A31F0" w:rsidRDefault="009E2FDC" w14:paraId="3B3E7076" w14:textId="77D612BF">
            <w:pPr>
              <w:widowControl/>
              <w:rPr>
                <w:rFonts w:ascii="Verdana" w:hAnsi="Verdana" w:cs="Calibri"/>
                <w:color w:val="000000"/>
                <w:lang w:val="nl-NL"/>
              </w:rPr>
            </w:pPr>
            <w:r w:rsidRPr="004054D8">
              <w:rPr>
                <w:rFonts w:ascii="Verdana" w:hAnsi="Verdana" w:cs="Calibri"/>
                <w:color w:val="000000"/>
                <w:lang w:val="nl-NL"/>
              </w:rPr>
              <w:lastRenderedPageBreak/>
              <w:t>Par. II.5: toevoeging aan artikel 22 m.b.t. gevallen waarin verrekening wordt gegeven in plaats van vrijstelling</w:t>
            </w:r>
          </w:p>
        </w:tc>
      </w:tr>
    </w:tbl>
    <w:p w:rsidRPr="006A31F0" w:rsidR="00D144C0" w:rsidP="006A31F0" w:rsidRDefault="00D144C0" w14:paraId="2767FFFC" w14:textId="77777777">
      <w:pPr>
        <w:widowControl/>
        <w:rPr>
          <w:rFonts w:ascii="Verdana" w:hAnsi="Verdana" w:cs="Arial"/>
          <w:lang w:val="nl-NL"/>
        </w:rPr>
      </w:pPr>
    </w:p>
    <w:p w:rsidRPr="006A31F0" w:rsidR="000C2084" w:rsidP="006A31F0" w:rsidRDefault="000C2084" w14:paraId="5BD43EF6" w14:textId="77777777">
      <w:pPr>
        <w:widowControl/>
        <w:rPr>
          <w:rFonts w:ascii="Verdana" w:hAnsi="Verdana" w:cs="Arial"/>
        </w:rPr>
      </w:pPr>
    </w:p>
    <w:p w:rsidRPr="006A31F0" w:rsidR="00D144C0" w:rsidP="006A31F0" w:rsidRDefault="00D144C0" w14:paraId="6CA755AE" w14:textId="77777777">
      <w:pPr>
        <w:widowControl/>
        <w:rPr>
          <w:rFonts w:ascii="Verdana" w:hAnsi="Verdana" w:cs="Arial"/>
          <w:b/>
          <w:bCs/>
          <w:lang w:val="nl-NL"/>
        </w:rPr>
      </w:pPr>
      <w:r w:rsidRPr="006A31F0">
        <w:rPr>
          <w:rFonts w:ascii="Verdana" w:hAnsi="Verdana" w:cs="Arial"/>
          <w:b/>
          <w:bCs/>
          <w:lang w:val="nl-NL"/>
        </w:rPr>
        <w:t>II. ARTIKELSGEWIJZE TOELICHTING</w:t>
      </w:r>
    </w:p>
    <w:p w:rsidRPr="006A31F0" w:rsidR="00D144C0" w:rsidP="006A31F0" w:rsidRDefault="00D144C0" w14:paraId="6A8EE1D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p>
    <w:p w:rsidRPr="006A31F0" w:rsidR="00D144C0" w:rsidP="006A31F0" w:rsidRDefault="00D144C0" w14:paraId="067A7855"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bookmarkStart w:name="d25e150" w:id="1"/>
      <w:bookmarkEnd w:id="1"/>
      <w:r w:rsidRPr="006A31F0">
        <w:rPr>
          <w:rFonts w:ascii="Verdana" w:hAnsi="Verdana" w:cs="Arial"/>
          <w:b/>
          <w:i/>
          <w:iCs/>
          <w:lang w:val="nl-NL"/>
        </w:rPr>
        <w:t xml:space="preserve">II.1. </w:t>
      </w:r>
      <w:r w:rsidRPr="006A31F0" w:rsidR="00344510">
        <w:rPr>
          <w:rFonts w:ascii="Verdana" w:hAnsi="Verdana" w:cs="Arial"/>
          <w:b/>
          <w:i/>
          <w:iCs/>
          <w:lang w:val="nl-NL"/>
        </w:rPr>
        <w:t>Vaste inrichting</w:t>
      </w:r>
      <w:r w:rsidRPr="006A31F0">
        <w:rPr>
          <w:rFonts w:ascii="Verdana" w:hAnsi="Verdana" w:cs="Arial"/>
          <w:b/>
          <w:i/>
          <w:iCs/>
          <w:lang w:val="nl-NL"/>
        </w:rPr>
        <w:t xml:space="preserve"> (artikel </w:t>
      </w:r>
      <w:r w:rsidRPr="006A31F0" w:rsidR="003176D1">
        <w:rPr>
          <w:rFonts w:ascii="Verdana" w:hAnsi="Verdana" w:cs="Arial"/>
          <w:b/>
          <w:i/>
          <w:iCs/>
          <w:lang w:val="nl-NL"/>
        </w:rPr>
        <w:t>I</w:t>
      </w:r>
      <w:r w:rsidRPr="006A31F0">
        <w:rPr>
          <w:rFonts w:ascii="Verdana" w:hAnsi="Verdana" w:cs="Arial"/>
          <w:b/>
          <w:i/>
          <w:iCs/>
          <w:lang w:val="nl-NL"/>
        </w:rPr>
        <w:t xml:space="preserve"> van het Wijzigingsprotocol</w:t>
      </w:r>
      <w:r w:rsidRPr="006A31F0" w:rsidR="007868B9">
        <w:rPr>
          <w:rFonts w:ascii="Verdana" w:hAnsi="Verdana" w:cs="Arial"/>
          <w:b/>
          <w:i/>
          <w:iCs/>
          <w:lang w:val="nl-NL"/>
        </w:rPr>
        <w:t>, artikel 5 van het Verdrag</w:t>
      </w:r>
      <w:r w:rsidRPr="006A31F0">
        <w:rPr>
          <w:rFonts w:ascii="Verdana" w:hAnsi="Verdana" w:cs="Arial"/>
          <w:b/>
          <w:i/>
          <w:iCs/>
          <w:lang w:val="nl-NL"/>
        </w:rPr>
        <w:t>)</w:t>
      </w:r>
    </w:p>
    <w:p w:rsidRPr="006A31F0" w:rsidR="00344510" w:rsidP="006A31F0" w:rsidRDefault="00344510" w14:paraId="23670117"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t>Artikel I van het Wijzigingsprotocol heeft betrekking op artikel 5</w:t>
      </w:r>
      <w:r w:rsidRPr="006A31F0" w:rsidR="005B6193">
        <w:rPr>
          <w:rFonts w:ascii="Verdana" w:hAnsi="Verdana" w:cs="Arial"/>
          <w:iCs/>
          <w:lang w:val="nl-NL"/>
        </w:rPr>
        <w:t>, zevende lid, van</w:t>
      </w:r>
      <w:r w:rsidRPr="006A31F0">
        <w:rPr>
          <w:rFonts w:ascii="Verdana" w:hAnsi="Verdana" w:cs="Arial"/>
          <w:iCs/>
          <w:lang w:val="nl-NL"/>
        </w:rPr>
        <w:t xml:space="preserve"> het Verdrag </w:t>
      </w:r>
      <w:r w:rsidRPr="006A31F0" w:rsidR="004F46C4">
        <w:rPr>
          <w:rFonts w:ascii="Verdana" w:hAnsi="Verdana" w:cs="Arial"/>
          <w:iCs/>
          <w:lang w:val="nl-NL"/>
        </w:rPr>
        <w:t>dat</w:t>
      </w:r>
      <w:r w:rsidRPr="006A31F0">
        <w:rPr>
          <w:rFonts w:ascii="Verdana" w:hAnsi="Verdana" w:cs="Arial"/>
          <w:iCs/>
          <w:lang w:val="nl-NL"/>
        </w:rPr>
        <w:t xml:space="preserve"> een aantal activiteiten </w:t>
      </w:r>
      <w:r w:rsidRPr="006A31F0" w:rsidR="004F46C4">
        <w:rPr>
          <w:rFonts w:ascii="Verdana" w:hAnsi="Verdana" w:cs="Arial"/>
          <w:iCs/>
          <w:lang w:val="nl-NL"/>
        </w:rPr>
        <w:t xml:space="preserve">omschrijft </w:t>
      </w:r>
      <w:r w:rsidRPr="006A31F0" w:rsidR="007E6BF3">
        <w:rPr>
          <w:rFonts w:ascii="Verdana" w:hAnsi="Verdana" w:cs="Arial"/>
          <w:iCs/>
          <w:lang w:val="nl-NL"/>
        </w:rPr>
        <w:t xml:space="preserve">waarbij </w:t>
      </w:r>
      <w:r w:rsidRPr="006A31F0">
        <w:rPr>
          <w:rFonts w:ascii="Verdana" w:hAnsi="Verdana" w:cs="Arial"/>
          <w:iCs/>
          <w:lang w:val="nl-NL"/>
        </w:rPr>
        <w:t>geen vaste inrichting aanwezig wordt geacht. In</w:t>
      </w:r>
      <w:r w:rsidRPr="006A31F0" w:rsidR="005B6CDB">
        <w:rPr>
          <w:rFonts w:ascii="Verdana" w:hAnsi="Verdana" w:cs="Arial"/>
          <w:iCs/>
          <w:lang w:val="nl-NL"/>
        </w:rPr>
        <w:t>gevolge</w:t>
      </w:r>
      <w:r w:rsidRPr="006A31F0">
        <w:rPr>
          <w:rFonts w:ascii="Verdana" w:hAnsi="Verdana" w:cs="Arial"/>
          <w:iCs/>
          <w:lang w:val="nl-NL"/>
        </w:rPr>
        <w:t xml:space="preserve"> </w:t>
      </w:r>
      <w:r w:rsidRPr="006A31F0" w:rsidR="005B6CDB">
        <w:rPr>
          <w:rFonts w:ascii="Verdana" w:hAnsi="Verdana" w:cs="Arial"/>
          <w:iCs/>
          <w:lang w:val="nl-NL"/>
        </w:rPr>
        <w:t xml:space="preserve">het nieuwe zevende lid is </w:t>
      </w:r>
      <w:r w:rsidRPr="006A31F0">
        <w:rPr>
          <w:rFonts w:ascii="Verdana" w:hAnsi="Verdana" w:cs="Arial"/>
          <w:iCs/>
          <w:lang w:val="nl-NL"/>
        </w:rPr>
        <w:t xml:space="preserve">vereist dat deze activiteiten van voorbereidende aard zijn of het karakter van hulpactiviteit hebben. In de huidige bepaling is dit een aanname. </w:t>
      </w:r>
      <w:r w:rsidRPr="006A31F0" w:rsidR="005B6CDB">
        <w:rPr>
          <w:rFonts w:ascii="Verdana" w:hAnsi="Verdana" w:cs="Arial"/>
          <w:iCs/>
          <w:lang w:val="nl-NL"/>
        </w:rPr>
        <w:t>Het nieuwe zevende lid</w:t>
      </w:r>
      <w:r w:rsidRPr="006A31F0" w:rsidR="00911B19">
        <w:rPr>
          <w:rFonts w:ascii="Verdana" w:hAnsi="Verdana" w:cs="Arial"/>
          <w:iCs/>
          <w:lang w:val="nl-NL"/>
        </w:rPr>
        <w:t xml:space="preserve"> komt overeen met artikel 5, vierde lid, van het OESO-modelverdrag. Het opnemen van deze bepaling is tevens in lijn met de positie die Nederland op dit punt heeft inge</w:t>
      </w:r>
      <w:r w:rsidRPr="006A31F0" w:rsidR="007E5D3D">
        <w:rPr>
          <w:rFonts w:ascii="Verdana" w:hAnsi="Verdana" w:cs="Arial"/>
          <w:iCs/>
          <w:lang w:val="nl-NL"/>
        </w:rPr>
        <w:t>nomen in het kader van het MLI.</w:t>
      </w:r>
    </w:p>
    <w:p w:rsidRPr="006A31F0" w:rsidR="00C809CA" w:rsidP="006A31F0" w:rsidRDefault="00C809CA" w14:paraId="41A18946"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Pr="006A31F0" w:rsidR="00D144C0" w:rsidP="006A31F0" w:rsidRDefault="00D144C0" w14:paraId="6D1C2BED"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sidRPr="006A31F0">
        <w:rPr>
          <w:rFonts w:ascii="Verdana" w:hAnsi="Verdana" w:cs="Arial"/>
          <w:b/>
          <w:i/>
          <w:iCs/>
          <w:lang w:val="nl-NL"/>
        </w:rPr>
        <w:t xml:space="preserve">II.2. </w:t>
      </w:r>
      <w:r w:rsidRPr="006A31F0" w:rsidR="005B6193">
        <w:rPr>
          <w:rFonts w:ascii="Verdana" w:hAnsi="Verdana" w:cs="Arial"/>
          <w:b/>
          <w:i/>
          <w:iCs/>
          <w:lang w:val="nl-NL"/>
        </w:rPr>
        <w:t>Dividenden</w:t>
      </w:r>
      <w:r w:rsidRPr="006A31F0">
        <w:rPr>
          <w:rFonts w:ascii="Verdana" w:hAnsi="Verdana" w:cs="Arial"/>
          <w:b/>
          <w:i/>
          <w:iCs/>
          <w:lang w:val="nl-NL"/>
        </w:rPr>
        <w:t xml:space="preserve"> (artikel </w:t>
      </w:r>
      <w:r w:rsidRPr="006A31F0" w:rsidR="003176D1">
        <w:rPr>
          <w:rFonts w:ascii="Verdana" w:hAnsi="Verdana" w:cs="Arial"/>
          <w:b/>
          <w:i/>
          <w:iCs/>
          <w:lang w:val="nl-NL"/>
        </w:rPr>
        <w:t>II</w:t>
      </w:r>
      <w:r w:rsidRPr="006A31F0">
        <w:rPr>
          <w:rFonts w:ascii="Verdana" w:hAnsi="Verdana" w:cs="Arial"/>
          <w:b/>
          <w:i/>
          <w:iCs/>
          <w:lang w:val="nl-NL"/>
        </w:rPr>
        <w:t xml:space="preserve"> van het Wijzigingsprotocol</w:t>
      </w:r>
      <w:r w:rsidRPr="006A31F0" w:rsidR="005B0526">
        <w:rPr>
          <w:rFonts w:ascii="Verdana" w:hAnsi="Verdana" w:cs="Arial"/>
          <w:b/>
          <w:i/>
          <w:iCs/>
          <w:lang w:val="nl-NL"/>
        </w:rPr>
        <w:t>, artikel 10 van het Verdrag</w:t>
      </w:r>
      <w:r w:rsidRPr="006A31F0">
        <w:rPr>
          <w:rFonts w:ascii="Verdana" w:hAnsi="Verdana" w:cs="Arial"/>
          <w:b/>
          <w:i/>
          <w:iCs/>
          <w:lang w:val="nl-NL"/>
        </w:rPr>
        <w:t>)</w:t>
      </w:r>
    </w:p>
    <w:p w:rsidRPr="006A31F0" w:rsidR="005B6193" w:rsidP="006A31F0" w:rsidRDefault="005B6193" w14:paraId="6CCE19B5"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rPr>
      </w:pPr>
      <w:r w:rsidRPr="006A31F0">
        <w:rPr>
          <w:rFonts w:ascii="Verdana" w:hAnsi="Verdana" w:cs="Arial"/>
          <w:b/>
          <w:i/>
          <w:iCs/>
        </w:rPr>
        <w:tab/>
      </w:r>
      <w:r w:rsidRPr="006A31F0" w:rsidR="00D42920">
        <w:rPr>
          <w:rFonts w:ascii="Verdana" w:hAnsi="Verdana" w:cs="Arial"/>
          <w:iCs/>
        </w:rPr>
        <w:t>Artikel 10 van het Verdrag betreft de verdeling van heffingsrechten over dividenden.</w:t>
      </w:r>
      <w:r w:rsidRPr="006A31F0" w:rsidR="00D42920">
        <w:rPr>
          <w:rFonts w:ascii="Verdana" w:hAnsi="Verdana" w:cs="Arial"/>
          <w:b/>
          <w:i/>
          <w:iCs/>
        </w:rPr>
        <w:t xml:space="preserve"> </w:t>
      </w:r>
      <w:r w:rsidRPr="006A31F0">
        <w:rPr>
          <w:rFonts w:ascii="Verdana" w:hAnsi="Verdana" w:cs="Arial"/>
          <w:iCs/>
        </w:rPr>
        <w:t xml:space="preserve">Artikel II van het Wijzigingsprotocol heeft betrekking op </w:t>
      </w:r>
      <w:r w:rsidRPr="006A31F0" w:rsidR="00D42920">
        <w:rPr>
          <w:rFonts w:ascii="Verdana" w:hAnsi="Verdana" w:cs="Arial"/>
          <w:iCs/>
        </w:rPr>
        <w:t>het</w:t>
      </w:r>
      <w:r w:rsidRPr="006A31F0">
        <w:rPr>
          <w:rFonts w:ascii="Verdana" w:hAnsi="Verdana" w:cs="Arial"/>
          <w:iCs/>
        </w:rPr>
        <w:t xml:space="preserve"> tweede lid</w:t>
      </w:r>
      <w:r w:rsidRPr="006A31F0" w:rsidR="00B30BEA">
        <w:rPr>
          <w:rFonts w:ascii="Verdana" w:hAnsi="Verdana" w:cs="Arial"/>
          <w:iCs/>
        </w:rPr>
        <w:t>, onderdeel a,</w:t>
      </w:r>
      <w:r w:rsidRPr="006A31F0">
        <w:rPr>
          <w:rFonts w:ascii="Verdana" w:hAnsi="Verdana" w:cs="Arial"/>
          <w:iCs/>
        </w:rPr>
        <w:t xml:space="preserve"> van </w:t>
      </w:r>
      <w:r w:rsidRPr="006A31F0" w:rsidR="00D42920">
        <w:rPr>
          <w:rFonts w:ascii="Verdana" w:hAnsi="Verdana" w:cs="Arial"/>
          <w:iCs/>
        </w:rPr>
        <w:t>dat artikel</w:t>
      </w:r>
      <w:r w:rsidRPr="006A31F0">
        <w:rPr>
          <w:rFonts w:ascii="Verdana" w:hAnsi="Verdana" w:cs="Arial"/>
          <w:iCs/>
        </w:rPr>
        <w:t>. Op grond van die bepaling geldt een beperkt heffingsrecht van 5% indien de uiteindelijk gerechtigde een lichaam is dat minimaal 10</w:t>
      </w:r>
      <w:r w:rsidRPr="006A31F0" w:rsidR="000D4E90">
        <w:rPr>
          <w:rFonts w:ascii="Verdana" w:hAnsi="Verdana" w:cs="Arial"/>
          <w:iCs/>
        </w:rPr>
        <w:t>%</w:t>
      </w:r>
      <w:r w:rsidRPr="006A31F0">
        <w:rPr>
          <w:rFonts w:ascii="Verdana" w:hAnsi="Verdana" w:cs="Arial"/>
          <w:iCs/>
        </w:rPr>
        <w:t xml:space="preserve"> van het kapitaal van het dividenduitkerende lichaam bezit. </w:t>
      </w:r>
      <w:r w:rsidRPr="006A31F0" w:rsidR="005C7338">
        <w:rPr>
          <w:rFonts w:ascii="Verdana" w:hAnsi="Verdana" w:cs="Arial"/>
          <w:iCs/>
        </w:rPr>
        <w:t>In het nieuwe tweede lid, onderdeel a,</w:t>
      </w:r>
      <w:r w:rsidRPr="006A31F0">
        <w:rPr>
          <w:rFonts w:ascii="Verdana" w:hAnsi="Verdana" w:cs="Arial"/>
          <w:iCs/>
        </w:rPr>
        <w:t xml:space="preserve"> wordt als aanvullende voorwaarde opgenomen dat ten minste 365 dagen aan het vereiste bezitspercentage</w:t>
      </w:r>
      <w:r w:rsidRPr="006A31F0" w:rsidR="007E6BF3">
        <w:rPr>
          <w:rFonts w:ascii="Verdana" w:hAnsi="Verdana" w:cs="Arial"/>
          <w:iCs/>
        </w:rPr>
        <w:t xml:space="preserve"> (</w:t>
      </w:r>
      <w:r w:rsidRPr="006A31F0" w:rsidR="004D14CF">
        <w:rPr>
          <w:rFonts w:ascii="Verdana" w:hAnsi="Verdana" w:cs="Arial"/>
          <w:iCs/>
        </w:rPr>
        <w:t xml:space="preserve">bezit van </w:t>
      </w:r>
      <w:r w:rsidRPr="006A31F0" w:rsidR="007E6BF3">
        <w:rPr>
          <w:rFonts w:ascii="Verdana" w:hAnsi="Verdana" w:cs="Arial"/>
          <w:iCs/>
        </w:rPr>
        <w:t>minimaal 10</w:t>
      </w:r>
      <w:r w:rsidRPr="006A31F0" w:rsidR="000D4E90">
        <w:rPr>
          <w:rFonts w:ascii="Verdana" w:hAnsi="Verdana" w:cs="Arial"/>
          <w:iCs/>
        </w:rPr>
        <w:t>%</w:t>
      </w:r>
      <w:r w:rsidRPr="006A31F0" w:rsidR="007E6BF3">
        <w:rPr>
          <w:rFonts w:ascii="Verdana" w:hAnsi="Verdana" w:cs="Arial"/>
          <w:iCs/>
        </w:rPr>
        <w:t xml:space="preserve"> van het kapitaal)</w:t>
      </w:r>
      <w:r w:rsidRPr="006A31F0">
        <w:rPr>
          <w:rFonts w:ascii="Verdana" w:hAnsi="Verdana" w:cs="Arial"/>
          <w:iCs/>
        </w:rPr>
        <w:t xml:space="preserve"> moet worden voldaan. Deze voorwaarde is </w:t>
      </w:r>
      <w:r w:rsidRPr="006A31F0" w:rsidR="00FE15D3">
        <w:rPr>
          <w:rFonts w:ascii="Verdana" w:hAnsi="Verdana" w:cs="Arial"/>
          <w:iCs/>
        </w:rPr>
        <w:t>ook opgenomen in artikel 10, tweede lid, onderdeel a, van het OESO-modelverdrag</w:t>
      </w:r>
      <w:r w:rsidRPr="006A31F0" w:rsidR="002C55FB">
        <w:rPr>
          <w:rFonts w:ascii="Verdana" w:hAnsi="Verdana" w:cs="Arial"/>
          <w:iCs/>
        </w:rPr>
        <w:t>. H</w:t>
      </w:r>
      <w:r w:rsidRPr="006A31F0" w:rsidR="00FE15D3">
        <w:rPr>
          <w:rFonts w:ascii="Verdana" w:hAnsi="Verdana" w:cs="Arial"/>
          <w:iCs/>
        </w:rPr>
        <w:t xml:space="preserve">et opnemen </w:t>
      </w:r>
      <w:r w:rsidRPr="006A31F0" w:rsidR="002C55FB">
        <w:rPr>
          <w:rFonts w:ascii="Verdana" w:hAnsi="Verdana" w:cs="Arial"/>
          <w:iCs/>
        </w:rPr>
        <w:t>van deze voorwaarde</w:t>
      </w:r>
      <w:r w:rsidRPr="006A31F0" w:rsidR="00FE15D3">
        <w:rPr>
          <w:rFonts w:ascii="Verdana" w:hAnsi="Verdana" w:cs="Arial"/>
          <w:iCs/>
        </w:rPr>
        <w:t xml:space="preserve"> is tevens in lijn met de positie die Nederland op dit punt heeft ingenomen in het kader </w:t>
      </w:r>
      <w:r w:rsidRPr="006A31F0">
        <w:rPr>
          <w:rFonts w:ascii="Verdana" w:hAnsi="Verdana" w:cs="Arial"/>
          <w:iCs/>
        </w:rPr>
        <w:t>van het MLI.</w:t>
      </w:r>
    </w:p>
    <w:p w:rsidRPr="006A31F0" w:rsidR="006A25E4" w:rsidP="006A31F0" w:rsidRDefault="006A25E4" w14:paraId="39BD2346"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rPr>
      </w:pPr>
    </w:p>
    <w:p w:rsidRPr="006A31F0" w:rsidR="003176D1" w:rsidP="006A31F0" w:rsidRDefault="003176D1" w14:paraId="27FF0B46" w14:textId="2DB7994A">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sidRPr="006A31F0">
        <w:rPr>
          <w:rFonts w:ascii="Verdana" w:hAnsi="Verdana" w:cs="Arial"/>
          <w:b/>
          <w:i/>
          <w:iCs/>
          <w:lang w:val="nl-NL"/>
        </w:rPr>
        <w:t>II.3</w:t>
      </w:r>
      <w:r w:rsidR="009E2FDC">
        <w:rPr>
          <w:rFonts w:ascii="Verdana" w:hAnsi="Verdana" w:cs="Arial"/>
          <w:b/>
          <w:i/>
          <w:iCs/>
          <w:lang w:val="nl-NL"/>
        </w:rPr>
        <w:t>.</w:t>
      </w:r>
      <w:r w:rsidRPr="006A31F0">
        <w:rPr>
          <w:rFonts w:ascii="Verdana" w:hAnsi="Verdana" w:cs="Arial"/>
          <w:b/>
          <w:i/>
          <w:iCs/>
          <w:lang w:val="nl-NL"/>
        </w:rPr>
        <w:t xml:space="preserve"> </w:t>
      </w:r>
      <w:r w:rsidRPr="006A31F0" w:rsidR="005B6193">
        <w:rPr>
          <w:rFonts w:ascii="Verdana" w:hAnsi="Verdana" w:cs="Arial"/>
          <w:b/>
          <w:i/>
          <w:iCs/>
          <w:lang w:val="nl-NL"/>
        </w:rPr>
        <w:t>Vermogenswinsten</w:t>
      </w:r>
      <w:r w:rsidRPr="006A31F0">
        <w:rPr>
          <w:rFonts w:ascii="Verdana" w:hAnsi="Verdana" w:cs="Arial"/>
          <w:b/>
          <w:i/>
          <w:iCs/>
          <w:lang w:val="nl-NL"/>
        </w:rPr>
        <w:t xml:space="preserve"> (artikel III van het Wijzigingsprotocol</w:t>
      </w:r>
      <w:r w:rsidRPr="006A31F0" w:rsidR="005B0526">
        <w:rPr>
          <w:rFonts w:ascii="Verdana" w:hAnsi="Verdana" w:cs="Arial"/>
          <w:b/>
          <w:i/>
          <w:iCs/>
          <w:lang w:val="nl-NL"/>
        </w:rPr>
        <w:t>, artikel 13 van het Verdrag</w:t>
      </w:r>
      <w:r w:rsidRPr="006A31F0">
        <w:rPr>
          <w:rFonts w:ascii="Verdana" w:hAnsi="Verdana" w:cs="Arial"/>
          <w:b/>
          <w:i/>
          <w:iCs/>
          <w:lang w:val="nl-NL"/>
        </w:rPr>
        <w:t>)</w:t>
      </w:r>
    </w:p>
    <w:p w:rsidRPr="006A31F0" w:rsidR="005B6193" w:rsidP="006A31F0" w:rsidRDefault="005B6193" w14:paraId="7E6043E8"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rPr>
      </w:pPr>
      <w:r w:rsidRPr="006A31F0">
        <w:rPr>
          <w:rFonts w:ascii="Verdana" w:hAnsi="Verdana" w:cs="Arial"/>
          <w:iCs/>
        </w:rPr>
        <w:tab/>
      </w:r>
      <w:r w:rsidRPr="006A31F0" w:rsidR="00F50C09">
        <w:rPr>
          <w:rFonts w:ascii="Verdana" w:hAnsi="Verdana" w:cs="Arial"/>
          <w:iCs/>
        </w:rPr>
        <w:t xml:space="preserve">Artikel 13 van het Verdrag heeft betrekking op de verdeling van heffingsrechten over vermogenswinsten. </w:t>
      </w:r>
      <w:r w:rsidRPr="006A31F0">
        <w:rPr>
          <w:rFonts w:ascii="Verdana" w:hAnsi="Verdana" w:cs="Arial"/>
          <w:iCs/>
        </w:rPr>
        <w:t xml:space="preserve">Artikel III van het Wijzigingsprotocol heeft betrekking op </w:t>
      </w:r>
      <w:r w:rsidRPr="006A31F0" w:rsidR="00F50C09">
        <w:rPr>
          <w:rFonts w:ascii="Verdana" w:hAnsi="Verdana" w:cs="Arial"/>
          <w:iCs/>
        </w:rPr>
        <w:t>het</w:t>
      </w:r>
      <w:r w:rsidRPr="006A31F0">
        <w:rPr>
          <w:rFonts w:ascii="Verdana" w:hAnsi="Verdana" w:cs="Arial"/>
          <w:iCs/>
        </w:rPr>
        <w:t xml:space="preserve"> tweede lid van </w:t>
      </w:r>
      <w:r w:rsidRPr="006A31F0" w:rsidR="00F50C09">
        <w:rPr>
          <w:rFonts w:ascii="Verdana" w:hAnsi="Verdana" w:cs="Arial"/>
          <w:iCs/>
        </w:rPr>
        <w:t>da</w:t>
      </w:r>
      <w:r w:rsidRPr="006A31F0">
        <w:rPr>
          <w:rFonts w:ascii="Verdana" w:hAnsi="Verdana" w:cs="Arial"/>
          <w:iCs/>
        </w:rPr>
        <w:t xml:space="preserve">t </w:t>
      </w:r>
      <w:r w:rsidRPr="006A31F0" w:rsidR="00F50C09">
        <w:rPr>
          <w:rFonts w:ascii="Verdana" w:hAnsi="Verdana" w:cs="Arial"/>
          <w:iCs/>
        </w:rPr>
        <w:t>artikel</w:t>
      </w:r>
      <w:r w:rsidRPr="006A31F0" w:rsidR="00355F55">
        <w:rPr>
          <w:rFonts w:ascii="Verdana" w:hAnsi="Verdana" w:cs="Arial"/>
          <w:iCs/>
        </w:rPr>
        <w:t>.</w:t>
      </w:r>
      <w:r w:rsidRPr="006A31F0">
        <w:rPr>
          <w:rFonts w:ascii="Verdana" w:hAnsi="Verdana" w:cs="Arial"/>
          <w:iCs/>
        </w:rPr>
        <w:t xml:space="preserve"> </w:t>
      </w:r>
      <w:r w:rsidRPr="006A31F0" w:rsidR="002F658B">
        <w:rPr>
          <w:rFonts w:ascii="Verdana" w:hAnsi="Verdana" w:cs="Arial"/>
          <w:iCs/>
        </w:rPr>
        <w:t>Die bepaling</w:t>
      </w:r>
      <w:r w:rsidRPr="006A31F0">
        <w:rPr>
          <w:rFonts w:ascii="Verdana" w:hAnsi="Verdana" w:cs="Arial"/>
          <w:iCs/>
        </w:rPr>
        <w:t xml:space="preserve"> kent een heffingsrecht over winsten behaald met de vervreemding van aandelen en </w:t>
      </w:r>
      <w:r w:rsidRPr="006A31F0" w:rsidR="00F50C09">
        <w:rPr>
          <w:rFonts w:ascii="Verdana" w:hAnsi="Verdana" w:cs="Arial"/>
          <w:iCs/>
        </w:rPr>
        <w:t xml:space="preserve">daarmee </w:t>
      </w:r>
      <w:r w:rsidRPr="006A31F0">
        <w:rPr>
          <w:rFonts w:ascii="Verdana" w:hAnsi="Verdana" w:cs="Arial"/>
          <w:iCs/>
        </w:rPr>
        <w:t>verge</w:t>
      </w:r>
      <w:r w:rsidRPr="006A31F0" w:rsidR="00717157">
        <w:rPr>
          <w:rFonts w:ascii="Verdana" w:hAnsi="Verdana" w:cs="Arial"/>
          <w:iCs/>
        </w:rPr>
        <w:t xml:space="preserve">lijkbare belangen in zogenoemde </w:t>
      </w:r>
      <w:r w:rsidRPr="006A31F0">
        <w:rPr>
          <w:rFonts w:ascii="Verdana" w:hAnsi="Verdana" w:cs="Arial"/>
          <w:iCs/>
        </w:rPr>
        <w:t>onroerendezaak</w:t>
      </w:r>
      <w:r w:rsidRPr="006A31F0" w:rsidR="006C2F34">
        <w:rPr>
          <w:rFonts w:ascii="Verdana" w:hAnsi="Verdana" w:cs="Arial"/>
          <w:iCs/>
        </w:rPr>
        <w:t>lichamen</w:t>
      </w:r>
      <w:r w:rsidRPr="006A31F0" w:rsidR="002F738E">
        <w:rPr>
          <w:rFonts w:ascii="Verdana" w:hAnsi="Verdana" w:cs="Arial"/>
          <w:iCs/>
        </w:rPr>
        <w:t xml:space="preserve"> toe aan de staat waar</w:t>
      </w:r>
      <w:r w:rsidRPr="006A31F0" w:rsidR="000D4E90">
        <w:rPr>
          <w:rFonts w:ascii="Verdana" w:hAnsi="Verdana" w:cs="Arial"/>
          <w:iCs/>
        </w:rPr>
        <w:t>in</w:t>
      </w:r>
      <w:r w:rsidRPr="006A31F0" w:rsidR="002F738E">
        <w:rPr>
          <w:rFonts w:ascii="Verdana" w:hAnsi="Verdana" w:cs="Arial"/>
          <w:iCs/>
        </w:rPr>
        <w:t xml:space="preserve"> de onroere</w:t>
      </w:r>
      <w:r w:rsidRPr="006A31F0" w:rsidR="00717157">
        <w:rPr>
          <w:rFonts w:ascii="Verdana" w:hAnsi="Verdana" w:cs="Arial"/>
          <w:iCs/>
        </w:rPr>
        <w:t>nde zaken zijn gelegen (</w:t>
      </w:r>
      <w:r w:rsidRPr="006A31F0" w:rsidR="002F738E">
        <w:rPr>
          <w:rFonts w:ascii="Verdana" w:hAnsi="Verdana" w:cs="Arial"/>
          <w:iCs/>
        </w:rPr>
        <w:t>‘situsstaat’)</w:t>
      </w:r>
      <w:r w:rsidRPr="006A31F0">
        <w:rPr>
          <w:rFonts w:ascii="Verdana" w:hAnsi="Verdana" w:cs="Arial"/>
          <w:iCs/>
        </w:rPr>
        <w:t xml:space="preserve">. </w:t>
      </w:r>
      <w:r w:rsidRPr="006A31F0" w:rsidR="002F738E">
        <w:rPr>
          <w:rFonts w:ascii="Verdana" w:hAnsi="Verdana" w:cs="Arial"/>
          <w:iCs/>
        </w:rPr>
        <w:t>Onroerendezaak</w:t>
      </w:r>
      <w:r w:rsidRPr="006A31F0" w:rsidR="006C2F34">
        <w:rPr>
          <w:rFonts w:ascii="Verdana" w:hAnsi="Verdana" w:cs="Arial"/>
          <w:iCs/>
        </w:rPr>
        <w:t>lichamen</w:t>
      </w:r>
      <w:r w:rsidRPr="006A31F0" w:rsidR="002F738E">
        <w:rPr>
          <w:rFonts w:ascii="Verdana" w:hAnsi="Verdana" w:cs="Arial"/>
          <w:iCs/>
        </w:rPr>
        <w:t xml:space="preserve"> </w:t>
      </w:r>
      <w:r w:rsidRPr="006A31F0" w:rsidR="00A47CEF">
        <w:rPr>
          <w:rFonts w:ascii="Verdana" w:hAnsi="Verdana" w:cs="Arial"/>
          <w:iCs/>
        </w:rPr>
        <w:t xml:space="preserve">in de zin van genoemd tweede lid zijn lichamen die </w:t>
      </w:r>
      <w:r w:rsidRPr="006A31F0">
        <w:rPr>
          <w:rFonts w:ascii="Verdana" w:hAnsi="Verdana" w:cs="Arial"/>
          <w:iCs/>
        </w:rPr>
        <w:t>hun waarde voor meer dan 75</w:t>
      </w:r>
      <w:r w:rsidRPr="006A31F0" w:rsidR="000D4E90">
        <w:rPr>
          <w:rFonts w:ascii="Verdana" w:hAnsi="Verdana" w:cs="Arial"/>
          <w:iCs/>
        </w:rPr>
        <w:t>%</w:t>
      </w:r>
      <w:r w:rsidRPr="006A31F0">
        <w:rPr>
          <w:rFonts w:ascii="Verdana" w:hAnsi="Verdana" w:cs="Arial"/>
          <w:iCs/>
        </w:rPr>
        <w:t xml:space="preserve"> (drempelwaarde) </w:t>
      </w:r>
      <w:r w:rsidRPr="006A31F0" w:rsidR="00A47CEF">
        <w:rPr>
          <w:rFonts w:ascii="Verdana" w:hAnsi="Verdana" w:cs="Arial"/>
          <w:iCs/>
        </w:rPr>
        <w:t xml:space="preserve">ontlenen </w:t>
      </w:r>
      <w:r w:rsidRPr="006A31F0">
        <w:rPr>
          <w:rFonts w:ascii="Verdana" w:hAnsi="Verdana" w:cs="Arial"/>
          <w:iCs/>
        </w:rPr>
        <w:t xml:space="preserve">aan in de situsstaat gelegen onroerende zaken. In het nieuwe tweede lid </w:t>
      </w:r>
      <w:r w:rsidRPr="006A31F0" w:rsidR="00751A19">
        <w:rPr>
          <w:rFonts w:ascii="Verdana" w:hAnsi="Verdana" w:cs="Arial"/>
          <w:iCs/>
        </w:rPr>
        <w:t xml:space="preserve">is </w:t>
      </w:r>
      <w:r w:rsidRPr="006A31F0">
        <w:rPr>
          <w:rFonts w:ascii="Verdana" w:hAnsi="Verdana" w:cs="Arial"/>
          <w:iCs/>
        </w:rPr>
        <w:t xml:space="preserve">een toetsperiode </w:t>
      </w:r>
      <w:r w:rsidRPr="006A31F0" w:rsidR="0008456D">
        <w:rPr>
          <w:rFonts w:ascii="Verdana" w:hAnsi="Verdana" w:cs="Arial"/>
          <w:iCs/>
        </w:rPr>
        <w:t>opgenomen</w:t>
      </w:r>
      <w:r w:rsidRPr="006A31F0">
        <w:rPr>
          <w:rFonts w:ascii="Verdana" w:hAnsi="Verdana" w:cs="Arial"/>
          <w:iCs/>
        </w:rPr>
        <w:t xml:space="preserve">. </w:t>
      </w:r>
      <w:r w:rsidRPr="006A31F0">
        <w:rPr>
          <w:rFonts w:ascii="Verdana" w:hAnsi="Verdana" w:cs="Arial"/>
          <w:iCs/>
        </w:rPr>
        <w:lastRenderedPageBreak/>
        <w:t>Deze toetsperiode houdt in dat de bepaling van toepassing kan zijn</w:t>
      </w:r>
      <w:r w:rsidRPr="006A31F0" w:rsidR="004210E4">
        <w:rPr>
          <w:rFonts w:ascii="Verdana" w:hAnsi="Verdana" w:cs="Arial"/>
          <w:iCs/>
        </w:rPr>
        <w:t>, en dus het heffingsrecht wordt toegekend aan de situsstaat,</w:t>
      </w:r>
      <w:r w:rsidRPr="006A31F0">
        <w:rPr>
          <w:rFonts w:ascii="Verdana" w:hAnsi="Verdana" w:cs="Arial"/>
          <w:iCs/>
        </w:rPr>
        <w:t xml:space="preserve"> als op enig moment gedurende een periode van 365 dagen voorafgaand aan de vervreemding aan de drempelwaarde wordt voldaan. Deze aanvullende voorwaarde</w:t>
      </w:r>
      <w:r w:rsidRPr="006A31F0" w:rsidR="00FB6DE6">
        <w:rPr>
          <w:rFonts w:ascii="Verdana" w:hAnsi="Verdana" w:cs="Arial"/>
          <w:iCs/>
        </w:rPr>
        <w:t xml:space="preserve"> </w:t>
      </w:r>
      <w:r w:rsidRPr="006A31F0" w:rsidR="008E7146">
        <w:rPr>
          <w:rFonts w:ascii="Verdana" w:hAnsi="Verdana" w:cs="Arial"/>
          <w:iCs/>
        </w:rPr>
        <w:t>is</w:t>
      </w:r>
      <w:r w:rsidRPr="006A31F0" w:rsidR="00FB6DE6">
        <w:rPr>
          <w:rFonts w:ascii="Verdana" w:hAnsi="Verdana" w:cs="Arial"/>
          <w:iCs/>
        </w:rPr>
        <w:t xml:space="preserve"> </w:t>
      </w:r>
      <w:r w:rsidRPr="006A31F0" w:rsidR="008E7146">
        <w:rPr>
          <w:rFonts w:ascii="Verdana" w:hAnsi="Verdana" w:cs="Arial"/>
          <w:iCs/>
        </w:rPr>
        <w:t>ook opgenomen in artikel 13, vierde lid, van het OESO-modelverdrag</w:t>
      </w:r>
      <w:r w:rsidRPr="006A31F0" w:rsidR="002C55FB">
        <w:rPr>
          <w:rFonts w:ascii="Verdana" w:hAnsi="Verdana" w:cs="Arial"/>
          <w:iCs/>
        </w:rPr>
        <w:t>. H</w:t>
      </w:r>
      <w:r w:rsidRPr="006A31F0" w:rsidR="008E7146">
        <w:rPr>
          <w:rFonts w:ascii="Verdana" w:hAnsi="Verdana" w:cs="Arial"/>
          <w:iCs/>
        </w:rPr>
        <w:t xml:space="preserve">et opnemen </w:t>
      </w:r>
      <w:r w:rsidRPr="006A31F0" w:rsidR="002C55FB">
        <w:rPr>
          <w:rFonts w:ascii="Verdana" w:hAnsi="Verdana" w:cs="Arial"/>
          <w:iCs/>
        </w:rPr>
        <w:t>van deze aanvullende voorwaarde</w:t>
      </w:r>
      <w:r w:rsidRPr="006A31F0" w:rsidR="008E7146">
        <w:rPr>
          <w:rFonts w:ascii="Verdana" w:hAnsi="Verdana" w:cs="Arial"/>
          <w:iCs/>
        </w:rPr>
        <w:t xml:space="preserve"> is tevens in lijn met de positie die Nederland op dit punt heeft ingenomen in het kader van het MLI.</w:t>
      </w:r>
    </w:p>
    <w:p w:rsidRPr="006A31F0" w:rsidR="001221C3" w:rsidP="006A31F0" w:rsidRDefault="001221C3" w14:paraId="4E1A266C"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p>
    <w:p w:rsidRPr="006A31F0" w:rsidR="003176D1" w:rsidP="006A31F0" w:rsidRDefault="001C1D7F" w14:paraId="5C40E2E9" w14:textId="77808784">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highlight w:val="red"/>
          <w:lang w:val="nl-NL"/>
        </w:rPr>
      </w:pPr>
      <w:r w:rsidRPr="006A31F0">
        <w:rPr>
          <w:rFonts w:ascii="Verdana" w:hAnsi="Verdana" w:cs="Arial"/>
          <w:b/>
          <w:i/>
          <w:iCs/>
          <w:lang w:val="nl-NL"/>
        </w:rPr>
        <w:t>II.4</w:t>
      </w:r>
      <w:r w:rsidR="009E2FDC">
        <w:rPr>
          <w:rFonts w:ascii="Verdana" w:hAnsi="Verdana" w:cs="Arial"/>
          <w:b/>
          <w:i/>
          <w:iCs/>
          <w:lang w:val="nl-NL"/>
        </w:rPr>
        <w:t>.</w:t>
      </w:r>
      <w:r w:rsidRPr="006A31F0">
        <w:rPr>
          <w:rFonts w:ascii="Verdana" w:hAnsi="Verdana" w:cs="Arial"/>
          <w:b/>
          <w:i/>
          <w:iCs/>
          <w:lang w:val="nl-NL"/>
        </w:rPr>
        <w:t xml:space="preserve"> Pensioenen, lijfrenten en socialezekerheidsuitkeringen</w:t>
      </w:r>
      <w:r w:rsidRPr="006A31F0" w:rsidR="003176D1">
        <w:rPr>
          <w:rFonts w:ascii="Verdana" w:hAnsi="Verdana" w:cs="Arial"/>
          <w:b/>
          <w:i/>
          <w:iCs/>
          <w:lang w:val="nl-NL"/>
        </w:rPr>
        <w:t xml:space="preserve"> (artikel</w:t>
      </w:r>
      <w:r w:rsidRPr="006A31F0" w:rsidR="009B4E42">
        <w:rPr>
          <w:rFonts w:ascii="Verdana" w:hAnsi="Verdana" w:cs="Arial"/>
          <w:b/>
          <w:i/>
          <w:iCs/>
          <w:lang w:val="nl-NL"/>
        </w:rPr>
        <w:t>en</w:t>
      </w:r>
      <w:r w:rsidRPr="006A31F0" w:rsidR="003176D1">
        <w:rPr>
          <w:rFonts w:ascii="Verdana" w:hAnsi="Verdana" w:cs="Arial"/>
          <w:b/>
          <w:i/>
          <w:iCs/>
          <w:lang w:val="nl-NL"/>
        </w:rPr>
        <w:t xml:space="preserve"> </w:t>
      </w:r>
      <w:r w:rsidRPr="006A31F0" w:rsidR="00062B66">
        <w:rPr>
          <w:rFonts w:ascii="Verdana" w:hAnsi="Verdana" w:cs="Arial"/>
          <w:b/>
          <w:i/>
          <w:iCs/>
          <w:lang w:val="nl-NL"/>
        </w:rPr>
        <w:t>IV</w:t>
      </w:r>
      <w:r w:rsidRPr="006A31F0" w:rsidR="009B4E42">
        <w:rPr>
          <w:rFonts w:ascii="Verdana" w:hAnsi="Verdana" w:cs="Arial"/>
          <w:b/>
          <w:i/>
          <w:iCs/>
          <w:lang w:val="nl-NL"/>
        </w:rPr>
        <w:t>, VII en VIII</w:t>
      </w:r>
      <w:r w:rsidRPr="006A31F0" w:rsidR="003176D1">
        <w:rPr>
          <w:rFonts w:ascii="Verdana" w:hAnsi="Verdana" w:cs="Arial"/>
          <w:b/>
          <w:i/>
          <w:iCs/>
          <w:lang w:val="nl-NL"/>
        </w:rPr>
        <w:t xml:space="preserve"> van het Wijzigingsprotocol</w:t>
      </w:r>
      <w:r w:rsidRPr="006A31F0" w:rsidR="005B0526">
        <w:rPr>
          <w:rFonts w:ascii="Verdana" w:hAnsi="Verdana" w:cs="Arial"/>
          <w:b/>
          <w:i/>
          <w:iCs/>
          <w:lang w:val="nl-NL"/>
        </w:rPr>
        <w:t xml:space="preserve">, </w:t>
      </w:r>
      <w:r w:rsidRPr="006A31F0" w:rsidR="00932B9B">
        <w:rPr>
          <w:rFonts w:ascii="Verdana" w:hAnsi="Verdana" w:cs="Arial"/>
          <w:b/>
          <w:i/>
          <w:iCs/>
          <w:lang w:val="nl-NL"/>
        </w:rPr>
        <w:t xml:space="preserve">het nieuwe </w:t>
      </w:r>
      <w:r w:rsidRPr="006A31F0" w:rsidR="005B0526">
        <w:rPr>
          <w:rFonts w:ascii="Verdana" w:hAnsi="Verdana" w:cs="Arial"/>
          <w:b/>
          <w:i/>
          <w:iCs/>
          <w:lang w:val="nl-NL"/>
        </w:rPr>
        <w:t>artikel 17 van het Verdrag</w:t>
      </w:r>
      <w:r w:rsidRPr="006A31F0" w:rsidR="009341CD">
        <w:rPr>
          <w:rFonts w:ascii="Verdana" w:hAnsi="Verdana" w:cs="Arial"/>
          <w:b/>
          <w:i/>
          <w:iCs/>
          <w:lang w:val="nl-NL"/>
        </w:rPr>
        <w:t xml:space="preserve"> en de nieuwe artikelen XIII en XIV van het Protocol bij het Verdrag</w:t>
      </w:r>
      <w:r w:rsidRPr="006A31F0" w:rsidR="003176D1">
        <w:rPr>
          <w:rFonts w:ascii="Verdana" w:hAnsi="Verdana" w:cs="Arial"/>
          <w:b/>
          <w:i/>
          <w:iCs/>
          <w:lang w:val="nl-NL"/>
        </w:rPr>
        <w:t>)</w:t>
      </w:r>
    </w:p>
    <w:p w:rsidRPr="006A31F0" w:rsidR="007F1918" w:rsidP="006A31F0" w:rsidRDefault="00355F55" w14:paraId="404DF124" w14:textId="556D60AD">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r>
      <w:r w:rsidRPr="006A31F0" w:rsidR="005B0526">
        <w:rPr>
          <w:rFonts w:ascii="Verdana" w:hAnsi="Verdana" w:cs="Arial"/>
          <w:iCs/>
        </w:rPr>
        <w:t xml:space="preserve">Artikel 17 van het Verdrag heeft betrekking op de verdeling van heffingsrechten over </w:t>
      </w:r>
      <w:r w:rsidRPr="006A31F0" w:rsidR="00911B19">
        <w:rPr>
          <w:rFonts w:ascii="Verdana" w:hAnsi="Verdana" w:cs="Arial"/>
          <w:iCs/>
          <w:lang w:val="nl-NL"/>
        </w:rPr>
        <w:t>pensioenen</w:t>
      </w:r>
      <w:r w:rsidRPr="006A31F0" w:rsidR="005B0526">
        <w:rPr>
          <w:rFonts w:ascii="Verdana" w:hAnsi="Verdana" w:cs="Arial"/>
          <w:iCs/>
          <w:lang w:val="nl-NL"/>
        </w:rPr>
        <w:t>, lijfrenten en socialezekerheidsuitkeringen</w:t>
      </w:r>
      <w:r w:rsidRPr="006A31F0" w:rsidR="005B0526">
        <w:rPr>
          <w:rFonts w:ascii="Verdana" w:hAnsi="Verdana" w:cs="Arial"/>
          <w:iCs/>
        </w:rPr>
        <w:t xml:space="preserve">. </w:t>
      </w:r>
      <w:r w:rsidRPr="006A31F0" w:rsidR="00DE179B">
        <w:rPr>
          <w:rFonts w:ascii="Verdana" w:hAnsi="Verdana" w:cs="Arial"/>
          <w:iCs/>
        </w:rPr>
        <w:t xml:space="preserve">Met </w:t>
      </w:r>
      <w:r w:rsidRPr="006A31F0" w:rsidR="007E0552">
        <w:rPr>
          <w:rFonts w:ascii="Verdana" w:hAnsi="Verdana" w:cs="Arial"/>
          <w:iCs/>
          <w:lang w:val="nl-NL"/>
        </w:rPr>
        <w:t>artikel</w:t>
      </w:r>
      <w:r w:rsidRPr="006A31F0" w:rsidR="001C1D7F">
        <w:rPr>
          <w:rFonts w:ascii="Verdana" w:hAnsi="Verdana" w:cs="Arial"/>
          <w:iCs/>
          <w:lang w:val="nl-NL"/>
        </w:rPr>
        <w:t xml:space="preserve"> IV van het Wijzigingsprotocol </w:t>
      </w:r>
      <w:r w:rsidRPr="006A31F0" w:rsidR="00DE179B">
        <w:rPr>
          <w:rFonts w:ascii="Verdana" w:hAnsi="Verdana" w:cs="Arial"/>
          <w:iCs/>
          <w:lang w:val="nl-NL"/>
        </w:rPr>
        <w:t>wordt</w:t>
      </w:r>
      <w:r w:rsidRPr="006A31F0" w:rsidR="002509C7">
        <w:rPr>
          <w:rFonts w:ascii="Verdana" w:hAnsi="Verdana" w:cs="Arial"/>
          <w:iCs/>
          <w:lang w:val="nl-NL"/>
        </w:rPr>
        <w:t xml:space="preserve"> </w:t>
      </w:r>
      <w:r w:rsidRPr="006A31F0" w:rsidR="00DE179B">
        <w:rPr>
          <w:rFonts w:ascii="Verdana" w:hAnsi="Verdana" w:cs="Arial"/>
          <w:iCs/>
          <w:lang w:val="nl-NL"/>
        </w:rPr>
        <w:t>a</w:t>
      </w:r>
      <w:r w:rsidRPr="006A31F0" w:rsidR="002509C7">
        <w:rPr>
          <w:rFonts w:ascii="Verdana" w:hAnsi="Verdana" w:cs="Arial"/>
          <w:iCs/>
          <w:lang w:val="nl-NL"/>
        </w:rPr>
        <w:t xml:space="preserve">rtikel 17 </w:t>
      </w:r>
      <w:r w:rsidRPr="006A31F0" w:rsidR="00DE179B">
        <w:rPr>
          <w:rFonts w:ascii="Verdana" w:hAnsi="Verdana" w:cs="Arial"/>
          <w:iCs/>
          <w:lang w:val="nl-NL"/>
        </w:rPr>
        <w:t>integraal</w:t>
      </w:r>
      <w:r w:rsidRPr="006A31F0" w:rsidR="002509C7">
        <w:rPr>
          <w:rFonts w:ascii="Verdana" w:hAnsi="Verdana" w:cs="Arial"/>
          <w:iCs/>
          <w:lang w:val="nl-NL"/>
        </w:rPr>
        <w:t xml:space="preserve"> vervangen door een nieuw </w:t>
      </w:r>
      <w:r w:rsidRPr="006A31F0" w:rsidR="00E81EFC">
        <w:rPr>
          <w:rFonts w:ascii="Verdana" w:hAnsi="Verdana" w:cs="Arial"/>
          <w:iCs/>
          <w:lang w:val="nl-NL"/>
        </w:rPr>
        <w:t xml:space="preserve">artikel </w:t>
      </w:r>
      <w:r w:rsidRPr="006A31F0" w:rsidR="00DE179B">
        <w:rPr>
          <w:rFonts w:ascii="Verdana" w:hAnsi="Verdana" w:cs="Arial"/>
          <w:iCs/>
          <w:lang w:val="nl-NL"/>
        </w:rPr>
        <w:t xml:space="preserve">17 </w:t>
      </w:r>
      <w:r w:rsidRPr="006A31F0" w:rsidR="003F67F4">
        <w:rPr>
          <w:rFonts w:ascii="Verdana" w:hAnsi="Verdana" w:cs="Arial"/>
          <w:iCs/>
          <w:lang w:val="nl-NL"/>
        </w:rPr>
        <w:t>op grond waarvan</w:t>
      </w:r>
      <w:r w:rsidRPr="006A31F0" w:rsidR="002509C7">
        <w:rPr>
          <w:rFonts w:ascii="Verdana" w:hAnsi="Verdana" w:cs="Arial"/>
          <w:iCs/>
          <w:lang w:val="nl-NL"/>
        </w:rPr>
        <w:t xml:space="preserve"> </w:t>
      </w:r>
      <w:r w:rsidRPr="006A31F0" w:rsidR="00C41105">
        <w:rPr>
          <w:rFonts w:ascii="Verdana" w:hAnsi="Verdana" w:cs="Arial"/>
          <w:iCs/>
          <w:lang w:val="nl-NL"/>
        </w:rPr>
        <w:t xml:space="preserve">het heffingsrecht over </w:t>
      </w:r>
      <w:r w:rsidRPr="006A31F0" w:rsidR="002509C7">
        <w:rPr>
          <w:rFonts w:ascii="Verdana" w:hAnsi="Verdana" w:cs="Arial"/>
          <w:iCs/>
          <w:lang w:val="nl-NL"/>
        </w:rPr>
        <w:t xml:space="preserve">socialezekerheidsuitkeringen (socialezekerheidspensioenen daar niet onder begrepen) </w:t>
      </w:r>
      <w:r w:rsidRPr="006A31F0" w:rsidR="00760CCA">
        <w:rPr>
          <w:rFonts w:ascii="Verdana" w:hAnsi="Verdana" w:cs="Arial"/>
          <w:iCs/>
          <w:lang w:val="nl-NL"/>
        </w:rPr>
        <w:t>in alle gevallen</w:t>
      </w:r>
      <w:r w:rsidRPr="006A31F0" w:rsidR="00DE179B">
        <w:rPr>
          <w:rFonts w:ascii="Verdana" w:hAnsi="Verdana" w:cs="Arial"/>
          <w:iCs/>
          <w:lang w:val="nl-NL"/>
        </w:rPr>
        <w:t xml:space="preserve"> </w:t>
      </w:r>
      <w:r w:rsidRPr="006A31F0" w:rsidR="002509C7">
        <w:rPr>
          <w:rFonts w:ascii="Verdana" w:hAnsi="Verdana" w:cs="Arial"/>
          <w:iCs/>
          <w:lang w:val="nl-NL"/>
        </w:rPr>
        <w:t xml:space="preserve">wordt toegewezen aan </w:t>
      </w:r>
      <w:r w:rsidRPr="006A31F0" w:rsidR="00DE179B">
        <w:rPr>
          <w:rFonts w:ascii="Verdana" w:hAnsi="Verdana" w:cs="Arial"/>
          <w:iCs/>
          <w:lang w:val="nl-NL"/>
        </w:rPr>
        <w:t xml:space="preserve">de </w:t>
      </w:r>
      <w:r w:rsidRPr="006A31F0" w:rsidR="00C41105">
        <w:rPr>
          <w:rFonts w:ascii="Verdana" w:hAnsi="Verdana" w:cs="Arial"/>
          <w:iCs/>
          <w:lang w:val="nl-NL"/>
        </w:rPr>
        <w:t>bron</w:t>
      </w:r>
      <w:r w:rsidRPr="006A31F0" w:rsidR="00DE179B">
        <w:rPr>
          <w:rFonts w:ascii="Verdana" w:hAnsi="Verdana" w:cs="Arial"/>
          <w:iCs/>
          <w:lang w:val="nl-NL"/>
        </w:rPr>
        <w:t>staat</w:t>
      </w:r>
      <w:r w:rsidRPr="006A31F0" w:rsidR="00E81EFC">
        <w:rPr>
          <w:rFonts w:ascii="Verdana" w:hAnsi="Verdana" w:cs="Arial"/>
          <w:iCs/>
          <w:lang w:val="nl-NL"/>
        </w:rPr>
        <w:t>.</w:t>
      </w:r>
      <w:r w:rsidRPr="006A31F0" w:rsidR="002509C7">
        <w:rPr>
          <w:rFonts w:ascii="Verdana" w:hAnsi="Verdana" w:cs="Arial"/>
          <w:iCs/>
          <w:lang w:val="nl-NL"/>
        </w:rPr>
        <w:t xml:space="preserve"> </w:t>
      </w:r>
      <w:r w:rsidRPr="006A31F0" w:rsidR="00FD0DF2">
        <w:rPr>
          <w:rFonts w:ascii="Verdana" w:hAnsi="Verdana" w:cs="Arial"/>
          <w:iCs/>
          <w:lang w:val="nl-NL"/>
        </w:rPr>
        <w:t xml:space="preserve">Op grond van het huidige artikel 17 </w:t>
      </w:r>
      <w:r w:rsidRPr="006A31F0" w:rsidR="00F333BC">
        <w:rPr>
          <w:rFonts w:ascii="Verdana" w:hAnsi="Verdana" w:cs="Arial"/>
          <w:iCs/>
          <w:lang w:val="nl-NL"/>
        </w:rPr>
        <w:t>g</w:t>
      </w:r>
      <w:r w:rsidRPr="006A31F0" w:rsidR="00FD0DF2">
        <w:rPr>
          <w:rFonts w:ascii="Verdana" w:hAnsi="Verdana" w:cs="Arial"/>
          <w:iCs/>
          <w:lang w:val="nl-NL"/>
        </w:rPr>
        <w:t>e</w:t>
      </w:r>
      <w:r w:rsidRPr="006A31F0" w:rsidR="00F333BC">
        <w:rPr>
          <w:rFonts w:ascii="Verdana" w:hAnsi="Verdana" w:cs="Arial"/>
          <w:iCs/>
          <w:lang w:val="nl-NL"/>
        </w:rPr>
        <w:t>ld</w:t>
      </w:r>
      <w:r w:rsidRPr="006A31F0" w:rsidR="00FD0DF2">
        <w:rPr>
          <w:rFonts w:ascii="Verdana" w:hAnsi="Verdana" w:cs="Arial"/>
          <w:iCs/>
          <w:lang w:val="nl-NL"/>
        </w:rPr>
        <w:t>t</w:t>
      </w:r>
      <w:r w:rsidRPr="006A31F0" w:rsidR="00F333BC">
        <w:rPr>
          <w:rFonts w:ascii="Verdana" w:hAnsi="Verdana" w:cs="Arial"/>
          <w:iCs/>
          <w:lang w:val="nl-NL"/>
        </w:rPr>
        <w:t xml:space="preserve"> als uitgangspunt een woonstaatheffing en </w:t>
      </w:r>
      <w:r w:rsidRPr="006A31F0" w:rsidR="00FD0DF2">
        <w:rPr>
          <w:rFonts w:ascii="Verdana" w:hAnsi="Verdana" w:cs="Arial"/>
          <w:iCs/>
          <w:lang w:val="nl-NL"/>
        </w:rPr>
        <w:t xml:space="preserve">wordt </w:t>
      </w:r>
      <w:r w:rsidRPr="006A31F0" w:rsidR="00E81EFC">
        <w:rPr>
          <w:rFonts w:ascii="Verdana" w:hAnsi="Verdana" w:cs="Arial"/>
          <w:iCs/>
          <w:lang w:val="nl-NL"/>
        </w:rPr>
        <w:t>het heffingsrecht over dergelijke socialezekerheidsuitkeringen</w:t>
      </w:r>
      <w:r w:rsidRPr="006A31F0" w:rsidR="002509C7">
        <w:rPr>
          <w:rFonts w:ascii="Verdana" w:hAnsi="Verdana" w:cs="Arial"/>
          <w:iCs/>
          <w:lang w:val="nl-NL"/>
        </w:rPr>
        <w:t xml:space="preserve"> </w:t>
      </w:r>
      <w:r w:rsidRPr="006A31F0" w:rsidR="00F333BC">
        <w:rPr>
          <w:rFonts w:ascii="Verdana" w:hAnsi="Verdana" w:cs="Arial"/>
          <w:iCs/>
          <w:lang w:val="nl-NL"/>
        </w:rPr>
        <w:t xml:space="preserve">toegewezen aan </w:t>
      </w:r>
      <w:r w:rsidRPr="006A31F0" w:rsidR="00FD0DF2">
        <w:rPr>
          <w:rFonts w:ascii="Verdana" w:hAnsi="Verdana" w:cs="Arial"/>
          <w:iCs/>
          <w:lang w:val="nl-NL"/>
        </w:rPr>
        <w:t xml:space="preserve">de </w:t>
      </w:r>
      <w:r w:rsidRPr="006A31F0" w:rsidR="00F333BC">
        <w:rPr>
          <w:rFonts w:ascii="Verdana" w:hAnsi="Verdana" w:cs="Arial"/>
          <w:iCs/>
          <w:lang w:val="nl-NL"/>
        </w:rPr>
        <w:t>bron</w:t>
      </w:r>
      <w:r w:rsidRPr="006A31F0" w:rsidR="00FD0DF2">
        <w:rPr>
          <w:rFonts w:ascii="Verdana" w:hAnsi="Verdana" w:cs="Arial"/>
          <w:iCs/>
          <w:lang w:val="nl-NL"/>
        </w:rPr>
        <w:t>staat</w:t>
      </w:r>
      <w:r w:rsidRPr="006A31F0" w:rsidR="00F333BC">
        <w:rPr>
          <w:rFonts w:ascii="Verdana" w:hAnsi="Verdana" w:cs="Arial"/>
          <w:iCs/>
          <w:lang w:val="nl-NL"/>
        </w:rPr>
        <w:t xml:space="preserve">, indien de door een </w:t>
      </w:r>
      <w:r w:rsidRPr="006A31F0" w:rsidR="00717157">
        <w:rPr>
          <w:rFonts w:ascii="Verdana" w:hAnsi="Verdana" w:cs="Arial"/>
          <w:iCs/>
          <w:lang w:val="nl-NL"/>
        </w:rPr>
        <w:t xml:space="preserve">inwoner van één van beide </w:t>
      </w:r>
      <w:r w:rsidRPr="006A31F0" w:rsidR="00FD0DF2">
        <w:rPr>
          <w:rFonts w:ascii="Verdana" w:hAnsi="Verdana" w:cs="Arial"/>
          <w:iCs/>
          <w:lang w:val="nl-NL"/>
        </w:rPr>
        <w:t xml:space="preserve">verdragsluitende </w:t>
      </w:r>
      <w:r w:rsidRPr="006A31F0" w:rsidR="00717157">
        <w:rPr>
          <w:rFonts w:ascii="Verdana" w:hAnsi="Verdana" w:cs="Arial"/>
          <w:iCs/>
          <w:lang w:val="nl-NL"/>
        </w:rPr>
        <w:t xml:space="preserve">staten uit de andere </w:t>
      </w:r>
      <w:r w:rsidRPr="006A31F0" w:rsidR="00FD0DF2">
        <w:rPr>
          <w:rFonts w:ascii="Verdana" w:hAnsi="Verdana" w:cs="Arial"/>
          <w:iCs/>
          <w:lang w:val="nl-NL"/>
        </w:rPr>
        <w:t xml:space="preserve">verdragsluitende </w:t>
      </w:r>
      <w:r w:rsidRPr="006A31F0" w:rsidR="00717157">
        <w:rPr>
          <w:rFonts w:ascii="Verdana" w:hAnsi="Verdana" w:cs="Arial"/>
          <w:iCs/>
          <w:lang w:val="nl-NL"/>
        </w:rPr>
        <w:t>staat</w:t>
      </w:r>
      <w:r w:rsidRPr="006A31F0" w:rsidR="00F333BC">
        <w:rPr>
          <w:rFonts w:ascii="Verdana" w:hAnsi="Verdana" w:cs="Arial"/>
          <w:iCs/>
          <w:lang w:val="nl-NL"/>
        </w:rPr>
        <w:t xml:space="preserve"> in een kalenderjaar genoten pensioen</w:t>
      </w:r>
      <w:r w:rsidRPr="006A31F0" w:rsidR="00A17B2E">
        <w:rPr>
          <w:rFonts w:ascii="Verdana" w:hAnsi="Verdana" w:cs="Arial"/>
          <w:iCs/>
          <w:lang w:val="nl-NL"/>
        </w:rPr>
        <w:t xml:space="preserve"> </w:t>
      </w:r>
      <w:r w:rsidRPr="006A31F0" w:rsidR="006D21BD">
        <w:rPr>
          <w:rFonts w:ascii="Verdana" w:hAnsi="Verdana" w:cs="Arial"/>
          <w:iCs/>
          <w:lang w:val="nl-NL"/>
        </w:rPr>
        <w:t>of</w:t>
      </w:r>
      <w:r w:rsidRPr="006A31F0" w:rsidR="00A17B2E">
        <w:rPr>
          <w:rFonts w:ascii="Verdana" w:hAnsi="Verdana" w:cs="Arial"/>
          <w:iCs/>
          <w:lang w:val="nl-NL"/>
        </w:rPr>
        <w:t xml:space="preserve"> andere soortgelijke beloningen,</w:t>
      </w:r>
      <w:r w:rsidRPr="006A31F0" w:rsidR="00F333BC">
        <w:rPr>
          <w:rFonts w:ascii="Verdana" w:hAnsi="Verdana" w:cs="Arial"/>
          <w:iCs/>
          <w:lang w:val="nl-NL"/>
        </w:rPr>
        <w:t xml:space="preserve"> lijfrenten </w:t>
      </w:r>
      <w:r w:rsidRPr="006A31F0" w:rsidR="00FD0DF2">
        <w:rPr>
          <w:rFonts w:ascii="Verdana" w:hAnsi="Verdana" w:cs="Arial"/>
          <w:iCs/>
          <w:lang w:val="nl-NL"/>
        </w:rPr>
        <w:t xml:space="preserve">en </w:t>
      </w:r>
      <w:r w:rsidRPr="006A31F0" w:rsidR="00F333BC">
        <w:rPr>
          <w:rFonts w:ascii="Verdana" w:hAnsi="Verdana" w:cs="Arial"/>
          <w:iCs/>
          <w:lang w:val="nl-NL"/>
        </w:rPr>
        <w:t>uitkeringen ingevolge het socialezekerheidsstelsel tezamen meer bedr</w:t>
      </w:r>
      <w:r w:rsidRPr="006A31F0" w:rsidR="00A17B2E">
        <w:rPr>
          <w:rFonts w:ascii="Verdana" w:hAnsi="Verdana" w:cs="Arial"/>
          <w:iCs/>
          <w:lang w:val="nl-NL"/>
        </w:rPr>
        <w:t>a</w:t>
      </w:r>
      <w:r w:rsidRPr="006A31F0" w:rsidR="00F333BC">
        <w:rPr>
          <w:rFonts w:ascii="Verdana" w:hAnsi="Verdana" w:cs="Arial"/>
          <w:iCs/>
          <w:lang w:val="nl-NL"/>
        </w:rPr>
        <w:t>gen dan € 15.000</w:t>
      </w:r>
      <w:r w:rsidRPr="006A31F0" w:rsidR="002509C7">
        <w:rPr>
          <w:rFonts w:ascii="Verdana" w:hAnsi="Verdana" w:cs="Arial"/>
          <w:iCs/>
          <w:lang w:val="nl-NL"/>
        </w:rPr>
        <w:t>.</w:t>
      </w:r>
      <w:r w:rsidRPr="006A31F0" w:rsidR="007F1918">
        <w:rPr>
          <w:rFonts w:ascii="Verdana" w:hAnsi="Verdana" w:cs="Arial"/>
          <w:iCs/>
          <w:lang w:val="nl-NL"/>
        </w:rPr>
        <w:t xml:space="preserve"> </w:t>
      </w:r>
      <w:r w:rsidRPr="006A31F0" w:rsidR="00444DE4">
        <w:rPr>
          <w:rFonts w:ascii="Verdana" w:hAnsi="Verdana" w:cs="Arial"/>
          <w:iCs/>
          <w:lang w:val="nl-NL"/>
        </w:rPr>
        <w:t xml:space="preserve">De </w:t>
      </w:r>
      <w:r w:rsidRPr="006A31F0" w:rsidR="0029171C">
        <w:rPr>
          <w:rFonts w:ascii="Verdana" w:hAnsi="Verdana" w:cs="Arial"/>
          <w:iCs/>
          <w:lang w:val="nl-NL"/>
        </w:rPr>
        <w:t>hiervoor benodigde</w:t>
      </w:r>
      <w:r w:rsidRPr="006A31F0" w:rsidR="00444DE4">
        <w:rPr>
          <w:rFonts w:ascii="Verdana" w:hAnsi="Verdana" w:cs="Arial"/>
          <w:iCs/>
          <w:lang w:val="nl-NL"/>
        </w:rPr>
        <w:t xml:space="preserve"> </w:t>
      </w:r>
      <w:r w:rsidRPr="006A31F0" w:rsidR="00D35039">
        <w:rPr>
          <w:rFonts w:ascii="Verdana" w:hAnsi="Verdana" w:cs="Arial"/>
          <w:iCs/>
          <w:lang w:val="nl-NL"/>
        </w:rPr>
        <w:t>wijziging</w:t>
      </w:r>
      <w:r w:rsidRPr="006A31F0" w:rsidR="00444DE4">
        <w:rPr>
          <w:rFonts w:ascii="Verdana" w:hAnsi="Verdana" w:cs="Arial"/>
          <w:iCs/>
          <w:lang w:val="nl-NL"/>
        </w:rPr>
        <w:t>en</w:t>
      </w:r>
      <w:r w:rsidRPr="006A31F0" w:rsidR="00D35039">
        <w:rPr>
          <w:rFonts w:ascii="Verdana" w:hAnsi="Verdana" w:cs="Arial"/>
          <w:iCs/>
          <w:lang w:val="nl-NL"/>
        </w:rPr>
        <w:t xml:space="preserve"> </w:t>
      </w:r>
      <w:r w:rsidRPr="006A31F0" w:rsidR="00444DE4">
        <w:rPr>
          <w:rFonts w:ascii="Verdana" w:hAnsi="Verdana" w:cs="Arial"/>
          <w:iCs/>
          <w:lang w:val="nl-NL"/>
        </w:rPr>
        <w:t xml:space="preserve">zijn </w:t>
      </w:r>
      <w:r w:rsidRPr="006A31F0" w:rsidR="007F1918">
        <w:rPr>
          <w:rFonts w:ascii="Verdana" w:hAnsi="Verdana" w:cs="Arial"/>
          <w:iCs/>
          <w:lang w:val="nl-NL"/>
        </w:rPr>
        <w:t xml:space="preserve">opgenomen in het eerste tot en met derde lid van het nieuwe </w:t>
      </w:r>
      <w:r w:rsidRPr="006A31F0" w:rsidR="00C41105">
        <w:rPr>
          <w:rFonts w:ascii="Verdana" w:hAnsi="Verdana" w:cs="Arial"/>
          <w:iCs/>
          <w:lang w:val="nl-NL"/>
        </w:rPr>
        <w:t>artikel 17</w:t>
      </w:r>
      <w:r w:rsidRPr="006A31F0" w:rsidR="00D35039">
        <w:rPr>
          <w:rFonts w:ascii="Verdana" w:hAnsi="Verdana" w:cs="Arial"/>
          <w:iCs/>
          <w:lang w:val="nl-NL"/>
        </w:rPr>
        <w:t xml:space="preserve">. </w:t>
      </w:r>
      <w:r w:rsidR="009E2FDC">
        <w:rPr>
          <w:rFonts w:ascii="Verdana" w:hAnsi="Verdana" w:cs="Arial"/>
          <w:iCs/>
          <w:lang w:val="nl-NL"/>
        </w:rPr>
        <w:t>Hieronder</w:t>
      </w:r>
      <w:r w:rsidRPr="006A31F0" w:rsidR="009E2FDC">
        <w:rPr>
          <w:rFonts w:ascii="Verdana" w:hAnsi="Verdana" w:cs="Arial"/>
          <w:iCs/>
          <w:lang w:val="nl-NL"/>
        </w:rPr>
        <w:t xml:space="preserve"> </w:t>
      </w:r>
      <w:r w:rsidRPr="006A31F0" w:rsidR="005714B8">
        <w:rPr>
          <w:rFonts w:ascii="Verdana" w:hAnsi="Verdana" w:cs="Arial"/>
          <w:iCs/>
          <w:lang w:val="nl-NL"/>
        </w:rPr>
        <w:t>word</w:t>
      </w:r>
      <w:r w:rsidRPr="006A31F0" w:rsidR="00C81E3E">
        <w:rPr>
          <w:rFonts w:ascii="Verdana" w:hAnsi="Verdana" w:cs="Arial"/>
          <w:iCs/>
          <w:lang w:val="nl-NL"/>
        </w:rPr>
        <w:t xml:space="preserve">t het nieuwe artikel 17 </w:t>
      </w:r>
      <w:r w:rsidRPr="006A31F0" w:rsidR="005714B8">
        <w:rPr>
          <w:rFonts w:ascii="Verdana" w:hAnsi="Verdana" w:cs="Arial"/>
          <w:iCs/>
          <w:lang w:val="nl-NL"/>
        </w:rPr>
        <w:t>per lid nader toegelicht.</w:t>
      </w:r>
    </w:p>
    <w:p w:rsidRPr="006A31F0" w:rsidR="002509C7" w:rsidP="006A31F0" w:rsidRDefault="007F1918" w14:paraId="0928CC85" w14:textId="51647320">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r>
      <w:r w:rsidRPr="006A31F0" w:rsidR="001221C3">
        <w:rPr>
          <w:rFonts w:ascii="Verdana" w:hAnsi="Verdana" w:cs="Arial"/>
          <w:iCs/>
          <w:lang w:val="nl-NL"/>
        </w:rPr>
        <w:t xml:space="preserve">Het </w:t>
      </w:r>
      <w:r w:rsidRPr="006A31F0" w:rsidR="002509C7">
        <w:rPr>
          <w:rFonts w:ascii="Verdana" w:hAnsi="Verdana" w:cs="Arial"/>
          <w:iCs/>
          <w:lang w:val="nl-NL"/>
        </w:rPr>
        <w:t xml:space="preserve">eerste lid bepaalt dat voor pensioenen </w:t>
      </w:r>
      <w:r w:rsidRPr="006A31F0" w:rsidR="008944BB">
        <w:rPr>
          <w:rFonts w:ascii="Verdana" w:hAnsi="Verdana" w:cs="Arial"/>
          <w:iCs/>
          <w:lang w:val="nl-NL"/>
        </w:rPr>
        <w:t xml:space="preserve">en </w:t>
      </w:r>
      <w:r w:rsidRPr="006A31F0" w:rsidR="002509C7">
        <w:rPr>
          <w:rFonts w:ascii="Verdana" w:hAnsi="Verdana" w:cs="Arial"/>
          <w:iCs/>
          <w:lang w:val="nl-NL"/>
        </w:rPr>
        <w:t>andere soortgelijke beloningen, lijfrenten en uitkeringen betaald krachtens de bepalingen van een social</w:t>
      </w:r>
      <w:r w:rsidR="006E69CE">
        <w:rPr>
          <w:rFonts w:ascii="Verdana" w:hAnsi="Verdana" w:cs="Arial"/>
          <w:iCs/>
          <w:lang w:val="nl-NL"/>
        </w:rPr>
        <w:t>e</w:t>
      </w:r>
      <w:r w:rsidRPr="006A31F0" w:rsidR="002509C7">
        <w:rPr>
          <w:rFonts w:ascii="Verdana" w:hAnsi="Verdana" w:cs="Arial"/>
          <w:iCs/>
          <w:lang w:val="nl-NL"/>
        </w:rPr>
        <w:t xml:space="preserve">zekerheidsstelsel van een </w:t>
      </w:r>
      <w:r w:rsidR="006E69CE">
        <w:rPr>
          <w:rFonts w:ascii="Verdana" w:hAnsi="Verdana" w:cs="Arial"/>
          <w:iCs/>
          <w:lang w:val="nl-NL"/>
        </w:rPr>
        <w:t>v</w:t>
      </w:r>
      <w:r w:rsidRPr="006A31F0" w:rsidR="002509C7">
        <w:rPr>
          <w:rFonts w:ascii="Verdana" w:hAnsi="Verdana" w:cs="Arial"/>
          <w:iCs/>
          <w:lang w:val="nl-NL"/>
        </w:rPr>
        <w:t xml:space="preserve">erdragsluitende </w:t>
      </w:r>
      <w:r w:rsidR="006E69CE">
        <w:rPr>
          <w:rFonts w:ascii="Verdana" w:hAnsi="Verdana" w:cs="Arial"/>
          <w:iCs/>
          <w:lang w:val="nl-NL"/>
        </w:rPr>
        <w:t>s</w:t>
      </w:r>
      <w:r w:rsidRPr="006A31F0" w:rsidR="002509C7">
        <w:rPr>
          <w:rFonts w:ascii="Verdana" w:hAnsi="Verdana" w:cs="Arial"/>
          <w:iCs/>
          <w:lang w:val="nl-NL"/>
        </w:rPr>
        <w:t>taat als uitgangspunt een woonstaatheffing geldt.</w:t>
      </w:r>
    </w:p>
    <w:p w:rsidRPr="006A31F0" w:rsidR="005E2A77" w:rsidP="006A31F0" w:rsidRDefault="002509C7" w14:paraId="7D3AC701" w14:textId="7D874F8D">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t xml:space="preserve">Ingevolge </w:t>
      </w:r>
      <w:r w:rsidRPr="006A31F0" w:rsidR="001221C3">
        <w:rPr>
          <w:rFonts w:ascii="Verdana" w:hAnsi="Verdana" w:cs="Arial"/>
          <w:iCs/>
          <w:lang w:val="nl-NL"/>
        </w:rPr>
        <w:t xml:space="preserve">het </w:t>
      </w:r>
      <w:r w:rsidRPr="006A31F0">
        <w:rPr>
          <w:rFonts w:ascii="Verdana" w:hAnsi="Verdana" w:cs="Arial"/>
          <w:iCs/>
          <w:lang w:val="nl-NL"/>
        </w:rPr>
        <w:t>tweede lid mogen pensioenen</w:t>
      </w:r>
      <w:r w:rsidRPr="006A31F0" w:rsidR="00E81EFC">
        <w:rPr>
          <w:rFonts w:ascii="Verdana" w:hAnsi="Verdana" w:cs="Arial"/>
          <w:iCs/>
          <w:lang w:val="nl-NL"/>
        </w:rPr>
        <w:t xml:space="preserve"> </w:t>
      </w:r>
      <w:r w:rsidRPr="006A31F0" w:rsidR="008944BB">
        <w:rPr>
          <w:rFonts w:ascii="Verdana" w:hAnsi="Verdana" w:cs="Arial"/>
          <w:iCs/>
          <w:lang w:val="nl-NL"/>
        </w:rPr>
        <w:t xml:space="preserve">en </w:t>
      </w:r>
      <w:r w:rsidRPr="006A31F0" w:rsidR="0032656E">
        <w:rPr>
          <w:rFonts w:ascii="Verdana" w:hAnsi="Verdana" w:cs="Arial"/>
          <w:iCs/>
          <w:lang w:val="nl-NL"/>
        </w:rPr>
        <w:t>andere soortgelijke beloningen</w:t>
      </w:r>
      <w:r w:rsidRPr="006A31F0" w:rsidR="006D21BD">
        <w:rPr>
          <w:rFonts w:ascii="Verdana" w:hAnsi="Verdana" w:cs="Arial"/>
          <w:iCs/>
          <w:lang w:val="nl-NL"/>
        </w:rPr>
        <w:t>,</w:t>
      </w:r>
      <w:r w:rsidRPr="006A31F0" w:rsidR="0032656E">
        <w:rPr>
          <w:rFonts w:ascii="Verdana" w:hAnsi="Verdana" w:cs="Arial"/>
          <w:iCs/>
          <w:lang w:val="nl-NL"/>
        </w:rPr>
        <w:t xml:space="preserve"> </w:t>
      </w:r>
      <w:r w:rsidRPr="006A31F0">
        <w:rPr>
          <w:rFonts w:ascii="Verdana" w:hAnsi="Verdana" w:cs="Arial"/>
          <w:iCs/>
          <w:lang w:val="nl-NL"/>
        </w:rPr>
        <w:t>lijfrenten</w:t>
      </w:r>
      <w:r w:rsidRPr="006A31F0" w:rsidR="006D21BD">
        <w:rPr>
          <w:rFonts w:ascii="Verdana" w:hAnsi="Verdana" w:cs="Arial"/>
          <w:iCs/>
          <w:lang w:val="nl-NL"/>
        </w:rPr>
        <w:t>,</w:t>
      </w:r>
      <w:r w:rsidRPr="006A31F0">
        <w:rPr>
          <w:rFonts w:ascii="Verdana" w:hAnsi="Verdana" w:cs="Arial"/>
          <w:iCs/>
          <w:lang w:val="nl-NL"/>
        </w:rPr>
        <w:t xml:space="preserve"> alsmede pensioenen </w:t>
      </w:r>
      <w:r w:rsidRPr="006A31F0" w:rsidR="005E2A77">
        <w:rPr>
          <w:rFonts w:ascii="Verdana" w:hAnsi="Verdana" w:cs="Arial"/>
          <w:iCs/>
          <w:lang w:val="nl-NL"/>
        </w:rPr>
        <w:t xml:space="preserve">betaald </w:t>
      </w:r>
      <w:r w:rsidRPr="006A31F0" w:rsidR="00B7478C">
        <w:rPr>
          <w:rFonts w:ascii="Verdana" w:hAnsi="Verdana" w:cs="Arial"/>
          <w:iCs/>
          <w:lang w:val="nl-NL"/>
        </w:rPr>
        <w:t>krachtens de bepalingen van</w:t>
      </w:r>
      <w:r w:rsidRPr="006A31F0" w:rsidR="005E2A77">
        <w:rPr>
          <w:rFonts w:ascii="Verdana" w:hAnsi="Verdana" w:cs="Arial"/>
          <w:iCs/>
          <w:lang w:val="nl-NL"/>
        </w:rPr>
        <w:t xml:space="preserve"> het Nederlandse of Duitse socialezekerheidsstelsel (</w:t>
      </w:r>
      <w:r w:rsidRPr="006A31F0" w:rsidR="004737F1">
        <w:rPr>
          <w:rFonts w:ascii="Verdana" w:hAnsi="Verdana" w:cs="Arial"/>
          <w:iCs/>
          <w:lang w:val="nl-NL"/>
        </w:rPr>
        <w:t>‘</w:t>
      </w:r>
      <w:proofErr w:type="spellStart"/>
      <w:r w:rsidRPr="006A31F0" w:rsidR="004737F1">
        <w:rPr>
          <w:rFonts w:ascii="Verdana" w:hAnsi="Verdana" w:cs="Arial"/>
          <w:iCs/>
          <w:lang w:val="nl-NL"/>
        </w:rPr>
        <w:t>socialezekerheidspensioen</w:t>
      </w:r>
      <w:proofErr w:type="spellEnd"/>
      <w:r w:rsidRPr="006A31F0" w:rsidR="004737F1">
        <w:rPr>
          <w:rFonts w:ascii="Verdana" w:hAnsi="Verdana" w:cs="Arial"/>
          <w:iCs/>
          <w:lang w:val="nl-NL"/>
        </w:rPr>
        <w:t>’</w:t>
      </w:r>
      <w:r w:rsidRPr="006A31F0" w:rsidR="005E2A77">
        <w:rPr>
          <w:rFonts w:ascii="Verdana" w:hAnsi="Verdana" w:cs="Arial"/>
          <w:iCs/>
          <w:lang w:val="nl-NL"/>
        </w:rPr>
        <w:t xml:space="preserve">) </w:t>
      </w:r>
      <w:r w:rsidRPr="006A31F0" w:rsidR="009E4BE7">
        <w:rPr>
          <w:rFonts w:ascii="Verdana" w:hAnsi="Verdana" w:cs="Arial"/>
          <w:iCs/>
          <w:lang w:val="nl-NL"/>
        </w:rPr>
        <w:t xml:space="preserve">die worden </w:t>
      </w:r>
      <w:r w:rsidRPr="006A31F0" w:rsidR="0032656E">
        <w:rPr>
          <w:rFonts w:ascii="Verdana" w:hAnsi="Verdana" w:cs="Arial"/>
          <w:iCs/>
          <w:lang w:val="nl-NL"/>
        </w:rPr>
        <w:t xml:space="preserve">genoten door een inwoner van een verdragsluitende staat </w:t>
      </w:r>
      <w:r w:rsidRPr="006A31F0">
        <w:rPr>
          <w:rFonts w:ascii="Verdana" w:hAnsi="Verdana" w:cs="Arial"/>
          <w:iCs/>
          <w:lang w:val="nl-NL"/>
        </w:rPr>
        <w:t xml:space="preserve">ook in de </w:t>
      </w:r>
      <w:r w:rsidRPr="006A31F0" w:rsidR="0032656E">
        <w:rPr>
          <w:rFonts w:ascii="Verdana" w:hAnsi="Verdana" w:cs="Arial"/>
          <w:iCs/>
          <w:lang w:val="nl-NL"/>
        </w:rPr>
        <w:t xml:space="preserve">andere verdragsluitende staat </w:t>
      </w:r>
      <w:r w:rsidRPr="006A31F0">
        <w:rPr>
          <w:rFonts w:ascii="Verdana" w:hAnsi="Verdana" w:cs="Arial"/>
          <w:iCs/>
          <w:lang w:val="nl-NL"/>
        </w:rPr>
        <w:t>worden belast</w:t>
      </w:r>
      <w:r w:rsidRPr="006A31F0" w:rsidR="00E81EFC">
        <w:rPr>
          <w:rFonts w:ascii="Verdana" w:hAnsi="Verdana" w:cs="Arial"/>
          <w:iCs/>
          <w:lang w:val="nl-NL"/>
        </w:rPr>
        <w:t xml:space="preserve"> a</w:t>
      </w:r>
      <w:r w:rsidRPr="006A31F0">
        <w:rPr>
          <w:rFonts w:ascii="Verdana" w:hAnsi="Verdana" w:cs="Arial"/>
          <w:iCs/>
          <w:lang w:val="nl-NL"/>
        </w:rPr>
        <w:t>ls het gezamenlijke brutobedrag van de door de belastingplichtige in een kalenderjaar genoten pensioen</w:t>
      </w:r>
      <w:r w:rsidRPr="006A31F0" w:rsidR="00E859A1">
        <w:rPr>
          <w:rFonts w:ascii="Verdana" w:hAnsi="Verdana" w:cs="Arial"/>
          <w:iCs/>
          <w:lang w:val="nl-NL"/>
        </w:rPr>
        <w:t xml:space="preserve">en </w:t>
      </w:r>
      <w:r w:rsidRPr="006A31F0" w:rsidR="000D723F">
        <w:rPr>
          <w:rFonts w:ascii="Verdana" w:hAnsi="Verdana" w:cs="Arial"/>
          <w:iCs/>
          <w:lang w:val="nl-NL"/>
        </w:rPr>
        <w:t xml:space="preserve">en </w:t>
      </w:r>
      <w:r w:rsidRPr="006A31F0" w:rsidR="00E859A1">
        <w:rPr>
          <w:rFonts w:ascii="Verdana" w:hAnsi="Verdana" w:cs="Arial"/>
          <w:iCs/>
          <w:lang w:val="nl-NL"/>
        </w:rPr>
        <w:t>andere soortgelijke beloningen,</w:t>
      </w:r>
      <w:r w:rsidRPr="006A31F0">
        <w:rPr>
          <w:rFonts w:ascii="Verdana" w:hAnsi="Verdana" w:cs="Arial"/>
          <w:iCs/>
          <w:lang w:val="nl-NL"/>
        </w:rPr>
        <w:t xml:space="preserve"> </w:t>
      </w:r>
      <w:r w:rsidRPr="006A31F0" w:rsidR="000D723F">
        <w:rPr>
          <w:rFonts w:ascii="Verdana" w:hAnsi="Verdana" w:cs="Arial"/>
          <w:iCs/>
          <w:lang w:val="nl-NL"/>
        </w:rPr>
        <w:t xml:space="preserve">alsmede </w:t>
      </w:r>
      <w:r w:rsidRPr="006A31F0">
        <w:rPr>
          <w:rFonts w:ascii="Verdana" w:hAnsi="Verdana" w:cs="Arial"/>
          <w:iCs/>
          <w:lang w:val="nl-NL"/>
        </w:rPr>
        <w:t xml:space="preserve">lijfrenten </w:t>
      </w:r>
      <w:r w:rsidRPr="006A31F0" w:rsidR="009F7F11">
        <w:rPr>
          <w:rFonts w:ascii="Verdana" w:hAnsi="Verdana" w:cs="Arial"/>
          <w:iCs/>
          <w:lang w:val="nl-NL"/>
        </w:rPr>
        <w:t>en</w:t>
      </w:r>
      <w:r w:rsidRPr="006A31F0">
        <w:rPr>
          <w:rFonts w:ascii="Verdana" w:hAnsi="Verdana" w:cs="Arial"/>
          <w:iCs/>
          <w:lang w:val="nl-NL"/>
        </w:rPr>
        <w:t xml:space="preserve"> </w:t>
      </w:r>
      <w:r w:rsidRPr="006A31F0" w:rsidR="005E2A77">
        <w:rPr>
          <w:rFonts w:ascii="Verdana" w:hAnsi="Verdana" w:cs="Arial"/>
          <w:iCs/>
          <w:lang w:val="nl-NL"/>
        </w:rPr>
        <w:t>socialezekerheidspensioen</w:t>
      </w:r>
      <w:r w:rsidRPr="006A31F0" w:rsidR="00C41105">
        <w:rPr>
          <w:rFonts w:ascii="Verdana" w:hAnsi="Verdana" w:cs="Arial"/>
          <w:iCs/>
          <w:lang w:val="nl-NL"/>
        </w:rPr>
        <w:t>en</w:t>
      </w:r>
      <w:r w:rsidRPr="006A31F0">
        <w:rPr>
          <w:rFonts w:ascii="Verdana" w:hAnsi="Verdana" w:cs="Arial"/>
          <w:iCs/>
          <w:lang w:val="nl-NL"/>
        </w:rPr>
        <w:t xml:space="preserve"> </w:t>
      </w:r>
      <w:r w:rsidRPr="006A31F0" w:rsidR="009F7F11">
        <w:rPr>
          <w:rFonts w:ascii="Verdana" w:hAnsi="Verdana" w:cs="Arial"/>
          <w:iCs/>
          <w:lang w:val="nl-NL"/>
        </w:rPr>
        <w:t>uit</w:t>
      </w:r>
      <w:r w:rsidRPr="006A31F0">
        <w:rPr>
          <w:rFonts w:ascii="Verdana" w:hAnsi="Verdana" w:cs="Arial"/>
          <w:iCs/>
          <w:lang w:val="nl-NL"/>
        </w:rPr>
        <w:t xml:space="preserve"> </w:t>
      </w:r>
      <w:r w:rsidRPr="006A31F0" w:rsidR="009F7F11">
        <w:rPr>
          <w:rFonts w:ascii="Verdana" w:hAnsi="Verdana" w:cs="Arial"/>
          <w:iCs/>
          <w:lang w:val="nl-NL"/>
        </w:rPr>
        <w:t>d</w:t>
      </w:r>
      <w:r w:rsidRPr="006A31F0" w:rsidR="0032656E">
        <w:rPr>
          <w:rFonts w:ascii="Verdana" w:hAnsi="Verdana" w:cs="Arial"/>
          <w:iCs/>
          <w:lang w:val="nl-NL"/>
        </w:rPr>
        <w:t>i</w:t>
      </w:r>
      <w:r w:rsidRPr="006A31F0" w:rsidR="009F7F11">
        <w:rPr>
          <w:rFonts w:ascii="Verdana" w:hAnsi="Verdana" w:cs="Arial"/>
          <w:iCs/>
          <w:lang w:val="nl-NL"/>
        </w:rPr>
        <w:t>e andere staat</w:t>
      </w:r>
      <w:r w:rsidRPr="006A31F0" w:rsidR="00C41105">
        <w:rPr>
          <w:rFonts w:ascii="Verdana" w:hAnsi="Verdana" w:cs="Arial"/>
          <w:iCs/>
          <w:lang w:val="nl-NL"/>
        </w:rPr>
        <w:t xml:space="preserve"> </w:t>
      </w:r>
      <w:r w:rsidRPr="006A31F0" w:rsidR="0032656E">
        <w:rPr>
          <w:rFonts w:ascii="Verdana" w:hAnsi="Verdana" w:cs="Arial"/>
          <w:iCs/>
          <w:lang w:val="nl-NL"/>
        </w:rPr>
        <w:t xml:space="preserve">(de bronstaat) </w:t>
      </w:r>
      <w:r w:rsidRPr="006A31F0" w:rsidR="00C41105">
        <w:rPr>
          <w:rFonts w:ascii="Verdana" w:hAnsi="Verdana" w:cs="Arial"/>
          <w:iCs/>
          <w:lang w:val="nl-NL"/>
        </w:rPr>
        <w:t xml:space="preserve">meer bedraagt dan € 15.000. </w:t>
      </w:r>
      <w:r w:rsidRPr="006A31F0" w:rsidR="009F7F11">
        <w:rPr>
          <w:rFonts w:ascii="Verdana" w:hAnsi="Verdana" w:cs="Arial"/>
          <w:iCs/>
          <w:lang w:val="nl-NL"/>
        </w:rPr>
        <w:t xml:space="preserve">De woonstaat </w:t>
      </w:r>
      <w:r w:rsidRPr="006A31F0" w:rsidR="00B94A20">
        <w:rPr>
          <w:rFonts w:ascii="Verdana" w:hAnsi="Verdana" w:cs="Arial"/>
          <w:iCs/>
          <w:lang w:val="nl-NL"/>
        </w:rPr>
        <w:t xml:space="preserve">voorziet </w:t>
      </w:r>
      <w:r w:rsidRPr="006A31F0" w:rsidR="009F7F11">
        <w:rPr>
          <w:rFonts w:ascii="Verdana" w:hAnsi="Verdana" w:cs="Arial"/>
          <w:iCs/>
          <w:lang w:val="nl-NL"/>
        </w:rPr>
        <w:t xml:space="preserve">dan </w:t>
      </w:r>
      <w:r w:rsidRPr="006A31F0" w:rsidR="00B94A20">
        <w:rPr>
          <w:rFonts w:ascii="Verdana" w:hAnsi="Verdana" w:cs="Arial"/>
          <w:iCs/>
          <w:lang w:val="nl-NL"/>
        </w:rPr>
        <w:t>in het vermijden</w:t>
      </w:r>
      <w:r w:rsidRPr="006A31F0" w:rsidR="009F7F11">
        <w:rPr>
          <w:rFonts w:ascii="Verdana" w:hAnsi="Verdana" w:cs="Arial"/>
          <w:iCs/>
          <w:lang w:val="nl-NL"/>
        </w:rPr>
        <w:t xml:space="preserve"> van dubbele belasting (zie</w:t>
      </w:r>
      <w:r w:rsidRPr="006A31F0" w:rsidR="00B94A20">
        <w:rPr>
          <w:rFonts w:ascii="Verdana" w:hAnsi="Verdana" w:cs="Arial"/>
          <w:iCs/>
          <w:lang w:val="nl-NL"/>
        </w:rPr>
        <w:t xml:space="preserve"> de toelichting</w:t>
      </w:r>
      <w:r w:rsidRPr="006A31F0" w:rsidR="00ED16E3">
        <w:rPr>
          <w:rFonts w:ascii="Verdana" w:hAnsi="Verdana" w:cs="Arial"/>
          <w:iCs/>
          <w:lang w:val="nl-NL"/>
        </w:rPr>
        <w:t xml:space="preserve"> op</w:t>
      </w:r>
      <w:r w:rsidRPr="006A31F0" w:rsidR="009F7F11">
        <w:rPr>
          <w:rFonts w:ascii="Verdana" w:hAnsi="Verdana" w:cs="Arial"/>
          <w:iCs/>
          <w:lang w:val="nl-NL"/>
        </w:rPr>
        <w:t xml:space="preserve"> </w:t>
      </w:r>
      <w:r w:rsidRPr="006A31F0" w:rsidR="006F36FB">
        <w:rPr>
          <w:rFonts w:ascii="Verdana" w:hAnsi="Verdana" w:cs="Arial"/>
          <w:iCs/>
          <w:lang w:val="nl-NL"/>
        </w:rPr>
        <w:t>a</w:t>
      </w:r>
      <w:r w:rsidRPr="006A31F0" w:rsidR="009F7F11">
        <w:rPr>
          <w:rFonts w:ascii="Verdana" w:hAnsi="Verdana" w:cs="Arial"/>
          <w:iCs/>
          <w:lang w:val="nl-NL"/>
        </w:rPr>
        <w:t>rtikel V van het Wijzigingsprotocol).</w:t>
      </w:r>
      <w:r w:rsidRPr="006A31F0" w:rsidR="002F658B">
        <w:rPr>
          <w:rFonts w:ascii="Verdana" w:hAnsi="Verdana" w:cs="Arial"/>
          <w:iCs/>
          <w:lang w:val="nl-NL"/>
        </w:rPr>
        <w:t xml:space="preserve"> Met deze wijziging wordt bereikt dat</w:t>
      </w:r>
      <w:r w:rsidRPr="006A31F0" w:rsidR="009F7F11">
        <w:rPr>
          <w:rFonts w:ascii="Verdana" w:hAnsi="Verdana" w:cs="Arial"/>
          <w:iCs/>
          <w:lang w:val="nl-NL"/>
        </w:rPr>
        <w:t xml:space="preserve"> </w:t>
      </w:r>
      <w:r w:rsidRPr="006A31F0" w:rsidR="002F658B">
        <w:rPr>
          <w:rFonts w:ascii="Verdana" w:hAnsi="Verdana" w:cs="Arial"/>
          <w:iCs/>
          <w:lang w:val="nl-NL"/>
        </w:rPr>
        <w:t>s</w:t>
      </w:r>
      <w:r w:rsidRPr="006A31F0" w:rsidR="005E2A77">
        <w:rPr>
          <w:rFonts w:ascii="Verdana" w:hAnsi="Verdana" w:cs="Arial"/>
          <w:iCs/>
          <w:lang w:val="nl-NL"/>
        </w:rPr>
        <w:t>ocialezekerheidsuitkeringen</w:t>
      </w:r>
      <w:r w:rsidRPr="006A31F0" w:rsidR="00C41105">
        <w:rPr>
          <w:rFonts w:ascii="Verdana" w:hAnsi="Verdana" w:cs="Arial"/>
          <w:iCs/>
          <w:lang w:val="nl-NL"/>
        </w:rPr>
        <w:t>,</w:t>
      </w:r>
      <w:r w:rsidRPr="006A31F0" w:rsidR="005E2A77">
        <w:rPr>
          <w:rFonts w:ascii="Verdana" w:hAnsi="Verdana" w:cs="Arial"/>
          <w:iCs/>
          <w:lang w:val="nl-NL"/>
        </w:rPr>
        <w:t xml:space="preserve"> </w:t>
      </w:r>
      <w:r w:rsidRPr="006A31F0" w:rsidR="009F7F11">
        <w:rPr>
          <w:rFonts w:ascii="Verdana" w:hAnsi="Verdana" w:cs="Arial"/>
          <w:iCs/>
          <w:lang w:val="nl-NL"/>
        </w:rPr>
        <w:t>anders dan een</w:t>
      </w:r>
      <w:r w:rsidRPr="006A31F0" w:rsidR="005E2A77">
        <w:rPr>
          <w:rFonts w:ascii="Verdana" w:hAnsi="Verdana" w:cs="Arial"/>
          <w:iCs/>
          <w:lang w:val="nl-NL"/>
        </w:rPr>
        <w:t xml:space="preserve"> </w:t>
      </w:r>
      <w:proofErr w:type="spellStart"/>
      <w:r w:rsidRPr="006A31F0" w:rsidR="005E2A77">
        <w:rPr>
          <w:rFonts w:ascii="Verdana" w:hAnsi="Verdana" w:cs="Arial"/>
          <w:iCs/>
          <w:lang w:val="nl-NL"/>
        </w:rPr>
        <w:t>socialezekerheidspensioen</w:t>
      </w:r>
      <w:proofErr w:type="spellEnd"/>
      <w:r w:rsidRPr="006A31F0" w:rsidR="005E2A77">
        <w:rPr>
          <w:rFonts w:ascii="Verdana" w:hAnsi="Verdana" w:cs="Arial"/>
          <w:iCs/>
          <w:lang w:val="nl-NL"/>
        </w:rPr>
        <w:t>, niet langer binnen de reikwijdte van artikel 17, tweede lid</w:t>
      </w:r>
      <w:r w:rsidRPr="006A31F0" w:rsidR="000C6045">
        <w:rPr>
          <w:rFonts w:ascii="Verdana" w:hAnsi="Verdana" w:cs="Arial"/>
          <w:iCs/>
          <w:lang w:val="nl-NL"/>
        </w:rPr>
        <w:t>,</w:t>
      </w:r>
      <w:r w:rsidRPr="006A31F0" w:rsidR="009F7F11">
        <w:rPr>
          <w:rFonts w:ascii="Verdana" w:hAnsi="Verdana" w:cs="Arial"/>
          <w:iCs/>
          <w:lang w:val="nl-NL"/>
        </w:rPr>
        <w:t xml:space="preserve"> van het Verdrag</w:t>
      </w:r>
      <w:r w:rsidRPr="006A31F0" w:rsidR="002F658B">
        <w:rPr>
          <w:rFonts w:ascii="Verdana" w:hAnsi="Verdana" w:cs="Arial"/>
          <w:iCs/>
          <w:lang w:val="nl-NL"/>
        </w:rPr>
        <w:t xml:space="preserve"> vallen</w:t>
      </w:r>
      <w:r w:rsidRPr="006A31F0" w:rsidR="005E2A77">
        <w:rPr>
          <w:rFonts w:ascii="Verdana" w:hAnsi="Verdana" w:cs="Arial"/>
          <w:iCs/>
          <w:lang w:val="nl-NL"/>
        </w:rPr>
        <w:t>.</w:t>
      </w:r>
      <w:r w:rsidRPr="006A31F0" w:rsidR="001221C3">
        <w:rPr>
          <w:rFonts w:ascii="Verdana" w:hAnsi="Verdana" w:cs="Arial"/>
          <w:iCs/>
          <w:lang w:val="nl-NL"/>
        </w:rPr>
        <w:t xml:space="preserve"> </w:t>
      </w:r>
      <w:r w:rsidRPr="006A31F0" w:rsidR="00974B4B">
        <w:rPr>
          <w:rFonts w:ascii="Verdana" w:hAnsi="Verdana" w:cs="Arial"/>
          <w:iCs/>
          <w:lang w:val="nl-NL"/>
        </w:rPr>
        <w:t>In h</w:t>
      </w:r>
      <w:r w:rsidRPr="006A31F0" w:rsidR="00E81EFC">
        <w:rPr>
          <w:rFonts w:ascii="Verdana" w:hAnsi="Verdana" w:cs="Arial"/>
          <w:iCs/>
          <w:lang w:val="nl-NL"/>
        </w:rPr>
        <w:t xml:space="preserve">et </w:t>
      </w:r>
      <w:r w:rsidRPr="006A31F0" w:rsidR="00974B4B">
        <w:rPr>
          <w:rFonts w:ascii="Verdana" w:hAnsi="Verdana" w:cs="Arial"/>
          <w:iCs/>
          <w:lang w:val="nl-NL"/>
        </w:rPr>
        <w:t xml:space="preserve">nieuwe </w:t>
      </w:r>
      <w:r w:rsidRPr="006A31F0" w:rsidR="00366667">
        <w:rPr>
          <w:rFonts w:ascii="Verdana" w:hAnsi="Verdana" w:cs="Arial"/>
          <w:iCs/>
          <w:lang w:val="nl-NL"/>
        </w:rPr>
        <w:lastRenderedPageBreak/>
        <w:t xml:space="preserve">artikel </w:t>
      </w:r>
      <w:r w:rsidRPr="006A31F0" w:rsidR="00E81EFC">
        <w:rPr>
          <w:rFonts w:ascii="Verdana" w:hAnsi="Verdana" w:cs="Arial"/>
          <w:iCs/>
          <w:lang w:val="nl-NL"/>
        </w:rPr>
        <w:t xml:space="preserve">XIII van het Protocol bij het Verdrag </w:t>
      </w:r>
      <w:r w:rsidR="00B21B98">
        <w:rPr>
          <w:rFonts w:ascii="Verdana" w:hAnsi="Verdana" w:cs="Arial"/>
          <w:iCs/>
          <w:lang w:val="nl-NL"/>
        </w:rPr>
        <w:t xml:space="preserve">(Ad artikel 17) </w:t>
      </w:r>
      <w:r w:rsidRPr="006A31F0" w:rsidR="00974B4B">
        <w:rPr>
          <w:rFonts w:ascii="Verdana" w:hAnsi="Verdana" w:cs="Arial"/>
          <w:iCs/>
          <w:lang w:val="nl-NL"/>
        </w:rPr>
        <w:t xml:space="preserve">is een omschrijving opgenomen van </w:t>
      </w:r>
      <w:r w:rsidRPr="006A31F0" w:rsidR="00E81EFC">
        <w:rPr>
          <w:rFonts w:ascii="Verdana" w:hAnsi="Verdana" w:cs="Arial"/>
          <w:iCs/>
          <w:lang w:val="nl-NL"/>
        </w:rPr>
        <w:t xml:space="preserve">wat </w:t>
      </w:r>
      <w:r w:rsidRPr="006A31F0" w:rsidR="004737F1">
        <w:rPr>
          <w:rFonts w:ascii="Verdana" w:hAnsi="Verdana" w:cs="Arial"/>
          <w:iCs/>
          <w:lang w:val="nl-NL"/>
        </w:rPr>
        <w:t>moet worden verstaan onder een ‘</w:t>
      </w:r>
      <w:proofErr w:type="spellStart"/>
      <w:r w:rsidRPr="006A31F0" w:rsidR="004737F1">
        <w:rPr>
          <w:rFonts w:ascii="Verdana" w:hAnsi="Verdana" w:cs="Arial"/>
          <w:iCs/>
          <w:lang w:val="nl-NL"/>
        </w:rPr>
        <w:t>socialezekerheidspensioen</w:t>
      </w:r>
      <w:proofErr w:type="spellEnd"/>
      <w:r w:rsidRPr="006A31F0" w:rsidR="004737F1">
        <w:rPr>
          <w:rFonts w:ascii="Verdana" w:hAnsi="Verdana" w:cs="Arial"/>
          <w:iCs/>
          <w:lang w:val="nl-NL"/>
        </w:rPr>
        <w:t>’</w:t>
      </w:r>
      <w:r w:rsidRPr="006A31F0" w:rsidR="00974B4B">
        <w:rPr>
          <w:rFonts w:ascii="Verdana" w:hAnsi="Verdana" w:cs="Arial"/>
          <w:iCs/>
          <w:lang w:val="nl-NL"/>
        </w:rPr>
        <w:t xml:space="preserve"> (zie </w:t>
      </w:r>
      <w:r w:rsidRPr="006A31F0" w:rsidR="009D4692">
        <w:rPr>
          <w:rFonts w:ascii="Verdana" w:hAnsi="Verdana" w:cs="Arial"/>
          <w:iCs/>
          <w:lang w:val="nl-NL"/>
        </w:rPr>
        <w:t>hierna</w:t>
      </w:r>
      <w:r w:rsidRPr="006A31F0" w:rsidR="00366667">
        <w:rPr>
          <w:rFonts w:ascii="Verdana" w:hAnsi="Verdana" w:cs="Arial"/>
          <w:iCs/>
          <w:lang w:val="nl-NL"/>
        </w:rPr>
        <w:t>)</w:t>
      </w:r>
      <w:r w:rsidRPr="006A31F0" w:rsidR="00E81EFC">
        <w:rPr>
          <w:rFonts w:ascii="Verdana" w:hAnsi="Verdana" w:cs="Arial"/>
          <w:iCs/>
          <w:lang w:val="nl-NL"/>
        </w:rPr>
        <w:t>.</w:t>
      </w:r>
    </w:p>
    <w:p w:rsidRPr="006A31F0" w:rsidR="00180882" w:rsidP="006A31F0" w:rsidRDefault="00180882" w14:paraId="52F17683"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r>
      <w:r w:rsidRPr="006A31F0" w:rsidR="005C3BE9">
        <w:rPr>
          <w:rFonts w:ascii="Verdana" w:hAnsi="Verdana" w:cs="Arial"/>
          <w:iCs/>
          <w:lang w:val="nl-NL"/>
        </w:rPr>
        <w:t>H</w:t>
      </w:r>
      <w:r w:rsidRPr="006A31F0" w:rsidR="001221C3">
        <w:rPr>
          <w:rFonts w:ascii="Verdana" w:hAnsi="Verdana" w:cs="Arial"/>
          <w:iCs/>
          <w:lang w:val="nl-NL"/>
        </w:rPr>
        <w:t xml:space="preserve">et </w:t>
      </w:r>
      <w:r w:rsidRPr="006A31F0">
        <w:rPr>
          <w:rFonts w:ascii="Verdana" w:hAnsi="Verdana" w:cs="Arial"/>
          <w:iCs/>
          <w:lang w:val="nl-NL"/>
        </w:rPr>
        <w:t xml:space="preserve">derde lid </w:t>
      </w:r>
      <w:r w:rsidRPr="006A31F0" w:rsidR="005C3BE9">
        <w:rPr>
          <w:rFonts w:ascii="Verdana" w:hAnsi="Verdana" w:cs="Arial"/>
          <w:iCs/>
          <w:lang w:val="nl-NL"/>
        </w:rPr>
        <w:t xml:space="preserve">bepaalt </w:t>
      </w:r>
      <w:r w:rsidRPr="006A31F0">
        <w:rPr>
          <w:rFonts w:ascii="Verdana" w:hAnsi="Verdana" w:cs="Arial"/>
          <w:iCs/>
          <w:lang w:val="nl-NL"/>
        </w:rPr>
        <w:t>dat socialezekerheidsuitkeringen</w:t>
      </w:r>
      <w:r w:rsidRPr="006A31F0" w:rsidR="008178F1">
        <w:rPr>
          <w:rFonts w:ascii="Verdana" w:hAnsi="Verdana" w:cs="Arial"/>
          <w:iCs/>
          <w:lang w:val="nl-NL"/>
        </w:rPr>
        <w:t>,</w:t>
      </w:r>
      <w:r w:rsidRPr="006A31F0">
        <w:rPr>
          <w:rFonts w:ascii="Verdana" w:hAnsi="Verdana" w:cs="Arial"/>
          <w:iCs/>
          <w:lang w:val="nl-NL"/>
        </w:rPr>
        <w:t xml:space="preserve"> niet zijnde een </w:t>
      </w:r>
      <w:proofErr w:type="spellStart"/>
      <w:r w:rsidRPr="006A31F0">
        <w:rPr>
          <w:rFonts w:ascii="Verdana" w:hAnsi="Verdana" w:cs="Arial"/>
          <w:iCs/>
          <w:lang w:val="nl-NL"/>
        </w:rPr>
        <w:t>socialezekerheidspensioen</w:t>
      </w:r>
      <w:proofErr w:type="spellEnd"/>
      <w:r w:rsidRPr="006A31F0" w:rsidR="008178F1">
        <w:rPr>
          <w:rFonts w:ascii="Verdana" w:hAnsi="Verdana" w:cs="Arial"/>
          <w:iCs/>
          <w:lang w:val="nl-NL"/>
        </w:rPr>
        <w:t>,</w:t>
      </w:r>
      <w:r w:rsidRPr="006A31F0">
        <w:rPr>
          <w:rFonts w:ascii="Verdana" w:hAnsi="Verdana" w:cs="Arial"/>
          <w:iCs/>
          <w:lang w:val="nl-NL"/>
        </w:rPr>
        <w:t xml:space="preserve"> in alle gevallen </w:t>
      </w:r>
      <w:r w:rsidRPr="006A31F0" w:rsidR="005C3BE9">
        <w:rPr>
          <w:rFonts w:ascii="Verdana" w:hAnsi="Verdana" w:cs="Arial"/>
          <w:iCs/>
          <w:lang w:val="nl-NL"/>
        </w:rPr>
        <w:t xml:space="preserve">ook </w:t>
      </w:r>
      <w:r w:rsidRPr="006A31F0">
        <w:rPr>
          <w:rFonts w:ascii="Verdana" w:hAnsi="Verdana" w:cs="Arial"/>
          <w:iCs/>
          <w:lang w:val="nl-NL"/>
        </w:rPr>
        <w:t>mogen worden belast in de bronstaat.</w:t>
      </w:r>
      <w:r w:rsidRPr="006A31F0" w:rsidR="00E81EFC">
        <w:rPr>
          <w:rFonts w:ascii="Verdana" w:hAnsi="Verdana" w:cs="Arial"/>
          <w:iCs/>
          <w:lang w:val="nl-NL"/>
        </w:rPr>
        <w:t xml:space="preserve"> </w:t>
      </w:r>
    </w:p>
    <w:p w:rsidRPr="006A31F0" w:rsidR="00444DE4" w:rsidP="006A31F0" w:rsidRDefault="008650C3" w14:paraId="145C50E4" w14:textId="44FB780E">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lang w:val="nl-NL"/>
        </w:rPr>
        <w:tab/>
      </w:r>
      <w:r w:rsidRPr="006A31F0" w:rsidR="00F66292">
        <w:rPr>
          <w:rFonts w:ascii="Verdana" w:hAnsi="Verdana" w:cs="Arial"/>
          <w:iCs/>
          <w:lang w:val="nl-NL"/>
        </w:rPr>
        <w:t>I</w:t>
      </w:r>
      <w:r w:rsidRPr="006A31F0" w:rsidR="00444DE4">
        <w:rPr>
          <w:rFonts w:ascii="Verdana" w:hAnsi="Verdana" w:cs="Arial"/>
          <w:iCs/>
          <w:lang w:val="nl-NL"/>
        </w:rPr>
        <w:t xml:space="preserve">n het vierde tot en met achtste lid van het nieuwe artikel 17 </w:t>
      </w:r>
      <w:r w:rsidR="00982073">
        <w:rPr>
          <w:rFonts w:ascii="Verdana" w:hAnsi="Verdana" w:cs="Arial"/>
          <w:iCs/>
          <w:lang w:val="nl-NL"/>
        </w:rPr>
        <w:t>zijn</w:t>
      </w:r>
      <w:r w:rsidRPr="006A31F0" w:rsidR="00982073">
        <w:rPr>
          <w:rFonts w:ascii="Verdana" w:hAnsi="Verdana" w:cs="Arial"/>
          <w:iCs/>
          <w:lang w:val="nl-NL"/>
        </w:rPr>
        <w:t xml:space="preserve"> </w:t>
      </w:r>
      <w:r w:rsidRPr="006A31F0" w:rsidR="00F66292">
        <w:rPr>
          <w:rFonts w:ascii="Verdana" w:hAnsi="Verdana" w:cs="Arial"/>
          <w:iCs/>
          <w:lang w:val="nl-NL"/>
        </w:rPr>
        <w:t xml:space="preserve">wijzigingen </w:t>
      </w:r>
      <w:r w:rsidRPr="006A31F0" w:rsidR="006E5B95">
        <w:rPr>
          <w:rFonts w:ascii="Verdana" w:hAnsi="Verdana" w:cs="Arial"/>
          <w:iCs/>
          <w:lang w:val="nl-NL"/>
        </w:rPr>
        <w:t>aangebracht</w:t>
      </w:r>
      <w:r w:rsidRPr="006A31F0" w:rsidR="00B0230C">
        <w:rPr>
          <w:rFonts w:ascii="Verdana" w:hAnsi="Verdana" w:cs="Arial"/>
          <w:iCs/>
          <w:lang w:val="nl-NL"/>
        </w:rPr>
        <w:t xml:space="preserve"> </w:t>
      </w:r>
      <w:r w:rsidRPr="006A31F0" w:rsidR="00444DE4">
        <w:rPr>
          <w:rFonts w:ascii="Verdana" w:hAnsi="Verdana" w:cs="Arial"/>
          <w:iCs/>
          <w:lang w:val="nl-NL"/>
        </w:rPr>
        <w:t>ten opzichte van</w:t>
      </w:r>
      <w:r w:rsidRPr="006A31F0" w:rsidR="00652A61">
        <w:rPr>
          <w:rFonts w:ascii="Verdana" w:hAnsi="Verdana" w:cs="Arial"/>
          <w:iCs/>
          <w:lang w:val="nl-NL"/>
        </w:rPr>
        <w:t xml:space="preserve"> </w:t>
      </w:r>
      <w:r w:rsidRPr="006A31F0" w:rsidR="00B0230C">
        <w:rPr>
          <w:rFonts w:ascii="Verdana" w:hAnsi="Verdana" w:cs="Arial"/>
          <w:iCs/>
          <w:lang w:val="nl-NL"/>
        </w:rPr>
        <w:t xml:space="preserve">de tekst van </w:t>
      </w:r>
      <w:r w:rsidRPr="006A31F0" w:rsidR="00652A61">
        <w:rPr>
          <w:rFonts w:ascii="Verdana" w:hAnsi="Verdana" w:cs="Arial"/>
          <w:iCs/>
          <w:lang w:val="nl-NL"/>
        </w:rPr>
        <w:t>die leden van</w:t>
      </w:r>
      <w:r w:rsidRPr="006A31F0" w:rsidR="00444DE4">
        <w:rPr>
          <w:rFonts w:ascii="Verdana" w:hAnsi="Verdana" w:cs="Arial"/>
          <w:iCs/>
          <w:lang w:val="nl-NL"/>
        </w:rPr>
        <w:t xml:space="preserve"> het huidige artikel 17</w:t>
      </w:r>
      <w:r w:rsidRPr="006A31F0" w:rsidR="002706C5">
        <w:rPr>
          <w:rFonts w:ascii="Verdana" w:hAnsi="Verdana" w:cs="Arial"/>
          <w:iCs/>
          <w:lang w:val="nl-NL"/>
        </w:rPr>
        <w:t>. Deze wijzigingen</w:t>
      </w:r>
      <w:r w:rsidRPr="006A31F0" w:rsidR="00444DE4">
        <w:rPr>
          <w:rFonts w:ascii="Verdana" w:hAnsi="Verdana" w:cs="Arial"/>
          <w:iCs/>
          <w:lang w:val="nl-NL"/>
        </w:rPr>
        <w:t xml:space="preserve"> </w:t>
      </w:r>
      <w:r w:rsidRPr="006A31F0" w:rsidR="002706C5">
        <w:rPr>
          <w:rFonts w:ascii="Verdana" w:hAnsi="Verdana" w:cs="Arial"/>
          <w:iCs/>
          <w:lang w:val="nl-NL"/>
        </w:rPr>
        <w:t>houden v</w:t>
      </w:r>
      <w:r w:rsidRPr="006A31F0" w:rsidR="00652A61">
        <w:rPr>
          <w:rFonts w:ascii="Verdana" w:hAnsi="Verdana" w:cs="Arial"/>
          <w:iCs/>
          <w:lang w:val="nl-NL"/>
        </w:rPr>
        <w:t>erband</w:t>
      </w:r>
      <w:r w:rsidRPr="006A31F0" w:rsidR="00444DE4">
        <w:rPr>
          <w:rFonts w:ascii="Verdana" w:hAnsi="Verdana" w:cs="Arial"/>
          <w:iCs/>
          <w:lang w:val="nl-NL"/>
        </w:rPr>
        <w:t xml:space="preserve"> met de wijzigingen die zijn opgenomen in het eerste tot en met derde lid van het nieuwe artikel 17</w:t>
      </w:r>
      <w:r w:rsidRPr="006A31F0" w:rsidR="002706C5">
        <w:rPr>
          <w:rFonts w:ascii="Verdana" w:hAnsi="Verdana" w:cs="Arial"/>
          <w:iCs/>
          <w:lang w:val="nl-NL"/>
        </w:rPr>
        <w:t xml:space="preserve"> en</w:t>
      </w:r>
      <w:r w:rsidRPr="006A31F0" w:rsidR="00444DE4">
        <w:rPr>
          <w:rFonts w:ascii="Verdana" w:hAnsi="Verdana" w:cs="Arial"/>
          <w:iCs/>
          <w:lang w:val="nl-NL"/>
        </w:rPr>
        <w:t xml:space="preserve"> zijn redactioneel van aard. </w:t>
      </w:r>
    </w:p>
    <w:p w:rsidRPr="006A31F0" w:rsidR="009341CD" w:rsidP="006A31F0" w:rsidRDefault="009341CD" w14:paraId="3497F160" w14:textId="05885A4D">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t xml:space="preserve">Met artikel VII van het Wijzigingsprotocol wordt artikel XIII van het Protocol bij het Verdrag integraal vervangen. </w:t>
      </w:r>
    </w:p>
    <w:p w:rsidRPr="006A31F0" w:rsidR="009341CD" w:rsidP="006A31F0" w:rsidRDefault="009341CD" w14:paraId="4413D2B5"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t>Om de uitvoeringspraktijk handvatten te geven bij de toepassing van het nieuwe artikel 17 van het Verdrag geeft het nieuwe artikel XIII, eerste lid, een invulling aan het begrip ‘</w:t>
      </w:r>
      <w:proofErr w:type="spellStart"/>
      <w:r w:rsidRPr="006A31F0">
        <w:rPr>
          <w:rFonts w:ascii="Verdana" w:hAnsi="Verdana" w:cs="Arial"/>
          <w:lang w:val="nl-NL"/>
        </w:rPr>
        <w:t>socialezekerheidspensioen</w:t>
      </w:r>
      <w:proofErr w:type="spellEnd"/>
      <w:r w:rsidRPr="006A31F0">
        <w:rPr>
          <w:rFonts w:ascii="Verdana" w:hAnsi="Verdana" w:cs="Arial"/>
          <w:lang w:val="nl-NL"/>
        </w:rPr>
        <w:t xml:space="preserve">’. Dit begrip omvat in het geval van Nederland elk bedrag betaald krachtens de Nederlandse Algemene Ouderdomswet of de Algemene nabestaandenwet. In het geval van Duitsland gaat het om bedragen die worden betaald door de instellingen (zowel federaal als regionaal) van de ‘Deutsche </w:t>
      </w:r>
      <w:proofErr w:type="spellStart"/>
      <w:r w:rsidRPr="006A31F0">
        <w:rPr>
          <w:rFonts w:ascii="Verdana" w:hAnsi="Verdana" w:cs="Arial"/>
          <w:lang w:val="nl-NL"/>
        </w:rPr>
        <w:t>Rentenversicherung</w:t>
      </w:r>
      <w:proofErr w:type="spellEnd"/>
      <w:r w:rsidRPr="006A31F0">
        <w:rPr>
          <w:rFonts w:ascii="Verdana" w:hAnsi="Verdana" w:cs="Arial"/>
          <w:lang w:val="nl-NL"/>
        </w:rPr>
        <w:t>’ en de ‘</w:t>
      </w:r>
      <w:proofErr w:type="spellStart"/>
      <w:r w:rsidRPr="006A31F0">
        <w:rPr>
          <w:rFonts w:ascii="Verdana" w:hAnsi="Verdana" w:cs="Arial"/>
          <w:lang w:val="nl-NL"/>
        </w:rPr>
        <w:t>Landwirtschaftliche</w:t>
      </w:r>
      <w:proofErr w:type="spellEnd"/>
      <w:r w:rsidRPr="006A31F0">
        <w:rPr>
          <w:rFonts w:ascii="Verdana" w:hAnsi="Verdana" w:cs="Arial"/>
          <w:lang w:val="nl-NL"/>
        </w:rPr>
        <w:t xml:space="preserve"> </w:t>
      </w:r>
      <w:proofErr w:type="spellStart"/>
      <w:r w:rsidRPr="006A31F0">
        <w:rPr>
          <w:rFonts w:ascii="Verdana" w:hAnsi="Verdana" w:cs="Arial"/>
          <w:lang w:val="nl-NL"/>
        </w:rPr>
        <w:t>Alterskasse</w:t>
      </w:r>
      <w:proofErr w:type="spellEnd"/>
      <w:r w:rsidRPr="006A31F0">
        <w:rPr>
          <w:rFonts w:ascii="Verdana" w:hAnsi="Verdana" w:cs="Arial"/>
          <w:lang w:val="nl-NL"/>
        </w:rPr>
        <w:t>’ en bedragen betaald krachtens een pensioenregeling voor vrije beroepen (‘</w:t>
      </w:r>
      <w:proofErr w:type="spellStart"/>
      <w:r w:rsidRPr="006A31F0">
        <w:rPr>
          <w:rFonts w:ascii="Verdana" w:hAnsi="Verdana" w:cs="Arial"/>
          <w:lang w:val="nl-NL"/>
        </w:rPr>
        <w:t>berufsständische</w:t>
      </w:r>
      <w:proofErr w:type="spellEnd"/>
      <w:r w:rsidRPr="006A31F0">
        <w:rPr>
          <w:rFonts w:ascii="Verdana" w:hAnsi="Verdana" w:cs="Arial"/>
          <w:lang w:val="nl-NL"/>
        </w:rPr>
        <w:t xml:space="preserve"> </w:t>
      </w:r>
      <w:proofErr w:type="spellStart"/>
      <w:r w:rsidRPr="006A31F0">
        <w:rPr>
          <w:rFonts w:ascii="Verdana" w:hAnsi="Verdana" w:cs="Arial"/>
          <w:lang w:val="nl-NL"/>
        </w:rPr>
        <w:t>Versorgungseinrichtungen</w:t>
      </w:r>
      <w:proofErr w:type="spellEnd"/>
      <w:r w:rsidRPr="006A31F0">
        <w:rPr>
          <w:rFonts w:ascii="Verdana" w:hAnsi="Verdana" w:cs="Arial"/>
          <w:lang w:val="nl-NL"/>
        </w:rPr>
        <w:t>’), met dien verstande dat</w:t>
      </w:r>
      <w:r w:rsidRPr="006A31F0">
        <w:rPr>
          <w:rFonts w:ascii="Verdana" w:hAnsi="Verdana" w:cs="Arial"/>
        </w:rPr>
        <w:t xml:space="preserve"> de desbetreffende bedragen</w:t>
      </w:r>
      <w:r w:rsidRPr="006A31F0">
        <w:rPr>
          <w:rFonts w:ascii="Verdana" w:hAnsi="Verdana" w:cs="Arial"/>
          <w:lang w:val="nl-NL"/>
        </w:rPr>
        <w:t>:</w:t>
      </w:r>
    </w:p>
    <w:p w:rsidRPr="006A31F0" w:rsidR="009341CD" w:rsidP="006A31F0" w:rsidRDefault="009341CD" w14:paraId="478733A2" w14:textId="77777777">
      <w:pPr>
        <w:pStyle w:val="ListParagraph"/>
        <w:numPr>
          <w:ilvl w:val="0"/>
          <w:numId w:val="2"/>
        </w:num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sz w:val="20"/>
          <w:szCs w:val="20"/>
        </w:rPr>
      </w:pPr>
      <w:r w:rsidRPr="006A31F0">
        <w:rPr>
          <w:rFonts w:ascii="Verdana" w:hAnsi="Verdana" w:cs="Arial"/>
          <w:sz w:val="20"/>
          <w:szCs w:val="20"/>
        </w:rPr>
        <w:t>periodiek betaalbaar moeten zijn op vaste tijdstippen, hetzij gedurende het leven, hetzij gedurende een vastgesteld of voor vaststelling vatbaar tijdvak;</w:t>
      </w:r>
    </w:p>
    <w:p w:rsidRPr="006A31F0" w:rsidR="009341CD" w:rsidP="006A31F0" w:rsidRDefault="009341CD" w14:paraId="28D4AB70" w14:textId="77777777">
      <w:pPr>
        <w:pStyle w:val="ListParagraph"/>
        <w:numPr>
          <w:ilvl w:val="0"/>
          <w:numId w:val="2"/>
        </w:num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sz w:val="20"/>
          <w:szCs w:val="20"/>
        </w:rPr>
      </w:pPr>
      <w:r w:rsidRPr="006A31F0">
        <w:rPr>
          <w:rFonts w:ascii="Verdana" w:hAnsi="Verdana" w:cs="Arial"/>
          <w:sz w:val="20"/>
          <w:szCs w:val="20"/>
        </w:rPr>
        <w:t>verschuldigd moeten zijn ingevolge een verbintenis tot het doen van betalingen; en</w:t>
      </w:r>
    </w:p>
    <w:p w:rsidRPr="006A31F0" w:rsidR="009341CD" w:rsidP="006A31F0" w:rsidRDefault="009341CD" w14:paraId="01C1BC83" w14:textId="77777777">
      <w:pPr>
        <w:pStyle w:val="ListParagraph"/>
        <w:numPr>
          <w:ilvl w:val="0"/>
          <w:numId w:val="2"/>
        </w:num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sz w:val="20"/>
          <w:szCs w:val="20"/>
        </w:rPr>
      </w:pPr>
      <w:r w:rsidRPr="006A31F0">
        <w:rPr>
          <w:rFonts w:ascii="Verdana" w:hAnsi="Verdana" w:cs="Arial"/>
          <w:sz w:val="20"/>
          <w:szCs w:val="20"/>
        </w:rPr>
        <w:t>moeten worden beschouwd als een lijfrente of soortgelijke betaling volgens artikel 22, nummer 1, derde zin, van de Duitse Wet inkomstenbelasting (‘</w:t>
      </w:r>
      <w:proofErr w:type="spellStart"/>
      <w:r w:rsidRPr="006A31F0">
        <w:rPr>
          <w:rFonts w:ascii="Verdana" w:hAnsi="Verdana" w:cs="Arial"/>
          <w:sz w:val="20"/>
          <w:szCs w:val="20"/>
        </w:rPr>
        <w:t>Einkommensteuergesetz</w:t>
      </w:r>
      <w:proofErr w:type="spellEnd"/>
      <w:r w:rsidRPr="006A31F0">
        <w:rPr>
          <w:rFonts w:ascii="Verdana" w:hAnsi="Verdana" w:cs="Arial"/>
          <w:sz w:val="20"/>
          <w:szCs w:val="20"/>
        </w:rPr>
        <w:t>’).</w:t>
      </w:r>
    </w:p>
    <w:p w:rsidRPr="006A31F0" w:rsidR="009341CD" w:rsidP="006A31F0" w:rsidRDefault="009341CD" w14:paraId="00699262"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t xml:space="preserve">Het nieuwe tweede lid stemt overeen met het huidige artikel XIII van het Protocol bij het Verdrag en bevestigt dat alle uitkeringen die onder (het nieuwe) artikel 17, tweede lid, van het Verdrag vallen per belastingplichtige tezamen worden genomen om te bepalen of de grens van € 15.000 is overschreden. </w:t>
      </w:r>
    </w:p>
    <w:p w:rsidRPr="006A31F0" w:rsidR="009341CD" w:rsidP="006A31F0" w:rsidRDefault="009341CD" w14:paraId="6D217432"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t>Tijdens de onderhandelingen bleek dat het Duitse ‘Elterngeld’ vanuit Duits perspectief niet als uitkering op basis van het (Duitse) socialezekerheidsstelsel wordt beschouwd en zonder nadere regeling in beginsel onder artikel 21 van het Verdrag (Overige inkomsten) zou vallen op grond waarvan het heffingsrecht zou zijn toegewezen aan de woonstaat. Om die uitkomst te voorkomen, bepaalt het nieuwe artikel XIII, derde lid, van het Protocol bij het Verdrag dat (het nieuwe) artikel 17, derde lid, van het Verdrag van overeenkomstige toepassing is op het Duitse ‘Elterngeld’.</w:t>
      </w:r>
    </w:p>
    <w:p w:rsidRPr="006A31F0" w:rsidR="009341CD" w:rsidP="006A31F0" w:rsidRDefault="00D032A9" w14:paraId="377394A6" w14:textId="321B795E">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rPr>
        <w:tab/>
        <w:t xml:space="preserve">Met artikel VIII van het Wijzigingsprotocol wordt artikel XIV van het Protocol bij het </w:t>
      </w:r>
      <w:r w:rsidRPr="006A31F0">
        <w:rPr>
          <w:rFonts w:ascii="Verdana" w:hAnsi="Verdana"/>
        </w:rPr>
        <w:lastRenderedPageBreak/>
        <w:t>Verdrag (Ad </w:t>
      </w:r>
      <w:r w:rsidR="00ED4D1F">
        <w:fldChar w:fldCharType="begin"/>
      </w:r>
      <w:r w:rsidR="00ED4D1F">
        <w:instrText xml:space="preserve"> HYPERLINK "https://wetten.overheid.nl/BWBV0005862/2016-12-31" \l "Verdrag_1_Verdragtekst_1_HoofdstukIII_Artikel17" </w:instrText>
      </w:r>
      <w:r w:rsidR="00ED4D1F">
        <w:fldChar w:fldCharType="separate"/>
      </w:r>
      <w:r w:rsidRPr="006A31F0">
        <w:rPr>
          <w:rFonts w:ascii="Verdana" w:hAnsi="Verdana"/>
        </w:rPr>
        <w:t>artikelen 17</w:t>
      </w:r>
      <w:r w:rsidR="00ED4D1F">
        <w:rPr>
          <w:rFonts w:ascii="Verdana" w:hAnsi="Verdana"/>
        </w:rPr>
        <w:fldChar w:fldCharType="end"/>
      </w:r>
      <w:r w:rsidRPr="006A31F0">
        <w:rPr>
          <w:rFonts w:ascii="Verdana" w:hAnsi="Verdana"/>
        </w:rPr>
        <w:t> en </w:t>
      </w:r>
      <w:hyperlink w:history="1" w:anchor="Verdrag_1_Verdragtekst_1_HoofdstukIII_Artikel18" r:id="rId8">
        <w:r w:rsidRPr="006A31F0">
          <w:rPr>
            <w:rFonts w:ascii="Verdana" w:hAnsi="Verdana"/>
          </w:rPr>
          <w:t>18</w:t>
        </w:r>
      </w:hyperlink>
      <w:r w:rsidRPr="006A31F0">
        <w:rPr>
          <w:rFonts w:ascii="Verdana" w:hAnsi="Verdana"/>
        </w:rPr>
        <w:t>) integraal vervangen. Met het nieuwe artikel XIV van het Protocol bij het Verdrag wordt beoogd onduidelijkheid als gevolg van de invoering van de WNRA over de uitleg van de huidige bepaling weg te nemen. Voor de invoering van de WNRA werd in de uitvoeringspraktijk voor de vraag of sprake is van een dienst die valt onder het overheidsartikel aangesloten bij de aanwezigheid van een ambtelijke aanstelling bij een publiekrechtelijk lichaam. Als gevolg van de inwerkingtreding van de WNRA is dit niet langer een bruikbaar criterium, omdat die aanstelling voor veel ambtenaren vervangen wordt door een privaatrechtelijke arbeidsovereenkomst.</w:t>
      </w:r>
      <w:r w:rsidRPr="006A31F0">
        <w:rPr>
          <w:rStyle w:val="FootnoteReference"/>
          <w:rFonts w:ascii="Verdana" w:hAnsi="Verdana"/>
        </w:rPr>
        <w:footnoteReference w:id="12"/>
      </w:r>
      <w:r w:rsidRPr="006A31F0">
        <w:rPr>
          <w:rFonts w:ascii="Verdana" w:hAnsi="Verdana"/>
        </w:rPr>
        <w:t xml:space="preserve"> Na de inwerkingtreding van de WNRA wordt daarom beoordeeld of er sprake is van een (dienst)betrekking bij een publiekrechtelijke rechtspersoon. De huidige tekst van artikel XIV van het Protocol bij het Verdrag </w:t>
      </w:r>
      <w:r w:rsidR="00ED4D1F">
        <w:rPr>
          <w:rFonts w:ascii="Verdana" w:hAnsi="Verdana"/>
        </w:rPr>
        <w:t>kan leiden</w:t>
      </w:r>
      <w:r w:rsidRPr="006A31F0">
        <w:rPr>
          <w:rFonts w:ascii="Verdana" w:hAnsi="Verdana"/>
        </w:rPr>
        <w:t xml:space="preserve"> tot onduidelijkheid vanwege het gebruik van het begrip ‘publiekrechtelijke dienstbetrekking’. Hierin zou gelezen kunnen worden dat het hebben van een ambtelijke aanstelling nog steeds van belang is voor de vraag of het overheidsartikel van toepassing is. Om iedere onduidelijkheid hierover weg te nemen is in het nieuwe artikel XIV van het Protocol bij het Verdrag de zinsnede ‘publiekrechtelijke dienstbetrekking’ vervangen door de zinsnede ‘diensten verleend aan een verdragsluitende staat of een staatkundig onderdeel of een plaatselijk publiekrechtelijk lichaam daarvan (overheidsdiensten)’.</w:t>
      </w:r>
    </w:p>
    <w:p w:rsidRPr="006A31F0" w:rsidR="00C41105" w:rsidP="006A31F0" w:rsidRDefault="00C41105" w14:paraId="681A82F0"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Pr="006A31F0" w:rsidR="00062B66" w:rsidP="006A31F0" w:rsidRDefault="00062B66" w14:paraId="5C1E1AD6" w14:textId="501EF10F">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sidRPr="006A31F0">
        <w:rPr>
          <w:rFonts w:ascii="Verdana" w:hAnsi="Verdana" w:cs="Arial"/>
          <w:b/>
          <w:i/>
          <w:iCs/>
          <w:lang w:val="nl-NL"/>
        </w:rPr>
        <w:t>II.5</w:t>
      </w:r>
      <w:r w:rsidR="00C945AA">
        <w:rPr>
          <w:rFonts w:ascii="Verdana" w:hAnsi="Verdana" w:cs="Arial"/>
          <w:b/>
          <w:i/>
          <w:iCs/>
          <w:lang w:val="nl-NL"/>
        </w:rPr>
        <w:t>.</w:t>
      </w:r>
      <w:r w:rsidRPr="006A31F0">
        <w:rPr>
          <w:rFonts w:ascii="Verdana" w:hAnsi="Verdana" w:cs="Arial"/>
          <w:b/>
          <w:i/>
          <w:iCs/>
          <w:lang w:val="nl-NL"/>
        </w:rPr>
        <w:t xml:space="preserve"> </w:t>
      </w:r>
      <w:r w:rsidRPr="006A31F0" w:rsidR="00932B9B">
        <w:rPr>
          <w:rFonts w:ascii="Verdana" w:hAnsi="Verdana" w:cs="Arial"/>
          <w:b/>
          <w:i/>
          <w:iCs/>
          <w:lang w:val="nl-NL"/>
        </w:rPr>
        <w:t xml:space="preserve">Vermijding van dubbele belasting </w:t>
      </w:r>
      <w:r w:rsidRPr="006A31F0">
        <w:rPr>
          <w:rFonts w:ascii="Verdana" w:hAnsi="Verdana" w:cs="Arial"/>
          <w:b/>
          <w:i/>
          <w:iCs/>
          <w:lang w:val="nl-NL"/>
        </w:rPr>
        <w:t>(artikel V van het Wijzigingsprotocol</w:t>
      </w:r>
      <w:r w:rsidRPr="006A31F0" w:rsidR="00C806D6">
        <w:rPr>
          <w:rFonts w:ascii="Verdana" w:hAnsi="Verdana" w:cs="Arial"/>
          <w:b/>
          <w:i/>
          <w:iCs/>
          <w:lang w:val="nl-NL"/>
        </w:rPr>
        <w:t>, artikel 22</w:t>
      </w:r>
      <w:r w:rsidRPr="006A31F0" w:rsidR="00D87AD5">
        <w:rPr>
          <w:rFonts w:ascii="Verdana" w:hAnsi="Verdana" w:cs="Arial"/>
          <w:b/>
          <w:i/>
          <w:iCs/>
          <w:lang w:val="nl-NL"/>
        </w:rPr>
        <w:t xml:space="preserve"> van het Verdrag</w:t>
      </w:r>
      <w:r w:rsidRPr="006A31F0">
        <w:rPr>
          <w:rFonts w:ascii="Verdana" w:hAnsi="Verdana" w:cs="Arial"/>
          <w:b/>
          <w:i/>
          <w:iCs/>
          <w:lang w:val="nl-NL"/>
        </w:rPr>
        <w:t>)</w:t>
      </w:r>
    </w:p>
    <w:p w:rsidRPr="006A31F0" w:rsidR="001221C3" w:rsidP="006A31F0" w:rsidRDefault="001221C3" w14:paraId="09F861EE"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r>
      <w:r w:rsidRPr="006A31F0" w:rsidR="00A516A2">
        <w:rPr>
          <w:rFonts w:ascii="Verdana" w:hAnsi="Verdana" w:cs="Arial"/>
          <w:iCs/>
          <w:lang w:val="nl-NL"/>
        </w:rPr>
        <w:t>In artikel 2</w:t>
      </w:r>
      <w:r w:rsidRPr="006A31F0" w:rsidR="00C806D6">
        <w:rPr>
          <w:rFonts w:ascii="Verdana" w:hAnsi="Verdana" w:cs="Arial"/>
          <w:iCs/>
          <w:lang w:val="nl-NL"/>
        </w:rPr>
        <w:t>2</w:t>
      </w:r>
      <w:r w:rsidRPr="006A31F0" w:rsidR="00A516A2">
        <w:rPr>
          <w:rFonts w:ascii="Verdana" w:hAnsi="Verdana" w:cs="Arial"/>
          <w:iCs/>
          <w:lang w:val="nl-NL"/>
        </w:rPr>
        <w:t xml:space="preserve"> van het Verdrag is neergelegd op welke manier beide verdragsluitende staten voor hun inwoners dubbele belasting vermijden. </w:t>
      </w:r>
    </w:p>
    <w:p w:rsidRPr="006A31F0" w:rsidR="00963BA5" w:rsidP="006A31F0" w:rsidRDefault="001221C3" w14:paraId="18D1A74D"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r>
      <w:r w:rsidRPr="006A31F0" w:rsidR="0024489B">
        <w:rPr>
          <w:rFonts w:ascii="Verdana" w:hAnsi="Verdana" w:cs="Arial"/>
          <w:iCs/>
          <w:lang w:val="nl-NL"/>
        </w:rPr>
        <w:t xml:space="preserve">Vanwege </w:t>
      </w:r>
      <w:r w:rsidRPr="006A31F0">
        <w:rPr>
          <w:rFonts w:ascii="Verdana" w:hAnsi="Verdana" w:cs="Arial"/>
          <w:iCs/>
          <w:lang w:val="nl-NL"/>
        </w:rPr>
        <w:t>de wijzigingen in</w:t>
      </w:r>
      <w:r w:rsidRPr="006A31F0" w:rsidR="00D87AD5">
        <w:rPr>
          <w:rFonts w:ascii="Verdana" w:hAnsi="Verdana" w:cs="Arial"/>
          <w:iCs/>
          <w:lang w:val="nl-NL"/>
        </w:rPr>
        <w:t>gevolge het nieuwe</w:t>
      </w:r>
      <w:r w:rsidRPr="006A31F0">
        <w:rPr>
          <w:rFonts w:ascii="Verdana" w:hAnsi="Verdana" w:cs="Arial"/>
          <w:iCs/>
          <w:lang w:val="nl-NL"/>
        </w:rPr>
        <w:t xml:space="preserve"> artikel 17 </w:t>
      </w:r>
      <w:r w:rsidRPr="006A31F0" w:rsidR="00D87AD5">
        <w:rPr>
          <w:rFonts w:ascii="Verdana" w:hAnsi="Verdana" w:cs="Arial"/>
          <w:iCs/>
          <w:lang w:val="nl-NL"/>
        </w:rPr>
        <w:t xml:space="preserve">van het Verdrag </w:t>
      </w:r>
      <w:r w:rsidRPr="006A31F0">
        <w:rPr>
          <w:rFonts w:ascii="Verdana" w:hAnsi="Verdana" w:cs="Arial"/>
          <w:iCs/>
          <w:lang w:val="nl-NL"/>
        </w:rPr>
        <w:t xml:space="preserve">voorziet artikel V van het Wijzigingsprotocol in </w:t>
      </w:r>
      <w:r w:rsidRPr="006A31F0" w:rsidR="00D87AD5">
        <w:rPr>
          <w:rFonts w:ascii="Verdana" w:hAnsi="Verdana" w:cs="Arial"/>
          <w:iCs/>
          <w:lang w:val="nl-NL"/>
        </w:rPr>
        <w:t>wijzig</w:t>
      </w:r>
      <w:r w:rsidRPr="006A31F0">
        <w:rPr>
          <w:rFonts w:ascii="Verdana" w:hAnsi="Verdana" w:cs="Arial"/>
          <w:iCs/>
          <w:lang w:val="nl-NL"/>
        </w:rPr>
        <w:t>ing</w:t>
      </w:r>
      <w:r w:rsidRPr="006A31F0" w:rsidR="00D87AD5">
        <w:rPr>
          <w:rFonts w:ascii="Verdana" w:hAnsi="Verdana" w:cs="Arial"/>
          <w:iCs/>
          <w:lang w:val="nl-NL"/>
        </w:rPr>
        <w:t>en</w:t>
      </w:r>
      <w:r w:rsidRPr="006A31F0">
        <w:rPr>
          <w:rFonts w:ascii="Verdana" w:hAnsi="Verdana" w:cs="Arial"/>
          <w:iCs/>
          <w:lang w:val="nl-NL"/>
        </w:rPr>
        <w:t xml:space="preserve"> van a</w:t>
      </w:r>
      <w:r w:rsidRPr="006A31F0" w:rsidR="00287F69">
        <w:rPr>
          <w:rFonts w:ascii="Verdana" w:hAnsi="Verdana" w:cs="Arial"/>
          <w:iCs/>
          <w:lang w:val="nl-NL"/>
        </w:rPr>
        <w:t>rtikel 22, eerste lid, onderdeel b</w:t>
      </w:r>
      <w:r w:rsidRPr="006A31F0" w:rsidR="002435BB">
        <w:rPr>
          <w:rFonts w:ascii="Verdana" w:hAnsi="Verdana" w:cs="Arial"/>
          <w:iCs/>
          <w:lang w:val="nl-NL"/>
        </w:rPr>
        <w:t>, tweede lid</w:t>
      </w:r>
      <w:r w:rsidRPr="006A31F0">
        <w:rPr>
          <w:rFonts w:ascii="Verdana" w:hAnsi="Verdana" w:cs="Arial"/>
          <w:iCs/>
          <w:lang w:val="nl-NL"/>
        </w:rPr>
        <w:t>,</w:t>
      </w:r>
      <w:r w:rsidRPr="006A31F0" w:rsidR="002435BB">
        <w:rPr>
          <w:rFonts w:ascii="Verdana" w:hAnsi="Verdana" w:cs="Arial"/>
          <w:iCs/>
          <w:lang w:val="nl-NL"/>
        </w:rPr>
        <w:t xml:space="preserve"> onderdeel b</w:t>
      </w:r>
      <w:r w:rsidRPr="006A31F0" w:rsidR="00726F13">
        <w:rPr>
          <w:rFonts w:ascii="Verdana" w:hAnsi="Verdana" w:cs="Arial"/>
          <w:iCs/>
          <w:lang w:val="nl-NL"/>
        </w:rPr>
        <w:t>,</w:t>
      </w:r>
      <w:r w:rsidRPr="006A31F0" w:rsidR="002435BB">
        <w:rPr>
          <w:rFonts w:ascii="Verdana" w:hAnsi="Verdana" w:cs="Arial"/>
          <w:iCs/>
          <w:lang w:val="nl-NL"/>
        </w:rPr>
        <w:t xml:space="preserve"> en tweede lid</w:t>
      </w:r>
      <w:r w:rsidRPr="006A31F0">
        <w:rPr>
          <w:rFonts w:ascii="Verdana" w:hAnsi="Verdana" w:cs="Arial"/>
          <w:iCs/>
          <w:lang w:val="nl-NL"/>
        </w:rPr>
        <w:t>,</w:t>
      </w:r>
      <w:r w:rsidRPr="006A31F0" w:rsidR="002435BB">
        <w:rPr>
          <w:rFonts w:ascii="Verdana" w:hAnsi="Verdana" w:cs="Arial"/>
          <w:iCs/>
          <w:lang w:val="nl-NL"/>
        </w:rPr>
        <w:t xml:space="preserve"> onderdeel c,</w:t>
      </w:r>
      <w:r w:rsidRPr="006A31F0" w:rsidR="00287F69">
        <w:rPr>
          <w:rFonts w:ascii="Verdana" w:hAnsi="Verdana" w:cs="Arial"/>
          <w:iCs/>
          <w:lang w:val="nl-NL"/>
        </w:rPr>
        <w:t xml:space="preserve"> va</w:t>
      </w:r>
      <w:r w:rsidRPr="006A31F0" w:rsidR="004C0BA6">
        <w:rPr>
          <w:rFonts w:ascii="Verdana" w:hAnsi="Verdana" w:cs="Arial"/>
          <w:iCs/>
          <w:lang w:val="nl-NL"/>
        </w:rPr>
        <w:t xml:space="preserve">n het </w:t>
      </w:r>
      <w:r w:rsidRPr="006A31F0">
        <w:rPr>
          <w:rFonts w:ascii="Verdana" w:hAnsi="Verdana" w:cs="Arial"/>
          <w:iCs/>
          <w:lang w:val="nl-NL"/>
        </w:rPr>
        <w:t>V</w:t>
      </w:r>
      <w:r w:rsidRPr="006A31F0" w:rsidR="004C0BA6">
        <w:rPr>
          <w:rFonts w:ascii="Verdana" w:hAnsi="Verdana" w:cs="Arial"/>
          <w:iCs/>
          <w:lang w:val="nl-NL"/>
        </w:rPr>
        <w:t>erdrag</w:t>
      </w:r>
      <w:r w:rsidRPr="006A31F0" w:rsidR="002435BB">
        <w:rPr>
          <w:rFonts w:ascii="Verdana" w:hAnsi="Verdana" w:cs="Arial"/>
          <w:iCs/>
          <w:lang w:val="nl-NL"/>
        </w:rPr>
        <w:t>.</w:t>
      </w:r>
      <w:r w:rsidRPr="006A31F0" w:rsidR="004C0BA6">
        <w:rPr>
          <w:rFonts w:ascii="Verdana" w:hAnsi="Verdana" w:cs="Arial"/>
          <w:iCs/>
          <w:lang w:val="nl-NL"/>
        </w:rPr>
        <w:t xml:space="preserve"> </w:t>
      </w:r>
      <w:r w:rsidRPr="006A31F0">
        <w:rPr>
          <w:rFonts w:ascii="Verdana" w:hAnsi="Verdana" w:cs="Arial"/>
          <w:iCs/>
          <w:lang w:val="nl-NL"/>
        </w:rPr>
        <w:t xml:space="preserve">Concreet </w:t>
      </w:r>
      <w:r w:rsidRPr="006A31F0" w:rsidR="004C0BA6">
        <w:rPr>
          <w:rFonts w:ascii="Verdana" w:hAnsi="Verdana" w:cs="Arial"/>
          <w:iCs/>
          <w:lang w:val="nl-NL"/>
        </w:rPr>
        <w:t>beteken</w:t>
      </w:r>
      <w:r w:rsidRPr="006A31F0" w:rsidR="0024489B">
        <w:rPr>
          <w:rFonts w:ascii="Verdana" w:hAnsi="Verdana" w:cs="Arial"/>
          <w:iCs/>
          <w:lang w:val="nl-NL"/>
        </w:rPr>
        <w:t>en deze wijzigingen</w:t>
      </w:r>
      <w:r w:rsidRPr="006A31F0" w:rsidR="004C0BA6">
        <w:rPr>
          <w:rFonts w:ascii="Verdana" w:hAnsi="Verdana" w:cs="Arial"/>
          <w:iCs/>
          <w:lang w:val="nl-NL"/>
        </w:rPr>
        <w:t xml:space="preserve"> dat</w:t>
      </w:r>
      <w:r w:rsidRPr="006A31F0" w:rsidR="00963BA5">
        <w:rPr>
          <w:rFonts w:ascii="Verdana" w:hAnsi="Verdana" w:cs="Arial"/>
          <w:iCs/>
          <w:lang w:val="nl-NL"/>
        </w:rPr>
        <w:t xml:space="preserve"> de Nederlandse belasting over</w:t>
      </w:r>
      <w:r w:rsidRPr="006A31F0" w:rsidR="004C0BA6">
        <w:rPr>
          <w:rFonts w:ascii="Verdana" w:hAnsi="Verdana" w:cs="Arial"/>
          <w:iCs/>
          <w:lang w:val="nl-NL"/>
        </w:rPr>
        <w:t xml:space="preserve"> socialezekerheidsuitkeringen die op grond van het nieuwe artikel 17</w:t>
      </w:r>
      <w:r w:rsidRPr="006A31F0">
        <w:rPr>
          <w:rFonts w:ascii="Verdana" w:hAnsi="Verdana" w:cs="Arial"/>
          <w:iCs/>
          <w:lang w:val="nl-NL"/>
        </w:rPr>
        <w:t>, derde lid</w:t>
      </w:r>
      <w:r w:rsidRPr="006A31F0" w:rsidR="000C6045">
        <w:rPr>
          <w:rFonts w:ascii="Verdana" w:hAnsi="Verdana" w:cs="Arial"/>
          <w:iCs/>
          <w:lang w:val="nl-NL"/>
        </w:rPr>
        <w:t>,</w:t>
      </w:r>
      <w:r w:rsidRPr="006A31F0">
        <w:rPr>
          <w:rFonts w:ascii="Verdana" w:hAnsi="Verdana" w:cs="Arial"/>
          <w:iCs/>
          <w:lang w:val="nl-NL"/>
        </w:rPr>
        <w:t xml:space="preserve"> </w:t>
      </w:r>
      <w:r w:rsidRPr="006A31F0" w:rsidR="004C0BA6">
        <w:rPr>
          <w:rFonts w:ascii="Verdana" w:hAnsi="Verdana" w:cs="Arial"/>
          <w:iCs/>
          <w:lang w:val="nl-NL"/>
        </w:rPr>
        <w:t xml:space="preserve">in </w:t>
      </w:r>
      <w:r w:rsidRPr="006A31F0" w:rsidR="00963BA5">
        <w:rPr>
          <w:rFonts w:ascii="Verdana" w:hAnsi="Verdana" w:cs="Arial"/>
          <w:iCs/>
          <w:lang w:val="nl-NL"/>
        </w:rPr>
        <w:t xml:space="preserve">Nederland mogen worden belast, in Duitsland met de </w:t>
      </w:r>
      <w:r w:rsidRPr="006A31F0" w:rsidR="00726F13">
        <w:rPr>
          <w:rFonts w:ascii="Verdana" w:hAnsi="Verdana" w:cs="Arial"/>
          <w:iCs/>
          <w:lang w:val="nl-NL"/>
        </w:rPr>
        <w:t xml:space="preserve">aldaar geheven </w:t>
      </w:r>
      <w:r w:rsidRPr="006A31F0" w:rsidR="00963BA5">
        <w:rPr>
          <w:rFonts w:ascii="Verdana" w:hAnsi="Verdana" w:cs="Arial"/>
          <w:iCs/>
          <w:lang w:val="nl-NL"/>
        </w:rPr>
        <w:t xml:space="preserve">belasting kan worden verrekend. </w:t>
      </w:r>
      <w:r w:rsidRPr="006A31F0" w:rsidR="002435BB">
        <w:rPr>
          <w:rFonts w:ascii="Verdana" w:hAnsi="Verdana" w:cs="Arial"/>
          <w:iCs/>
          <w:lang w:val="nl-NL"/>
        </w:rPr>
        <w:t xml:space="preserve">In het omgekeerde geval verleent </w:t>
      </w:r>
      <w:r w:rsidRPr="006A31F0" w:rsidR="00D16916">
        <w:rPr>
          <w:rFonts w:ascii="Verdana" w:hAnsi="Verdana" w:cs="Arial"/>
          <w:iCs/>
          <w:lang w:val="nl-NL"/>
        </w:rPr>
        <w:t>Nederland</w:t>
      </w:r>
      <w:r w:rsidRPr="006A31F0" w:rsidR="002435BB">
        <w:rPr>
          <w:rFonts w:ascii="Verdana" w:hAnsi="Verdana" w:cs="Arial"/>
          <w:iCs/>
          <w:lang w:val="nl-NL"/>
        </w:rPr>
        <w:t xml:space="preserve"> een </w:t>
      </w:r>
      <w:r w:rsidRPr="006A31F0" w:rsidR="00D16916">
        <w:rPr>
          <w:rFonts w:ascii="Verdana" w:hAnsi="Verdana" w:cs="Arial"/>
          <w:iCs/>
          <w:lang w:val="nl-NL"/>
        </w:rPr>
        <w:t>vrijstelling (met progressievoorbehoud) van de in Duitsland belastbare socialezekerheidsuitkering</w:t>
      </w:r>
      <w:r w:rsidRPr="006A31F0" w:rsidR="0024489B">
        <w:rPr>
          <w:rFonts w:ascii="Verdana" w:hAnsi="Verdana" w:cs="Arial"/>
          <w:iCs/>
          <w:lang w:val="nl-NL"/>
        </w:rPr>
        <w:t>en</w:t>
      </w:r>
      <w:r w:rsidRPr="006A31F0" w:rsidR="00D16916">
        <w:rPr>
          <w:rFonts w:ascii="Verdana" w:hAnsi="Verdana" w:cs="Arial"/>
          <w:iCs/>
          <w:lang w:val="nl-NL"/>
        </w:rPr>
        <w:t>.</w:t>
      </w:r>
    </w:p>
    <w:p w:rsidRPr="006A31F0" w:rsidR="00D16916" w:rsidP="006A31F0" w:rsidRDefault="00D16916" w14:paraId="3E0C0585"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r>
      <w:r w:rsidRPr="006A31F0" w:rsidR="00963BA5">
        <w:rPr>
          <w:rFonts w:ascii="Verdana" w:hAnsi="Verdana" w:cs="Arial"/>
          <w:iCs/>
          <w:lang w:val="nl-NL"/>
        </w:rPr>
        <w:t>In artikel 22, tweede lid</w:t>
      </w:r>
      <w:r w:rsidRPr="006A31F0" w:rsidR="00A76335">
        <w:rPr>
          <w:rFonts w:ascii="Verdana" w:hAnsi="Verdana" w:cs="Arial"/>
          <w:iCs/>
          <w:lang w:val="nl-NL"/>
        </w:rPr>
        <w:t>,</w:t>
      </w:r>
      <w:r w:rsidRPr="006A31F0" w:rsidR="00963BA5">
        <w:rPr>
          <w:rFonts w:ascii="Verdana" w:hAnsi="Verdana" w:cs="Arial"/>
          <w:iCs/>
          <w:lang w:val="nl-NL"/>
        </w:rPr>
        <w:t xml:space="preserve"> onderdeel b</w:t>
      </w:r>
      <w:r w:rsidRPr="006A31F0" w:rsidR="004737F1">
        <w:rPr>
          <w:rFonts w:ascii="Verdana" w:hAnsi="Verdana" w:cs="Arial"/>
          <w:iCs/>
          <w:lang w:val="nl-NL"/>
        </w:rPr>
        <w:t>,</w:t>
      </w:r>
      <w:r w:rsidRPr="006A31F0" w:rsidR="00963BA5">
        <w:rPr>
          <w:rFonts w:ascii="Verdana" w:hAnsi="Verdana" w:cs="Arial"/>
          <w:iCs/>
          <w:lang w:val="nl-NL"/>
        </w:rPr>
        <w:t xml:space="preserve"> van het Verdrag wordt </w:t>
      </w:r>
      <w:r w:rsidRPr="006A31F0" w:rsidR="00386DF9">
        <w:rPr>
          <w:rFonts w:ascii="Verdana" w:hAnsi="Verdana" w:cs="Arial"/>
          <w:iCs/>
          <w:lang w:val="nl-NL"/>
        </w:rPr>
        <w:t>thans abusievelijk verwezen naar tevens</w:t>
      </w:r>
      <w:r w:rsidRPr="006A31F0" w:rsidR="00963BA5">
        <w:rPr>
          <w:rFonts w:ascii="Verdana" w:hAnsi="Verdana" w:cs="Arial"/>
          <w:iCs/>
          <w:lang w:val="nl-NL"/>
        </w:rPr>
        <w:t xml:space="preserve"> het tweede lid van artikel 13 </w:t>
      </w:r>
      <w:r w:rsidRPr="006A31F0" w:rsidR="00386DF9">
        <w:rPr>
          <w:rFonts w:ascii="Verdana" w:hAnsi="Verdana" w:cs="Arial"/>
          <w:iCs/>
          <w:lang w:val="nl-NL"/>
        </w:rPr>
        <w:t>van het Verdrag</w:t>
      </w:r>
      <w:r w:rsidRPr="006A31F0" w:rsidR="00963BA5">
        <w:rPr>
          <w:rFonts w:ascii="Verdana" w:hAnsi="Verdana" w:cs="Arial"/>
          <w:iCs/>
          <w:lang w:val="nl-NL"/>
        </w:rPr>
        <w:t>.</w:t>
      </w:r>
      <w:r w:rsidRPr="006A31F0" w:rsidR="00AB3683">
        <w:rPr>
          <w:rFonts w:ascii="Verdana" w:hAnsi="Verdana" w:cs="Arial"/>
          <w:iCs/>
          <w:lang w:val="nl-NL"/>
        </w:rPr>
        <w:t xml:space="preserve"> </w:t>
      </w:r>
      <w:r w:rsidRPr="006A31F0" w:rsidR="00954E60">
        <w:rPr>
          <w:rFonts w:ascii="Verdana" w:hAnsi="Verdana" w:cs="Arial"/>
          <w:iCs/>
          <w:lang w:val="nl-NL"/>
        </w:rPr>
        <w:t>Met</w:t>
      </w:r>
      <w:r w:rsidRPr="006A31F0" w:rsidR="002435BB">
        <w:rPr>
          <w:rFonts w:ascii="Verdana" w:hAnsi="Verdana" w:cs="Arial"/>
          <w:iCs/>
          <w:lang w:val="nl-NL"/>
        </w:rPr>
        <w:t xml:space="preserve"> </w:t>
      </w:r>
      <w:r w:rsidRPr="006A31F0" w:rsidR="00954E60">
        <w:rPr>
          <w:rFonts w:ascii="Verdana" w:hAnsi="Verdana" w:cs="Arial"/>
          <w:iCs/>
          <w:lang w:val="nl-NL"/>
        </w:rPr>
        <w:t>a</w:t>
      </w:r>
      <w:r w:rsidRPr="006A31F0">
        <w:rPr>
          <w:rFonts w:ascii="Verdana" w:hAnsi="Verdana" w:cs="Arial"/>
          <w:iCs/>
          <w:lang w:val="nl-NL"/>
        </w:rPr>
        <w:t>rtikel V van het W</w:t>
      </w:r>
      <w:r w:rsidRPr="006A31F0" w:rsidR="002435BB">
        <w:rPr>
          <w:rFonts w:ascii="Verdana" w:hAnsi="Verdana" w:cs="Arial"/>
          <w:iCs/>
          <w:lang w:val="nl-NL"/>
        </w:rPr>
        <w:t>ijziging</w:t>
      </w:r>
      <w:r w:rsidRPr="006A31F0">
        <w:rPr>
          <w:rFonts w:ascii="Verdana" w:hAnsi="Verdana" w:cs="Arial"/>
          <w:iCs/>
          <w:lang w:val="nl-NL"/>
        </w:rPr>
        <w:t>sprotocol</w:t>
      </w:r>
      <w:r w:rsidRPr="006A31F0" w:rsidR="002435BB">
        <w:rPr>
          <w:rFonts w:ascii="Verdana" w:hAnsi="Verdana" w:cs="Arial"/>
          <w:iCs/>
          <w:lang w:val="nl-NL"/>
        </w:rPr>
        <w:t xml:space="preserve"> </w:t>
      </w:r>
      <w:r w:rsidRPr="006A31F0" w:rsidR="00E11F65">
        <w:rPr>
          <w:rFonts w:ascii="Verdana" w:hAnsi="Verdana" w:cs="Arial"/>
          <w:iCs/>
          <w:lang w:val="nl-NL"/>
        </w:rPr>
        <w:t xml:space="preserve">wordt </w:t>
      </w:r>
      <w:r w:rsidRPr="006A31F0" w:rsidR="00982756">
        <w:rPr>
          <w:rFonts w:ascii="Verdana" w:hAnsi="Verdana" w:cs="Arial"/>
          <w:iCs/>
          <w:lang w:val="nl-NL"/>
        </w:rPr>
        <w:t xml:space="preserve">door de verwijzing naar genoemd tweede lid te verwijderen </w:t>
      </w:r>
      <w:r w:rsidRPr="006A31F0" w:rsidR="00E11F65">
        <w:rPr>
          <w:rFonts w:ascii="Verdana" w:hAnsi="Verdana" w:cs="Arial"/>
          <w:iCs/>
          <w:lang w:val="nl-NL"/>
        </w:rPr>
        <w:t xml:space="preserve">duidelijk gemaakt dat </w:t>
      </w:r>
      <w:r w:rsidRPr="006A31F0" w:rsidR="00273211">
        <w:rPr>
          <w:rFonts w:ascii="Verdana" w:hAnsi="Verdana" w:cs="Arial"/>
          <w:iCs/>
          <w:lang w:val="nl-NL"/>
        </w:rPr>
        <w:t xml:space="preserve">Nederland ter voorkoming van dubbele belasting </w:t>
      </w:r>
      <w:r w:rsidRPr="006A31F0" w:rsidR="00D51266">
        <w:rPr>
          <w:rFonts w:ascii="Verdana" w:hAnsi="Verdana" w:cs="Arial"/>
          <w:iCs/>
          <w:lang w:val="nl-NL"/>
        </w:rPr>
        <w:t xml:space="preserve">met betrekking tot de betreffende voordelen </w:t>
      </w:r>
      <w:r w:rsidRPr="006A31F0" w:rsidR="00E11F65">
        <w:rPr>
          <w:rFonts w:ascii="Verdana" w:hAnsi="Verdana" w:cs="Arial"/>
          <w:iCs/>
          <w:lang w:val="nl-NL"/>
        </w:rPr>
        <w:t xml:space="preserve">de </w:t>
      </w:r>
      <w:proofErr w:type="spellStart"/>
      <w:r w:rsidRPr="006A31F0" w:rsidR="00E11F65">
        <w:rPr>
          <w:rFonts w:ascii="Verdana" w:hAnsi="Verdana" w:cs="Arial"/>
          <w:iCs/>
          <w:lang w:val="nl-NL"/>
        </w:rPr>
        <w:t>verrekeningsmethode</w:t>
      </w:r>
      <w:proofErr w:type="spellEnd"/>
      <w:r w:rsidRPr="006A31F0" w:rsidR="00273211">
        <w:rPr>
          <w:rFonts w:ascii="Verdana" w:hAnsi="Verdana" w:cs="Arial"/>
          <w:iCs/>
          <w:lang w:val="nl-NL"/>
        </w:rPr>
        <w:t xml:space="preserve"> toepast</w:t>
      </w:r>
      <w:r w:rsidRPr="006A31F0" w:rsidR="002435BB">
        <w:rPr>
          <w:rFonts w:ascii="Verdana" w:hAnsi="Verdana" w:cs="Arial"/>
          <w:iCs/>
          <w:lang w:val="nl-NL"/>
        </w:rPr>
        <w:t>.</w:t>
      </w:r>
    </w:p>
    <w:p w:rsidRPr="006A31F0" w:rsidR="00674F71" w:rsidP="006A31F0" w:rsidRDefault="00D16916" w14:paraId="6E3CA345" w14:textId="49CCE081">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lastRenderedPageBreak/>
        <w:tab/>
      </w:r>
      <w:r w:rsidRPr="006A31F0" w:rsidR="00A97BAA">
        <w:rPr>
          <w:rFonts w:ascii="Verdana" w:hAnsi="Verdana" w:cs="Arial"/>
          <w:iCs/>
          <w:lang w:val="nl-NL"/>
        </w:rPr>
        <w:t>Met h</w:t>
      </w:r>
      <w:r w:rsidRPr="006A31F0" w:rsidR="0024489B">
        <w:rPr>
          <w:rFonts w:ascii="Verdana" w:hAnsi="Verdana" w:cs="Arial"/>
          <w:iCs/>
          <w:lang w:val="nl-NL"/>
        </w:rPr>
        <w:t xml:space="preserve">et nieuwe </w:t>
      </w:r>
      <w:r w:rsidRPr="006A31F0" w:rsidR="000813E0">
        <w:rPr>
          <w:rFonts w:ascii="Verdana" w:hAnsi="Verdana" w:cs="Arial"/>
          <w:iCs/>
          <w:lang w:val="nl-NL"/>
        </w:rPr>
        <w:t>artikel 22, tweede lid, onderdeel e</w:t>
      </w:r>
      <w:r w:rsidRPr="006A31F0" w:rsidR="00003470">
        <w:rPr>
          <w:rFonts w:ascii="Verdana" w:hAnsi="Verdana" w:cs="Arial"/>
          <w:iCs/>
          <w:lang w:val="nl-NL"/>
        </w:rPr>
        <w:t>,</w:t>
      </w:r>
      <w:r w:rsidRPr="006A31F0" w:rsidR="009453B4">
        <w:rPr>
          <w:rFonts w:ascii="Verdana" w:hAnsi="Verdana" w:cs="Arial"/>
          <w:iCs/>
          <w:lang w:val="nl-NL"/>
        </w:rPr>
        <w:t xml:space="preserve"> </w:t>
      </w:r>
      <w:r w:rsidRPr="006A31F0" w:rsidR="00A97BAA">
        <w:rPr>
          <w:rFonts w:ascii="Verdana" w:hAnsi="Verdana" w:cs="Arial"/>
          <w:iCs/>
          <w:lang w:val="nl-NL"/>
        </w:rPr>
        <w:t xml:space="preserve">wordt </w:t>
      </w:r>
      <w:r w:rsidRPr="006A31F0" w:rsidR="0024489B">
        <w:rPr>
          <w:rFonts w:ascii="Verdana" w:hAnsi="Verdana" w:cs="Arial"/>
          <w:iCs/>
          <w:lang w:val="nl-NL"/>
        </w:rPr>
        <w:t xml:space="preserve">een bepaling </w:t>
      </w:r>
      <w:r w:rsidRPr="006A31F0" w:rsidR="00A97BAA">
        <w:rPr>
          <w:rFonts w:ascii="Verdana" w:hAnsi="Verdana" w:cs="Arial"/>
          <w:iCs/>
          <w:lang w:val="nl-NL"/>
        </w:rPr>
        <w:t xml:space="preserve">toegevoegd </w:t>
      </w:r>
      <w:r w:rsidRPr="006A31F0" w:rsidR="0024489B">
        <w:rPr>
          <w:rFonts w:ascii="Verdana" w:hAnsi="Verdana" w:cs="Arial"/>
          <w:iCs/>
          <w:lang w:val="nl-NL"/>
        </w:rPr>
        <w:t xml:space="preserve">die </w:t>
      </w:r>
      <w:r w:rsidRPr="006A31F0" w:rsidR="009453B4">
        <w:rPr>
          <w:rFonts w:ascii="Verdana" w:hAnsi="Verdana" w:cs="Arial"/>
          <w:iCs/>
          <w:lang w:val="nl-NL"/>
        </w:rPr>
        <w:t>overeen</w:t>
      </w:r>
      <w:r w:rsidRPr="006A31F0" w:rsidR="00416AFC">
        <w:rPr>
          <w:rFonts w:ascii="Verdana" w:hAnsi="Verdana" w:cs="Arial"/>
          <w:iCs/>
          <w:lang w:val="nl-NL"/>
        </w:rPr>
        <w:t xml:space="preserve">komt </w:t>
      </w:r>
      <w:r w:rsidRPr="006A31F0" w:rsidR="009453B4">
        <w:rPr>
          <w:rFonts w:ascii="Verdana" w:hAnsi="Verdana" w:cs="Arial"/>
          <w:iCs/>
          <w:lang w:val="nl-NL"/>
        </w:rPr>
        <w:t>met</w:t>
      </w:r>
      <w:r w:rsidRPr="006A31F0" w:rsidR="002251CF">
        <w:rPr>
          <w:rFonts w:ascii="Verdana" w:hAnsi="Verdana" w:cs="Arial"/>
          <w:iCs/>
          <w:lang w:val="nl-NL"/>
        </w:rPr>
        <w:t xml:space="preserve"> artikel 23A, vierde lid, van het OESO-modelverdrag</w:t>
      </w:r>
      <w:r w:rsidRPr="006A31F0" w:rsidR="009453B4">
        <w:rPr>
          <w:rFonts w:ascii="Verdana" w:hAnsi="Verdana" w:cs="Arial"/>
          <w:iCs/>
          <w:lang w:val="nl-NL"/>
        </w:rPr>
        <w:t>.</w:t>
      </w:r>
      <w:r w:rsidRPr="006A31F0" w:rsidR="0024489B">
        <w:rPr>
          <w:rFonts w:ascii="Verdana" w:hAnsi="Verdana" w:cs="Arial"/>
          <w:iCs/>
          <w:lang w:val="nl-NL"/>
        </w:rPr>
        <w:t xml:space="preserve"> </w:t>
      </w:r>
      <w:r w:rsidRPr="006A31F0" w:rsidR="00FB6DE6">
        <w:rPr>
          <w:rFonts w:ascii="Verdana" w:hAnsi="Verdana" w:cs="Arial"/>
          <w:iCs/>
          <w:lang w:val="nl-NL"/>
        </w:rPr>
        <w:t xml:space="preserve">Het opnemen van deze bepaling is tevens in lijn met de positie die Nederland op dit punt heeft ingenomen in het kader van het MLI. </w:t>
      </w:r>
      <w:r w:rsidRPr="006A31F0" w:rsidR="0024489B">
        <w:rPr>
          <w:rFonts w:ascii="Verdana" w:hAnsi="Verdana" w:cs="Arial"/>
          <w:iCs/>
          <w:lang w:val="nl-NL"/>
        </w:rPr>
        <w:t>Met deze bepaling wordt voorkomen dat de vrijstellingsmethode wordt toegepast als inkomen</w:t>
      </w:r>
      <w:r w:rsidRPr="006A31F0" w:rsidR="00670645">
        <w:rPr>
          <w:rFonts w:ascii="Verdana" w:hAnsi="Verdana" w:cs="Arial"/>
          <w:iCs/>
          <w:lang w:val="nl-NL"/>
        </w:rPr>
        <w:t xml:space="preserve"> </w:t>
      </w:r>
      <w:r w:rsidRPr="006A31F0" w:rsidR="0024489B">
        <w:rPr>
          <w:rFonts w:ascii="Verdana" w:hAnsi="Verdana" w:cs="Arial"/>
          <w:iCs/>
          <w:lang w:val="nl-NL"/>
        </w:rPr>
        <w:t xml:space="preserve">in Duitsland niet of lager belast wordt als gevolg van een verschillende interpretatie </w:t>
      </w:r>
      <w:r w:rsidRPr="006A31F0" w:rsidR="00DD455A">
        <w:rPr>
          <w:rFonts w:ascii="Verdana" w:hAnsi="Verdana" w:cs="Arial"/>
          <w:iCs/>
          <w:lang w:val="nl-NL"/>
        </w:rPr>
        <w:t xml:space="preserve">van </w:t>
      </w:r>
      <w:r w:rsidRPr="006A31F0" w:rsidR="0024489B">
        <w:rPr>
          <w:rFonts w:ascii="Verdana" w:hAnsi="Verdana" w:cs="Arial"/>
          <w:iCs/>
          <w:lang w:val="nl-NL"/>
        </w:rPr>
        <w:t xml:space="preserve">het Verdrag of de feiten. In die gevallen past Nederland in plaats van de vrijstellingsmethode de </w:t>
      </w:r>
      <w:proofErr w:type="spellStart"/>
      <w:r w:rsidRPr="006A31F0" w:rsidR="0024489B">
        <w:rPr>
          <w:rFonts w:ascii="Verdana" w:hAnsi="Verdana" w:cs="Arial"/>
          <w:iCs/>
          <w:lang w:val="nl-NL"/>
        </w:rPr>
        <w:t>verrekeningsmethode</w:t>
      </w:r>
      <w:proofErr w:type="spellEnd"/>
      <w:r w:rsidRPr="006A31F0" w:rsidR="0024489B">
        <w:rPr>
          <w:rFonts w:ascii="Verdana" w:hAnsi="Verdana" w:cs="Arial"/>
          <w:iCs/>
          <w:lang w:val="nl-NL"/>
        </w:rPr>
        <w:t xml:space="preserve"> toe. Hiermee wordt dubbele</w:t>
      </w:r>
      <w:r w:rsidRPr="006A31F0" w:rsidR="008812B1">
        <w:rPr>
          <w:rFonts w:ascii="Verdana" w:hAnsi="Verdana" w:cs="Arial"/>
          <w:iCs/>
          <w:lang w:val="nl-NL"/>
        </w:rPr>
        <w:t xml:space="preserve"> </w:t>
      </w:r>
      <w:r w:rsidRPr="006A31F0" w:rsidR="0024489B">
        <w:rPr>
          <w:rFonts w:ascii="Verdana" w:hAnsi="Verdana" w:cs="Arial"/>
          <w:iCs/>
          <w:lang w:val="nl-NL"/>
        </w:rPr>
        <w:t>niet</w:t>
      </w:r>
      <w:r w:rsidRPr="006A31F0" w:rsidR="008812B1">
        <w:rPr>
          <w:rFonts w:ascii="Verdana" w:hAnsi="Verdana" w:cs="Arial"/>
          <w:iCs/>
          <w:lang w:val="nl-NL"/>
        </w:rPr>
        <w:t>-</w:t>
      </w:r>
      <w:r w:rsidRPr="006A31F0" w:rsidR="0024489B">
        <w:rPr>
          <w:rFonts w:ascii="Verdana" w:hAnsi="Verdana" w:cs="Arial"/>
          <w:iCs/>
          <w:lang w:val="nl-NL"/>
        </w:rPr>
        <w:t>belasting voorkomen.</w:t>
      </w:r>
      <w:r w:rsidRPr="006A31F0" w:rsidR="00A97BAA">
        <w:rPr>
          <w:rFonts w:ascii="Verdana" w:hAnsi="Verdana" w:cs="Arial"/>
          <w:iCs/>
          <w:lang w:val="nl-NL"/>
        </w:rPr>
        <w:t xml:space="preserve"> </w:t>
      </w:r>
      <w:r w:rsidRPr="006A31F0" w:rsidR="00FB6DE6">
        <w:rPr>
          <w:rFonts w:ascii="Verdana" w:hAnsi="Verdana" w:cs="Arial"/>
          <w:iCs/>
          <w:lang w:val="nl-NL"/>
        </w:rPr>
        <w:t>Omdat Duitsland op grond van het Verdrag alleen de vrijstellingsmethode toepast als bepaalde inkomensbestanddelen in Nederland werkelijk belast worden (</w:t>
      </w:r>
      <w:r w:rsidRPr="006A31F0" w:rsidR="00FB6DE6">
        <w:rPr>
          <w:rFonts w:ascii="Verdana" w:hAnsi="Verdana" w:cs="Arial"/>
          <w:i/>
          <w:iCs/>
          <w:lang w:val="nl-NL"/>
        </w:rPr>
        <w:t xml:space="preserve">subject </w:t>
      </w:r>
      <w:proofErr w:type="spellStart"/>
      <w:r w:rsidRPr="006A31F0" w:rsidR="00FB6DE6">
        <w:rPr>
          <w:rFonts w:ascii="Verdana" w:hAnsi="Verdana" w:cs="Arial"/>
          <w:i/>
          <w:iCs/>
          <w:lang w:val="nl-NL"/>
        </w:rPr>
        <w:t>to</w:t>
      </w:r>
      <w:proofErr w:type="spellEnd"/>
      <w:r w:rsidRPr="006A31F0" w:rsidR="00FB6DE6">
        <w:rPr>
          <w:rFonts w:ascii="Verdana" w:hAnsi="Verdana" w:cs="Arial"/>
          <w:i/>
          <w:iCs/>
          <w:lang w:val="nl-NL"/>
        </w:rPr>
        <w:t xml:space="preserve"> </w:t>
      </w:r>
      <w:proofErr w:type="spellStart"/>
      <w:r w:rsidRPr="006A31F0" w:rsidR="00FB6DE6">
        <w:rPr>
          <w:rFonts w:ascii="Verdana" w:hAnsi="Verdana" w:cs="Arial"/>
          <w:i/>
          <w:iCs/>
          <w:lang w:val="nl-NL"/>
        </w:rPr>
        <w:t>tax</w:t>
      </w:r>
      <w:proofErr w:type="spellEnd"/>
      <w:r w:rsidRPr="006A31F0" w:rsidR="00FB6DE6">
        <w:rPr>
          <w:rFonts w:ascii="Verdana" w:hAnsi="Verdana" w:cs="Arial"/>
          <w:iCs/>
          <w:lang w:val="nl-NL"/>
        </w:rPr>
        <w:t>), heeft een dergelijke bepaling voor Duitsland geen toegevoegde waarde.</w:t>
      </w:r>
    </w:p>
    <w:p w:rsidRPr="006A31F0" w:rsidR="00CE2EE6" w:rsidP="006A31F0" w:rsidRDefault="00C30602" w14:paraId="275073BF"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iCs/>
          <w:lang w:val="nl-NL"/>
        </w:rPr>
        <w:t xml:space="preserve"> </w:t>
      </w:r>
    </w:p>
    <w:p w:rsidRPr="006A31F0" w:rsidR="00062B66" w:rsidP="006A31F0" w:rsidRDefault="00062B66" w14:paraId="54752C98" w14:textId="4E129AE6">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sidRPr="006A31F0">
        <w:rPr>
          <w:rFonts w:ascii="Verdana" w:hAnsi="Verdana" w:cs="Arial"/>
          <w:b/>
          <w:i/>
          <w:iCs/>
          <w:lang w:val="nl-NL"/>
        </w:rPr>
        <w:t>II.6</w:t>
      </w:r>
      <w:r w:rsidR="00C945AA">
        <w:rPr>
          <w:rFonts w:ascii="Verdana" w:hAnsi="Verdana" w:cs="Arial"/>
          <w:b/>
          <w:i/>
          <w:iCs/>
          <w:lang w:val="nl-NL"/>
        </w:rPr>
        <w:t>.</w:t>
      </w:r>
      <w:r w:rsidRPr="006A31F0">
        <w:rPr>
          <w:rFonts w:ascii="Verdana" w:hAnsi="Verdana" w:cs="Arial"/>
          <w:b/>
          <w:i/>
          <w:iCs/>
          <w:lang w:val="nl-NL"/>
        </w:rPr>
        <w:t xml:space="preserve"> </w:t>
      </w:r>
      <w:r w:rsidRPr="006A31F0" w:rsidR="009453B4">
        <w:rPr>
          <w:rFonts w:ascii="Verdana" w:hAnsi="Verdana" w:cs="Arial"/>
          <w:b/>
          <w:i/>
          <w:iCs/>
          <w:lang w:val="nl-NL"/>
        </w:rPr>
        <w:t>Voorkomen van verdragsmisbruik</w:t>
      </w:r>
      <w:r w:rsidRPr="006A31F0">
        <w:rPr>
          <w:rFonts w:ascii="Verdana" w:hAnsi="Verdana" w:cs="Arial"/>
          <w:b/>
          <w:i/>
          <w:iCs/>
          <w:lang w:val="nl-NL"/>
        </w:rPr>
        <w:t xml:space="preserve"> (artikel VI van het Wijzigingsprotocol</w:t>
      </w:r>
      <w:r w:rsidRPr="006A31F0" w:rsidR="00C04A1F">
        <w:rPr>
          <w:rFonts w:ascii="Verdana" w:hAnsi="Verdana" w:cs="Arial"/>
          <w:b/>
          <w:i/>
          <w:iCs/>
          <w:lang w:val="nl-NL"/>
        </w:rPr>
        <w:t>, artikel 23 van het Verdrag</w:t>
      </w:r>
      <w:r w:rsidRPr="006A31F0">
        <w:rPr>
          <w:rFonts w:ascii="Verdana" w:hAnsi="Verdana" w:cs="Arial"/>
          <w:b/>
          <w:i/>
          <w:iCs/>
          <w:lang w:val="nl-NL"/>
        </w:rPr>
        <w:t>)</w:t>
      </w:r>
    </w:p>
    <w:p w:rsidRPr="006A31F0" w:rsidR="00857F6D" w:rsidP="006A31F0" w:rsidRDefault="00D16916" w14:paraId="2E3CA4A0"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rPr>
      </w:pPr>
      <w:r w:rsidRPr="006A31F0">
        <w:rPr>
          <w:rFonts w:ascii="Verdana" w:hAnsi="Verdana" w:cs="Arial"/>
          <w:iCs/>
          <w:lang w:val="nl-NL"/>
        </w:rPr>
        <w:tab/>
      </w:r>
      <w:r w:rsidRPr="006A31F0" w:rsidR="00C04A1F">
        <w:rPr>
          <w:rFonts w:ascii="Verdana" w:hAnsi="Verdana" w:cs="Arial"/>
          <w:iCs/>
          <w:lang w:val="nl-NL"/>
        </w:rPr>
        <w:t>A</w:t>
      </w:r>
      <w:r w:rsidRPr="006A31F0">
        <w:rPr>
          <w:rFonts w:ascii="Verdana" w:hAnsi="Verdana" w:cs="Arial"/>
          <w:iCs/>
          <w:lang w:val="nl-NL"/>
        </w:rPr>
        <w:t xml:space="preserve">rtikel 23 van het Verdrag </w:t>
      </w:r>
      <w:r w:rsidRPr="006A31F0" w:rsidR="00C04A1F">
        <w:rPr>
          <w:rFonts w:ascii="Verdana" w:hAnsi="Verdana" w:cs="Arial"/>
          <w:iCs/>
          <w:lang w:val="nl-NL"/>
        </w:rPr>
        <w:t>betreft de t</w:t>
      </w:r>
      <w:r w:rsidRPr="006A31F0">
        <w:rPr>
          <w:rFonts w:ascii="Verdana" w:hAnsi="Verdana" w:cs="Arial"/>
          <w:iCs/>
          <w:lang w:val="nl-NL"/>
        </w:rPr>
        <w:t xml:space="preserve">oepassing van het Verdrag in bijzondere gevallen. Artikel VI </w:t>
      </w:r>
      <w:r w:rsidRPr="006A31F0" w:rsidR="00C04A1F">
        <w:rPr>
          <w:rFonts w:ascii="Verdana" w:hAnsi="Verdana" w:cs="Arial"/>
          <w:iCs/>
          <w:lang w:val="nl-NL"/>
        </w:rPr>
        <w:t xml:space="preserve">van het Wijzigingsprotocol </w:t>
      </w:r>
      <w:r w:rsidRPr="006A31F0">
        <w:rPr>
          <w:rFonts w:ascii="Verdana" w:hAnsi="Verdana" w:cs="Arial"/>
          <w:iCs/>
          <w:lang w:val="nl-NL"/>
        </w:rPr>
        <w:t>voegt twee antimisbruikbep</w:t>
      </w:r>
      <w:r w:rsidRPr="006A31F0" w:rsidR="009453B4">
        <w:rPr>
          <w:rFonts w:ascii="Verdana" w:hAnsi="Verdana" w:cs="Arial"/>
          <w:iCs/>
          <w:lang w:val="nl-NL"/>
        </w:rPr>
        <w:t>alingen</w:t>
      </w:r>
      <w:r w:rsidRPr="006A31F0" w:rsidR="00DD455A">
        <w:rPr>
          <w:rFonts w:ascii="Verdana" w:hAnsi="Verdana" w:cs="Arial"/>
          <w:iCs/>
          <w:lang w:val="nl-NL"/>
        </w:rPr>
        <w:t xml:space="preserve"> </w:t>
      </w:r>
      <w:r w:rsidRPr="006A31F0">
        <w:rPr>
          <w:rFonts w:ascii="Verdana" w:hAnsi="Verdana" w:cs="Arial"/>
          <w:iCs/>
          <w:lang w:val="nl-NL"/>
        </w:rPr>
        <w:t xml:space="preserve">toe aan </w:t>
      </w:r>
      <w:r w:rsidRPr="006A31F0" w:rsidR="00DD455A">
        <w:rPr>
          <w:rFonts w:ascii="Verdana" w:hAnsi="Verdana" w:cs="Arial"/>
          <w:iCs/>
          <w:lang w:val="nl-NL"/>
        </w:rPr>
        <w:t>dat artikel.</w:t>
      </w:r>
      <w:r w:rsidRPr="006A31F0">
        <w:rPr>
          <w:rFonts w:ascii="Verdana" w:hAnsi="Verdana" w:cs="Arial"/>
          <w:iCs/>
          <w:lang w:val="nl-NL"/>
        </w:rPr>
        <w:t xml:space="preserve"> </w:t>
      </w:r>
    </w:p>
    <w:p w:rsidRPr="006A31F0" w:rsidR="00D16916" w:rsidP="006A31F0" w:rsidRDefault="00857F6D" w14:paraId="67846D0F"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r>
      <w:r w:rsidRPr="006A31F0" w:rsidR="00D16916">
        <w:rPr>
          <w:rFonts w:ascii="Verdana" w:hAnsi="Verdana" w:cs="Arial"/>
          <w:iCs/>
          <w:lang w:val="nl-NL"/>
        </w:rPr>
        <w:t xml:space="preserve">Het nieuwe derde lid bevat een maatregel die in essentie voorkomt dat heffingsrechten van een verdragsluitende staat worden beperkt in de situatie dat inkomensbestanddelen in de andere verdragsluitende staat worden vrijgesteld en worden toegerekend aan een vaste inrichting in een derde jurisdictie waar deze niet of slechts beperkt worden belast. </w:t>
      </w:r>
      <w:r w:rsidRPr="006A31F0" w:rsidR="00DD455A">
        <w:rPr>
          <w:rFonts w:ascii="Verdana" w:hAnsi="Verdana" w:cs="Arial"/>
          <w:iCs/>
          <w:lang w:val="nl-NL"/>
        </w:rPr>
        <w:t>Van dat laatste is sprake</w:t>
      </w:r>
      <w:r w:rsidRPr="006A31F0" w:rsidR="00D16916">
        <w:rPr>
          <w:rFonts w:ascii="Verdana" w:hAnsi="Verdana" w:cs="Arial"/>
          <w:iCs/>
          <w:lang w:val="nl-NL"/>
        </w:rPr>
        <w:t xml:space="preserve"> als de belastingheffing in de </w:t>
      </w:r>
      <w:r w:rsidRPr="006A31F0" w:rsidR="00A27DDC">
        <w:rPr>
          <w:rFonts w:ascii="Verdana" w:hAnsi="Verdana" w:cs="Arial"/>
          <w:iCs/>
          <w:lang w:val="nl-NL"/>
        </w:rPr>
        <w:t xml:space="preserve">jurisdictie </w:t>
      </w:r>
      <w:r w:rsidRPr="006A31F0" w:rsidR="003935BA">
        <w:rPr>
          <w:rFonts w:ascii="Verdana" w:hAnsi="Verdana" w:cs="Arial"/>
          <w:iCs/>
          <w:lang w:val="nl-NL"/>
        </w:rPr>
        <w:t xml:space="preserve">waarin </w:t>
      </w:r>
      <w:r w:rsidRPr="006A31F0" w:rsidR="00D16916">
        <w:rPr>
          <w:rFonts w:ascii="Verdana" w:hAnsi="Verdana" w:cs="Arial"/>
          <w:iCs/>
          <w:lang w:val="nl-NL"/>
        </w:rPr>
        <w:t xml:space="preserve">de vaste inrichting </w:t>
      </w:r>
      <w:r w:rsidRPr="006A31F0" w:rsidR="003935BA">
        <w:rPr>
          <w:rFonts w:ascii="Verdana" w:hAnsi="Verdana" w:cs="Arial"/>
          <w:iCs/>
          <w:lang w:val="nl-NL"/>
        </w:rPr>
        <w:t xml:space="preserve">zich bevindt </w:t>
      </w:r>
      <w:r w:rsidRPr="006A31F0" w:rsidR="00D16916">
        <w:rPr>
          <w:rFonts w:ascii="Verdana" w:hAnsi="Verdana" w:cs="Arial"/>
          <w:iCs/>
          <w:lang w:val="nl-NL"/>
        </w:rPr>
        <w:t>minder is dan 60</w:t>
      </w:r>
      <w:r w:rsidRPr="006A31F0" w:rsidR="00C04A1F">
        <w:rPr>
          <w:rFonts w:ascii="Verdana" w:hAnsi="Verdana" w:cs="Arial"/>
          <w:iCs/>
          <w:lang w:val="nl-NL"/>
        </w:rPr>
        <w:t>%</w:t>
      </w:r>
      <w:r w:rsidRPr="006A31F0" w:rsidR="00D16916">
        <w:rPr>
          <w:rFonts w:ascii="Verdana" w:hAnsi="Verdana" w:cs="Arial"/>
          <w:iCs/>
          <w:lang w:val="nl-NL"/>
        </w:rPr>
        <w:t xml:space="preserve"> van de belasting die zou worden geheven in de verdragsluitende staat van de onderneming.</w:t>
      </w:r>
      <w:r w:rsidRPr="006A31F0" w:rsidR="00E74E8A">
        <w:rPr>
          <w:rFonts w:ascii="Verdana" w:hAnsi="Verdana"/>
        </w:rPr>
        <w:t xml:space="preserve"> </w:t>
      </w:r>
      <w:r w:rsidRPr="006A31F0" w:rsidR="00E74E8A">
        <w:rPr>
          <w:rFonts w:ascii="Verdana" w:hAnsi="Verdana" w:cs="Arial"/>
          <w:iCs/>
          <w:lang w:val="nl-NL"/>
        </w:rPr>
        <w:t>Onder de actieve uitoefening van een bedrijf door een vaste inrichting wordt niet verstaan het verrichten, beheren of gewoon in bezit houden van beleggingen voor eigen rekening van de onderneming, tenzij deze activiteiten bestaan uit bank- of verzekeringsactiviteiten of effectenhandel die respectievelijk uitgeoefend worden door een bank, een verzekeringsmaatschappij of een geregistreerd effectenbedrijf.</w:t>
      </w:r>
    </w:p>
    <w:p w:rsidRPr="006A31F0" w:rsidR="00D16916" w:rsidP="006A31F0" w:rsidRDefault="00D16916" w14:paraId="5E58B79B"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t xml:space="preserve">Op grond van het </w:t>
      </w:r>
      <w:r w:rsidRPr="006A31F0" w:rsidR="00C57272">
        <w:rPr>
          <w:rFonts w:ascii="Verdana" w:hAnsi="Verdana" w:cs="Arial"/>
          <w:iCs/>
          <w:lang w:val="nl-NL"/>
        </w:rPr>
        <w:t xml:space="preserve">nieuwe </w:t>
      </w:r>
      <w:r w:rsidRPr="006A31F0">
        <w:rPr>
          <w:rFonts w:ascii="Verdana" w:hAnsi="Verdana" w:cs="Arial"/>
          <w:iCs/>
          <w:lang w:val="nl-NL"/>
        </w:rPr>
        <w:t xml:space="preserve">vierde lid is deze regel </w:t>
      </w:r>
      <w:r w:rsidRPr="006A31F0" w:rsidR="00E74E8A">
        <w:rPr>
          <w:rFonts w:ascii="Verdana" w:hAnsi="Verdana" w:cs="Arial"/>
          <w:iCs/>
          <w:lang w:val="nl-NL"/>
        </w:rPr>
        <w:t xml:space="preserve">echter </w:t>
      </w:r>
      <w:r w:rsidRPr="006A31F0">
        <w:rPr>
          <w:rFonts w:ascii="Verdana" w:hAnsi="Verdana" w:cs="Arial"/>
          <w:iCs/>
          <w:lang w:val="nl-NL"/>
        </w:rPr>
        <w:t>niet van toepassing op inkomensbestanddelen die toerekenbaar zijn aan de actieve uitoefening van een bedrijf door de vaste inrichting.</w:t>
      </w:r>
    </w:p>
    <w:p w:rsidRPr="006A31F0" w:rsidR="0062619E" w:rsidP="006A31F0" w:rsidRDefault="00C57272" w14:paraId="0C88A960"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r>
      <w:r w:rsidRPr="006A31F0" w:rsidR="00D16916">
        <w:rPr>
          <w:rFonts w:ascii="Verdana" w:hAnsi="Verdana" w:cs="Arial"/>
          <w:iCs/>
          <w:lang w:val="nl-NL"/>
        </w:rPr>
        <w:t xml:space="preserve">Het </w:t>
      </w:r>
      <w:r w:rsidRPr="006A31F0">
        <w:rPr>
          <w:rFonts w:ascii="Verdana" w:hAnsi="Verdana" w:cs="Arial"/>
          <w:iCs/>
          <w:lang w:val="nl-NL"/>
        </w:rPr>
        <w:t xml:space="preserve">nieuwe </w:t>
      </w:r>
      <w:r w:rsidRPr="006A31F0" w:rsidR="00D16916">
        <w:rPr>
          <w:rFonts w:ascii="Verdana" w:hAnsi="Verdana" w:cs="Arial"/>
          <w:iCs/>
          <w:lang w:val="nl-NL"/>
        </w:rPr>
        <w:t xml:space="preserve">vijfde lid voorziet in de mogelijkheid voor de bevoegde autoriteit van </w:t>
      </w:r>
      <w:r w:rsidRPr="006A31F0" w:rsidR="00857F6D">
        <w:rPr>
          <w:rFonts w:ascii="Verdana" w:hAnsi="Verdana" w:cs="Arial"/>
          <w:iCs/>
          <w:lang w:val="nl-NL"/>
        </w:rPr>
        <w:t xml:space="preserve">de </w:t>
      </w:r>
      <w:r w:rsidRPr="006A31F0" w:rsidR="00D16916">
        <w:rPr>
          <w:rFonts w:ascii="Verdana" w:hAnsi="Verdana" w:cs="Arial"/>
          <w:iCs/>
          <w:lang w:val="nl-NL"/>
        </w:rPr>
        <w:t>bron</w:t>
      </w:r>
      <w:r w:rsidRPr="006A31F0" w:rsidR="00857F6D">
        <w:rPr>
          <w:rFonts w:ascii="Verdana" w:hAnsi="Verdana" w:cs="Arial"/>
          <w:iCs/>
          <w:lang w:val="nl-NL"/>
        </w:rPr>
        <w:t>staat</w:t>
      </w:r>
      <w:r w:rsidRPr="006A31F0" w:rsidR="00D16916">
        <w:rPr>
          <w:rFonts w:ascii="Verdana" w:hAnsi="Verdana" w:cs="Arial"/>
          <w:iCs/>
          <w:lang w:val="nl-NL"/>
        </w:rPr>
        <w:t xml:space="preserve"> om – op verzoek van de belastingplichtige – toch verdragsvoordelen toe te kennen als d</w:t>
      </w:r>
      <w:r w:rsidRPr="006A31F0" w:rsidR="00857F6D">
        <w:rPr>
          <w:rFonts w:ascii="Verdana" w:hAnsi="Verdana" w:cs="Arial"/>
          <w:iCs/>
          <w:lang w:val="nl-NL"/>
        </w:rPr>
        <w:t>i</w:t>
      </w:r>
      <w:r w:rsidRPr="006A31F0" w:rsidR="00D16916">
        <w:rPr>
          <w:rFonts w:ascii="Verdana" w:hAnsi="Verdana" w:cs="Arial"/>
          <w:iCs/>
          <w:lang w:val="nl-NL"/>
        </w:rPr>
        <w:t xml:space="preserve">e bevoegde autoriteit dat gerechtvaardigd voorkomt. Voorafgaand aan het weigeren of inwilligen van het verzoek zal die bevoegde autoriteit de bevoegde autoriteit van de </w:t>
      </w:r>
      <w:r w:rsidRPr="006A31F0" w:rsidR="000A0A64">
        <w:rPr>
          <w:rFonts w:ascii="Verdana" w:hAnsi="Verdana" w:cs="Arial"/>
          <w:iCs/>
          <w:lang w:val="nl-NL"/>
        </w:rPr>
        <w:t xml:space="preserve">andere </w:t>
      </w:r>
      <w:r w:rsidRPr="006A31F0" w:rsidR="00D16916">
        <w:rPr>
          <w:rFonts w:ascii="Verdana" w:hAnsi="Verdana" w:cs="Arial"/>
          <w:iCs/>
          <w:lang w:val="nl-NL"/>
        </w:rPr>
        <w:t>verdrags</w:t>
      </w:r>
      <w:r w:rsidRPr="006A31F0" w:rsidR="000A0A64">
        <w:rPr>
          <w:rFonts w:ascii="Verdana" w:hAnsi="Verdana" w:cs="Arial"/>
          <w:iCs/>
          <w:lang w:val="nl-NL"/>
        </w:rPr>
        <w:t>luitende staat</w:t>
      </w:r>
      <w:r w:rsidRPr="006A31F0" w:rsidR="00D16916">
        <w:rPr>
          <w:rFonts w:ascii="Verdana" w:hAnsi="Verdana" w:cs="Arial"/>
          <w:iCs/>
          <w:lang w:val="nl-NL"/>
        </w:rPr>
        <w:t xml:space="preserve"> </w:t>
      </w:r>
      <w:r w:rsidRPr="006A31F0" w:rsidR="00857F6D">
        <w:rPr>
          <w:rFonts w:ascii="Verdana" w:hAnsi="Verdana" w:cs="Arial"/>
          <w:iCs/>
          <w:lang w:val="nl-NL"/>
        </w:rPr>
        <w:t>raadplegen</w:t>
      </w:r>
      <w:r w:rsidRPr="006A31F0" w:rsidR="00D16916">
        <w:rPr>
          <w:rFonts w:ascii="Verdana" w:hAnsi="Verdana" w:cs="Arial"/>
          <w:iCs/>
          <w:lang w:val="nl-NL"/>
        </w:rPr>
        <w:t>.</w:t>
      </w:r>
      <w:r w:rsidRPr="006A31F0" w:rsidR="00E91912">
        <w:rPr>
          <w:rFonts w:ascii="Verdana" w:hAnsi="Verdana" w:cs="Arial"/>
          <w:iCs/>
          <w:lang w:val="nl-NL"/>
        </w:rPr>
        <w:t xml:space="preserve"> </w:t>
      </w:r>
    </w:p>
    <w:p w:rsidRPr="006A31F0" w:rsidR="00D16916" w:rsidP="006A31F0" w:rsidRDefault="0062619E" w14:paraId="71D68936" w14:textId="315999C8">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rPr>
      </w:pPr>
      <w:r w:rsidRPr="006A31F0">
        <w:rPr>
          <w:rFonts w:ascii="Verdana" w:hAnsi="Verdana" w:cs="Arial"/>
          <w:iCs/>
          <w:lang w:val="nl-NL"/>
        </w:rPr>
        <w:tab/>
      </w:r>
      <w:r w:rsidRPr="006A31F0" w:rsidR="00E91912">
        <w:rPr>
          <w:rFonts w:ascii="Verdana" w:hAnsi="Verdana" w:cs="Arial"/>
          <w:iCs/>
          <w:lang w:val="nl-NL"/>
        </w:rPr>
        <w:t xml:space="preserve">Deze bepalingen zijn ook opgenomen in artikel 29, achtste </w:t>
      </w:r>
      <w:r w:rsidRPr="006A31F0" w:rsidR="00142D12">
        <w:rPr>
          <w:rFonts w:ascii="Verdana" w:hAnsi="Verdana" w:cs="Arial"/>
          <w:iCs/>
          <w:lang w:val="nl-NL"/>
        </w:rPr>
        <w:t xml:space="preserve">lid, </w:t>
      </w:r>
      <w:r w:rsidRPr="006A31F0" w:rsidR="00E91912">
        <w:rPr>
          <w:rFonts w:ascii="Verdana" w:hAnsi="Verdana" w:cs="Arial"/>
          <w:iCs/>
          <w:lang w:val="nl-NL"/>
        </w:rPr>
        <w:t>van het OESO-</w:t>
      </w:r>
      <w:r w:rsidRPr="006A31F0" w:rsidR="00E91912">
        <w:rPr>
          <w:rFonts w:ascii="Verdana" w:hAnsi="Verdana" w:cs="Arial"/>
          <w:iCs/>
          <w:lang w:val="nl-NL"/>
        </w:rPr>
        <w:lastRenderedPageBreak/>
        <w:t xml:space="preserve">modelverdrag. </w:t>
      </w:r>
      <w:r w:rsidRPr="006A31F0" w:rsidR="00E91912">
        <w:rPr>
          <w:rFonts w:ascii="Verdana" w:hAnsi="Verdana" w:cs="Arial"/>
          <w:iCs/>
        </w:rPr>
        <w:t>Het opnemen van deze bepalingen is tevens in lijn met de positie die Nederland op dit punt heeft ingenomen in het kader van het MLI.</w:t>
      </w:r>
    </w:p>
    <w:p w:rsidRPr="006A31F0" w:rsidR="00D16916" w:rsidP="006A31F0" w:rsidRDefault="00D16916" w14:paraId="4E5AC571" w14:textId="49AC521A">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ab/>
        <w:t xml:space="preserve">In het nieuwe zesde lid is de zogenoemde </w:t>
      </w:r>
      <w:proofErr w:type="spellStart"/>
      <w:r w:rsidRPr="00ED4D1F">
        <w:rPr>
          <w:rFonts w:ascii="Verdana" w:hAnsi="Verdana" w:cs="Arial"/>
          <w:i/>
          <w:iCs/>
          <w:lang w:val="nl-NL"/>
        </w:rPr>
        <w:t>principal</w:t>
      </w:r>
      <w:proofErr w:type="spellEnd"/>
      <w:r w:rsidRPr="00ED4D1F" w:rsidR="00ED4D1F">
        <w:rPr>
          <w:rFonts w:ascii="Verdana" w:hAnsi="Verdana" w:cs="Arial"/>
          <w:i/>
          <w:iCs/>
          <w:lang w:val="nl-NL"/>
        </w:rPr>
        <w:t xml:space="preserve"> </w:t>
      </w:r>
      <w:proofErr w:type="spellStart"/>
      <w:r w:rsidRPr="00ED4D1F">
        <w:rPr>
          <w:rFonts w:ascii="Verdana" w:hAnsi="Verdana" w:cs="Arial"/>
          <w:i/>
          <w:iCs/>
          <w:lang w:val="nl-NL"/>
        </w:rPr>
        <w:t>purposes</w:t>
      </w:r>
      <w:proofErr w:type="spellEnd"/>
      <w:r w:rsidRPr="00ED4D1F" w:rsidR="00ED4D1F">
        <w:rPr>
          <w:rFonts w:ascii="Verdana" w:hAnsi="Verdana" w:cs="Arial"/>
          <w:i/>
          <w:iCs/>
          <w:lang w:val="nl-NL"/>
        </w:rPr>
        <w:t xml:space="preserve"> </w:t>
      </w:r>
      <w:r w:rsidRPr="00ED4D1F">
        <w:rPr>
          <w:rFonts w:ascii="Verdana" w:hAnsi="Verdana" w:cs="Arial"/>
          <w:i/>
          <w:iCs/>
          <w:lang w:val="nl-NL"/>
        </w:rPr>
        <w:t>test</w:t>
      </w:r>
      <w:r w:rsidRPr="006A31F0">
        <w:rPr>
          <w:rFonts w:ascii="Verdana" w:hAnsi="Verdana" w:cs="Arial"/>
          <w:iCs/>
          <w:lang w:val="nl-NL"/>
        </w:rPr>
        <w:t xml:space="preserve"> (hierna: </w:t>
      </w:r>
      <w:r w:rsidRPr="006A31F0" w:rsidR="004737F1">
        <w:rPr>
          <w:rFonts w:ascii="Verdana" w:hAnsi="Verdana" w:cs="Arial"/>
          <w:iCs/>
          <w:lang w:val="nl-NL"/>
        </w:rPr>
        <w:t>‘</w:t>
      </w:r>
      <w:r w:rsidRPr="006A31F0">
        <w:rPr>
          <w:rFonts w:ascii="Verdana" w:hAnsi="Verdana" w:cs="Arial"/>
          <w:iCs/>
          <w:lang w:val="nl-NL"/>
        </w:rPr>
        <w:t>PPT</w:t>
      </w:r>
      <w:r w:rsidRPr="006A31F0" w:rsidR="004737F1">
        <w:rPr>
          <w:rFonts w:ascii="Verdana" w:hAnsi="Verdana" w:cs="Arial"/>
          <w:iCs/>
          <w:lang w:val="nl-NL"/>
        </w:rPr>
        <w:t>’</w:t>
      </w:r>
      <w:r w:rsidRPr="006A31F0">
        <w:rPr>
          <w:rFonts w:ascii="Verdana" w:hAnsi="Verdana" w:cs="Arial"/>
          <w:iCs/>
          <w:lang w:val="nl-NL"/>
        </w:rPr>
        <w:t>) opgenomen</w:t>
      </w:r>
      <w:r w:rsidRPr="006A31F0" w:rsidR="00C57272">
        <w:rPr>
          <w:rFonts w:ascii="Verdana" w:hAnsi="Verdana" w:cs="Arial"/>
          <w:iCs/>
          <w:lang w:val="nl-NL"/>
        </w:rPr>
        <w:t>.</w:t>
      </w:r>
      <w:r w:rsidRPr="006A31F0">
        <w:rPr>
          <w:rFonts w:ascii="Verdana" w:hAnsi="Verdana" w:cs="Arial"/>
          <w:iCs/>
          <w:lang w:val="nl-NL"/>
        </w:rPr>
        <w:t xml:space="preserve"> Op grond van deze bepaling worden verdragsvoordelen niet toegekend indien het verkrijgen van een verdragsvoordeel één van de voornaamste redenen was voor een constructie of transactie die tot dat voordeel heeft geleid, tenzij wordt vastgesteld dat het toekennen van dat voordeel – rekening houdend met alle relevante feiten en omstandigheden – in overeenstemming is met het doel en de strekking van de relevante bepalingen uit het Verdrag.</w:t>
      </w:r>
      <w:r w:rsidRPr="006A31F0" w:rsidR="00E91912">
        <w:rPr>
          <w:rFonts w:ascii="Verdana" w:hAnsi="Verdana" w:cs="Arial"/>
          <w:iCs/>
          <w:lang w:val="nl-NL"/>
        </w:rPr>
        <w:t xml:space="preserve"> </w:t>
      </w:r>
      <w:r w:rsidRPr="006A31F0">
        <w:rPr>
          <w:rFonts w:ascii="Verdana" w:hAnsi="Verdana" w:cs="Arial"/>
          <w:iCs/>
          <w:lang w:val="nl-NL"/>
        </w:rPr>
        <w:t xml:space="preserve">Deze bepaling </w:t>
      </w:r>
      <w:r w:rsidRPr="006A31F0" w:rsidR="00142D12">
        <w:rPr>
          <w:rFonts w:ascii="Verdana" w:hAnsi="Verdana" w:cs="Arial"/>
          <w:iCs/>
          <w:lang w:val="nl-NL"/>
        </w:rPr>
        <w:t>is</w:t>
      </w:r>
      <w:r w:rsidRPr="006A31F0" w:rsidR="004A3656">
        <w:rPr>
          <w:rFonts w:ascii="Verdana" w:hAnsi="Verdana" w:cs="Arial"/>
          <w:iCs/>
          <w:lang w:val="nl-NL"/>
        </w:rPr>
        <w:t xml:space="preserve"> </w:t>
      </w:r>
      <w:r w:rsidRPr="006A31F0" w:rsidR="00E91912">
        <w:rPr>
          <w:rFonts w:ascii="Verdana" w:hAnsi="Verdana" w:cs="Arial"/>
          <w:iCs/>
          <w:lang w:val="nl-NL"/>
        </w:rPr>
        <w:t xml:space="preserve">onderdeel van de </w:t>
      </w:r>
      <w:r w:rsidRPr="006A31F0" w:rsidR="0062619E">
        <w:rPr>
          <w:rFonts w:ascii="Verdana" w:hAnsi="Verdana" w:cs="Arial"/>
          <w:iCs/>
          <w:lang w:val="nl-NL"/>
        </w:rPr>
        <w:t>BEPS-</w:t>
      </w:r>
      <w:r w:rsidRPr="006A31F0" w:rsidR="00E91912">
        <w:rPr>
          <w:rFonts w:ascii="Verdana" w:hAnsi="Verdana" w:cs="Arial"/>
          <w:iCs/>
          <w:lang w:val="nl-NL"/>
        </w:rPr>
        <w:t>minimumstandaard tegen verdragsmisbruik</w:t>
      </w:r>
      <w:r w:rsidRPr="006A31F0">
        <w:rPr>
          <w:rFonts w:ascii="Verdana" w:hAnsi="Verdana" w:cs="Arial"/>
          <w:iCs/>
          <w:lang w:val="nl-NL"/>
        </w:rPr>
        <w:t xml:space="preserve"> </w:t>
      </w:r>
      <w:r w:rsidRPr="006A31F0" w:rsidR="00E91912">
        <w:rPr>
          <w:rFonts w:ascii="Verdana" w:hAnsi="Verdana" w:cs="Arial"/>
          <w:iCs/>
          <w:lang w:val="nl-NL"/>
        </w:rPr>
        <w:t>en is opgenomen in artikel 29, negende lid, van het OESO-modelverdrag</w:t>
      </w:r>
      <w:r w:rsidRPr="006A31F0">
        <w:rPr>
          <w:rFonts w:ascii="Verdana" w:hAnsi="Verdana" w:cs="Arial"/>
          <w:iCs/>
          <w:lang w:val="nl-NL"/>
        </w:rPr>
        <w:t xml:space="preserve">. Bij het MLI heeft Nederland </w:t>
      </w:r>
      <w:r w:rsidRPr="006A31F0" w:rsidR="00E91912">
        <w:rPr>
          <w:rFonts w:ascii="Verdana" w:hAnsi="Verdana" w:cs="Arial"/>
          <w:iCs/>
          <w:lang w:val="nl-NL"/>
        </w:rPr>
        <w:t xml:space="preserve">naast de keuze voor de PPT ook </w:t>
      </w:r>
      <w:r w:rsidRPr="006A31F0">
        <w:rPr>
          <w:rFonts w:ascii="Verdana" w:hAnsi="Verdana" w:cs="Arial"/>
          <w:iCs/>
          <w:lang w:val="nl-NL"/>
        </w:rPr>
        <w:t xml:space="preserve">gekozen voor de toepassing van de </w:t>
      </w:r>
      <w:r w:rsidRPr="006A31F0" w:rsidR="00DD455A">
        <w:rPr>
          <w:rFonts w:ascii="Verdana" w:hAnsi="Verdana" w:cs="Arial"/>
          <w:iCs/>
          <w:lang w:val="nl-NL"/>
        </w:rPr>
        <w:t xml:space="preserve">zogenoemde </w:t>
      </w:r>
      <w:r w:rsidRPr="006A31F0">
        <w:rPr>
          <w:rFonts w:ascii="Verdana" w:hAnsi="Verdana" w:cs="Arial"/>
          <w:iCs/>
          <w:lang w:val="nl-NL"/>
        </w:rPr>
        <w:t>vangnetbepaling bij d</w:t>
      </w:r>
      <w:r w:rsidRPr="006A31F0" w:rsidR="004A3656">
        <w:rPr>
          <w:rFonts w:ascii="Verdana" w:hAnsi="Verdana" w:cs="Arial"/>
          <w:iCs/>
          <w:lang w:val="nl-NL"/>
        </w:rPr>
        <w:t>ie bepaling</w:t>
      </w:r>
      <w:r w:rsidRPr="006A31F0">
        <w:rPr>
          <w:rFonts w:ascii="Verdana" w:hAnsi="Verdana" w:cs="Arial"/>
          <w:iCs/>
          <w:lang w:val="nl-NL"/>
        </w:rPr>
        <w:t>. Deze bepaling is opgenomen in artikel 7, vierde lid, van het MLI en biedt bevoegde autoriteiten onder bepaalde voorwaarde</w:t>
      </w:r>
      <w:r w:rsidRPr="006A31F0" w:rsidR="000A0A64">
        <w:rPr>
          <w:rFonts w:ascii="Verdana" w:hAnsi="Verdana" w:cs="Arial"/>
          <w:iCs/>
          <w:lang w:val="nl-NL"/>
        </w:rPr>
        <w:t>n</w:t>
      </w:r>
      <w:r w:rsidRPr="006A31F0">
        <w:rPr>
          <w:rFonts w:ascii="Verdana" w:hAnsi="Verdana" w:cs="Arial"/>
          <w:iCs/>
          <w:lang w:val="nl-NL"/>
        </w:rPr>
        <w:t xml:space="preserve"> de mogelijkheid om alsnog verdragsvoordelen toe te kennen. Duitsland heeft bij het MLI niet gekozen voor deze bepaling en was ook niet bereid om deze bepaling bilateraal overeen te komen. Verder heeft Nederland, conform het Nederlandse verdragsbeleid, voorgesteld om een bepaling op te nemen op grond waarvan bevoegde autoriteiten elkaar </w:t>
      </w:r>
      <w:r w:rsidRPr="006A31F0" w:rsidR="00DD455A">
        <w:rPr>
          <w:rFonts w:ascii="Verdana" w:hAnsi="Verdana" w:cs="Arial"/>
          <w:iCs/>
          <w:lang w:val="nl-NL"/>
        </w:rPr>
        <w:t>raadplegen</w:t>
      </w:r>
      <w:r w:rsidRPr="006A31F0">
        <w:rPr>
          <w:rFonts w:ascii="Verdana" w:hAnsi="Verdana" w:cs="Arial"/>
          <w:iCs/>
          <w:lang w:val="nl-NL"/>
        </w:rPr>
        <w:t xml:space="preserve"> bij het voornemen om de PPT toe te passen. Duitsland was </w:t>
      </w:r>
      <w:r w:rsidRPr="006A31F0" w:rsidR="000A0A64">
        <w:rPr>
          <w:rFonts w:ascii="Verdana" w:hAnsi="Verdana" w:cs="Arial"/>
          <w:iCs/>
          <w:lang w:val="nl-NL"/>
        </w:rPr>
        <w:t xml:space="preserve">echter </w:t>
      </w:r>
      <w:r w:rsidRPr="006A31F0">
        <w:rPr>
          <w:rFonts w:ascii="Verdana" w:hAnsi="Verdana" w:cs="Arial"/>
          <w:iCs/>
          <w:lang w:val="nl-NL"/>
        </w:rPr>
        <w:t>niet bereid deze bepaling op te nemen.</w:t>
      </w:r>
    </w:p>
    <w:p w:rsidRPr="006A31F0" w:rsidR="00432068" w:rsidP="006A31F0" w:rsidRDefault="007D5141" w14:paraId="0B555E6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p>
    <w:p w:rsidRPr="006A31F0" w:rsidR="002172B9" w:rsidP="006A31F0" w:rsidRDefault="002172B9" w14:paraId="6512C9BD" w14:textId="3ACD4A36">
      <w:pPr>
        <w:keepNext/>
        <w:widowControl/>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sidRPr="006A31F0">
        <w:rPr>
          <w:rFonts w:ascii="Verdana" w:hAnsi="Verdana" w:cs="Arial"/>
          <w:b/>
          <w:i/>
          <w:iCs/>
          <w:lang w:val="nl-NL"/>
        </w:rPr>
        <w:t>II.7</w:t>
      </w:r>
      <w:r w:rsidR="00C945AA">
        <w:rPr>
          <w:rFonts w:ascii="Verdana" w:hAnsi="Verdana" w:cs="Arial"/>
          <w:b/>
          <w:i/>
          <w:iCs/>
          <w:lang w:val="nl-NL"/>
        </w:rPr>
        <w:t>.</w:t>
      </w:r>
      <w:r w:rsidRPr="006A31F0">
        <w:rPr>
          <w:rFonts w:ascii="Verdana" w:hAnsi="Verdana" w:cs="Arial"/>
          <w:b/>
          <w:i/>
          <w:iCs/>
          <w:lang w:val="nl-NL"/>
        </w:rPr>
        <w:t xml:space="preserve"> </w:t>
      </w:r>
      <w:r w:rsidRPr="006A31F0" w:rsidR="006C69FC">
        <w:rPr>
          <w:rFonts w:ascii="Verdana" w:hAnsi="Verdana" w:cs="Arial"/>
          <w:b/>
          <w:i/>
          <w:iCs/>
          <w:lang w:val="nl-NL"/>
        </w:rPr>
        <w:t>Uitwisseling van informatie</w:t>
      </w:r>
      <w:r w:rsidRPr="006A31F0">
        <w:rPr>
          <w:rFonts w:ascii="Verdana" w:hAnsi="Verdana" w:cs="Arial"/>
          <w:b/>
          <w:i/>
          <w:iCs/>
          <w:lang w:val="nl-NL"/>
        </w:rPr>
        <w:t xml:space="preserve"> (artikel IX van het Wijzigingsprotocol, het nieuwe artikel XVIII van het Protocol bij het Verdrag)</w:t>
      </w:r>
    </w:p>
    <w:p w:rsidRPr="006A31F0" w:rsidR="006230E9" w:rsidP="006A31F0" w:rsidRDefault="00F42E4E" w14:paraId="1CD24655" w14:textId="730D759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210817">
        <w:rPr>
          <w:rFonts w:ascii="Verdana" w:hAnsi="Verdana" w:cs="Arial"/>
          <w:lang w:val="nl-NL"/>
        </w:rPr>
        <w:t xml:space="preserve">In </w:t>
      </w:r>
      <w:r w:rsidRPr="006A31F0" w:rsidR="00D164BD">
        <w:rPr>
          <w:rFonts w:ascii="Verdana" w:hAnsi="Verdana" w:cs="Arial"/>
          <w:lang w:val="nl-NL"/>
        </w:rPr>
        <w:t xml:space="preserve">het huidige </w:t>
      </w:r>
      <w:r w:rsidRPr="006A31F0" w:rsidR="00210817">
        <w:rPr>
          <w:rFonts w:ascii="Verdana" w:hAnsi="Verdana" w:cs="Arial"/>
          <w:lang w:val="nl-NL"/>
        </w:rPr>
        <w:t xml:space="preserve">artikel XVIII, eerste lid, van het Protocol bij het Verdrag </w:t>
      </w:r>
      <w:r w:rsidR="00B21B98">
        <w:rPr>
          <w:rFonts w:ascii="Verdana" w:hAnsi="Verdana" w:cs="Arial"/>
          <w:lang w:val="nl-NL"/>
        </w:rPr>
        <w:t xml:space="preserve">(Ad artikel 27) </w:t>
      </w:r>
      <w:r w:rsidRPr="006A31F0" w:rsidR="00210817">
        <w:rPr>
          <w:rFonts w:ascii="Verdana" w:hAnsi="Verdana" w:cs="Arial"/>
          <w:lang w:val="nl-NL"/>
        </w:rPr>
        <w:t>is op verzoek van Duitsland een aantal, op grond van Duitse formeelrechtelijke overwegingen noodz</w:t>
      </w:r>
      <w:r w:rsidRPr="006A31F0" w:rsidR="006230E9">
        <w:rPr>
          <w:rFonts w:ascii="Verdana" w:hAnsi="Verdana" w:cs="Arial"/>
          <w:lang w:val="nl-NL"/>
        </w:rPr>
        <w:t xml:space="preserve">akelijke, bepalingen opgenomen. Met de inwerkingtreding van de AVG </w:t>
      </w:r>
      <w:r w:rsidRPr="006A31F0" w:rsidR="001B75AC">
        <w:rPr>
          <w:rFonts w:ascii="Verdana" w:hAnsi="Verdana" w:cs="Arial"/>
          <w:lang w:val="nl-NL"/>
        </w:rPr>
        <w:t xml:space="preserve">zijn </w:t>
      </w:r>
      <w:r w:rsidRPr="006A31F0" w:rsidR="006230E9">
        <w:rPr>
          <w:rFonts w:ascii="Verdana" w:hAnsi="Verdana" w:cs="Arial"/>
          <w:lang w:val="nl-NL"/>
        </w:rPr>
        <w:t>deze bepaling</w:t>
      </w:r>
      <w:r w:rsidRPr="006A31F0" w:rsidR="001B75AC">
        <w:rPr>
          <w:rFonts w:ascii="Verdana" w:hAnsi="Verdana" w:cs="Arial"/>
          <w:lang w:val="nl-NL"/>
        </w:rPr>
        <w:t>en</w:t>
      </w:r>
      <w:r w:rsidRPr="006A31F0" w:rsidR="006230E9">
        <w:rPr>
          <w:rFonts w:ascii="Verdana" w:hAnsi="Verdana" w:cs="Arial"/>
          <w:lang w:val="nl-NL"/>
        </w:rPr>
        <w:t xml:space="preserve"> overbodig geworden. </w:t>
      </w:r>
      <w:r w:rsidRPr="006A31F0" w:rsidR="0025027E">
        <w:rPr>
          <w:rFonts w:ascii="Verdana" w:hAnsi="Verdana" w:cs="Arial"/>
          <w:lang w:val="nl-NL"/>
        </w:rPr>
        <w:t>Daarom komt o</w:t>
      </w:r>
      <w:r w:rsidRPr="006A31F0" w:rsidR="006230E9">
        <w:rPr>
          <w:rFonts w:ascii="Verdana" w:hAnsi="Verdana" w:cs="Arial"/>
          <w:lang w:val="nl-NL"/>
        </w:rPr>
        <w:t xml:space="preserve">p verzoek van Duitsland, </w:t>
      </w:r>
      <w:r w:rsidRPr="006A31F0" w:rsidR="0025027E">
        <w:rPr>
          <w:rFonts w:ascii="Verdana" w:hAnsi="Verdana" w:cs="Arial"/>
          <w:lang w:val="nl-NL"/>
        </w:rPr>
        <w:t xml:space="preserve">ook </w:t>
      </w:r>
      <w:r w:rsidRPr="006A31F0" w:rsidR="006230E9">
        <w:rPr>
          <w:rFonts w:ascii="Verdana" w:hAnsi="Verdana" w:cs="Arial"/>
          <w:lang w:val="nl-NL"/>
        </w:rPr>
        <w:t xml:space="preserve">om </w:t>
      </w:r>
      <w:r w:rsidRPr="006A31F0" w:rsidR="00E123C4">
        <w:rPr>
          <w:rFonts w:ascii="Verdana" w:hAnsi="Verdana" w:cs="Arial"/>
          <w:lang w:val="nl-NL"/>
        </w:rPr>
        <w:t xml:space="preserve">mogelijke </w:t>
      </w:r>
      <w:r w:rsidRPr="006A31F0" w:rsidR="006230E9">
        <w:rPr>
          <w:rFonts w:ascii="Verdana" w:hAnsi="Verdana" w:cs="Arial"/>
          <w:lang w:val="nl-NL"/>
        </w:rPr>
        <w:t xml:space="preserve">verwarring over de toepasselijke regels met betrekking tot gegevensbescherming te voorkomen, </w:t>
      </w:r>
      <w:r w:rsidRPr="006A31F0" w:rsidR="0025027E">
        <w:rPr>
          <w:rFonts w:ascii="Verdana" w:hAnsi="Verdana" w:cs="Arial"/>
          <w:lang w:val="nl-NL"/>
        </w:rPr>
        <w:t xml:space="preserve">met artikel IX van het Wijzigingsprotocol </w:t>
      </w:r>
      <w:r w:rsidRPr="006A31F0" w:rsidR="00E123C4">
        <w:rPr>
          <w:rFonts w:ascii="Verdana" w:hAnsi="Verdana" w:cs="Arial"/>
          <w:lang w:val="nl-NL"/>
        </w:rPr>
        <w:t>het huidige</w:t>
      </w:r>
      <w:r w:rsidRPr="006A31F0" w:rsidR="001B75AC">
        <w:rPr>
          <w:rFonts w:ascii="Verdana" w:hAnsi="Verdana" w:cs="Arial"/>
          <w:lang w:val="nl-NL"/>
        </w:rPr>
        <w:t xml:space="preserve"> </w:t>
      </w:r>
      <w:r w:rsidRPr="006A31F0" w:rsidR="00E123C4">
        <w:rPr>
          <w:rFonts w:ascii="Verdana" w:hAnsi="Verdana" w:cs="Arial"/>
          <w:lang w:val="nl-NL"/>
        </w:rPr>
        <w:t>artikel XVIII, eerste lid, van het Protocol bij het Verdrag te vervallen</w:t>
      </w:r>
      <w:r w:rsidRPr="006A31F0" w:rsidR="006230E9">
        <w:rPr>
          <w:rFonts w:ascii="Verdana" w:hAnsi="Verdana" w:cs="Arial"/>
          <w:lang w:val="nl-NL"/>
        </w:rPr>
        <w:t xml:space="preserve">. </w:t>
      </w:r>
    </w:p>
    <w:p w:rsidRPr="006A31F0" w:rsidR="000E1562" w:rsidP="006A31F0" w:rsidRDefault="006230E9" w14:paraId="49E0E938"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r w:rsidRPr="006A31F0">
        <w:rPr>
          <w:rFonts w:ascii="Verdana" w:hAnsi="Verdana" w:cs="Arial"/>
          <w:lang w:val="nl-NL"/>
        </w:rPr>
        <w:tab/>
      </w:r>
      <w:r w:rsidRPr="006A31F0" w:rsidR="00E123C4">
        <w:rPr>
          <w:rFonts w:ascii="Verdana" w:hAnsi="Verdana" w:cs="Arial"/>
          <w:lang w:val="nl-NL"/>
        </w:rPr>
        <w:t>In h</w:t>
      </w:r>
      <w:r w:rsidRPr="006A31F0">
        <w:rPr>
          <w:rFonts w:ascii="Verdana" w:hAnsi="Verdana" w:cs="Arial"/>
          <w:lang w:val="nl-NL"/>
        </w:rPr>
        <w:t>et nieuwe artikel XVIII, eerste en tweede lid</w:t>
      </w:r>
      <w:r w:rsidRPr="006A31F0" w:rsidR="000C6045">
        <w:rPr>
          <w:rFonts w:ascii="Verdana" w:hAnsi="Verdana" w:cs="Arial"/>
          <w:lang w:val="nl-NL"/>
        </w:rPr>
        <w:t>,</w:t>
      </w:r>
      <w:r w:rsidRPr="006A31F0">
        <w:rPr>
          <w:rFonts w:ascii="Verdana" w:hAnsi="Verdana" w:cs="Arial"/>
          <w:lang w:val="nl-NL"/>
        </w:rPr>
        <w:t xml:space="preserve"> </w:t>
      </w:r>
      <w:r w:rsidRPr="006A31F0" w:rsidR="00E123C4">
        <w:rPr>
          <w:rFonts w:ascii="Verdana" w:hAnsi="Verdana" w:cs="Arial"/>
          <w:lang w:val="nl-NL"/>
        </w:rPr>
        <w:t>wordt de tekst opgenomen van het huidige</w:t>
      </w:r>
      <w:r w:rsidRPr="006A31F0">
        <w:rPr>
          <w:rFonts w:ascii="Verdana" w:hAnsi="Verdana" w:cs="Arial"/>
          <w:lang w:val="nl-NL"/>
        </w:rPr>
        <w:t xml:space="preserve"> artikel XVIII, tweede en derde lid</w:t>
      </w:r>
      <w:r w:rsidRPr="006A31F0" w:rsidR="000C6045">
        <w:rPr>
          <w:rFonts w:ascii="Verdana" w:hAnsi="Verdana" w:cs="Arial"/>
          <w:lang w:val="nl-NL"/>
        </w:rPr>
        <w:t>,</w:t>
      </w:r>
      <w:r w:rsidRPr="006A31F0">
        <w:rPr>
          <w:rFonts w:ascii="Verdana" w:hAnsi="Verdana" w:cs="Arial"/>
          <w:lang w:val="nl-NL"/>
        </w:rPr>
        <w:t xml:space="preserve"> van het </w:t>
      </w:r>
      <w:r w:rsidRPr="006A31F0" w:rsidR="00210817">
        <w:rPr>
          <w:rFonts w:ascii="Verdana" w:hAnsi="Verdana" w:cs="Arial"/>
          <w:lang w:val="nl-NL"/>
        </w:rPr>
        <w:t>Protocol bij het Verdrag</w:t>
      </w:r>
      <w:r w:rsidRPr="006A31F0" w:rsidR="00E123C4">
        <w:rPr>
          <w:rFonts w:ascii="Verdana" w:hAnsi="Verdana" w:cs="Arial"/>
          <w:lang w:val="nl-NL"/>
        </w:rPr>
        <w:t xml:space="preserve">, met dien verstande dat </w:t>
      </w:r>
      <w:r w:rsidRPr="006A31F0" w:rsidR="002528C5">
        <w:rPr>
          <w:rFonts w:ascii="Verdana" w:hAnsi="Verdana" w:cs="Arial"/>
          <w:lang w:val="nl-NL"/>
        </w:rPr>
        <w:t xml:space="preserve">daarbij </w:t>
      </w:r>
      <w:r w:rsidRPr="006A31F0" w:rsidR="00E123C4">
        <w:rPr>
          <w:rFonts w:ascii="Verdana" w:hAnsi="Verdana" w:cs="Arial"/>
          <w:lang w:val="nl-NL"/>
        </w:rPr>
        <w:t xml:space="preserve">de in het tweede lid (nieuw) opgenomen verwijzing wordt aangepast </w:t>
      </w:r>
      <w:r w:rsidRPr="006A31F0" w:rsidR="0025027E">
        <w:rPr>
          <w:rFonts w:ascii="Verdana" w:hAnsi="Verdana" w:cs="Arial"/>
          <w:lang w:val="nl-NL"/>
        </w:rPr>
        <w:t>naar aanleiding van</w:t>
      </w:r>
      <w:r w:rsidRPr="006A31F0" w:rsidR="00E123C4">
        <w:rPr>
          <w:rFonts w:ascii="Verdana" w:hAnsi="Verdana" w:cs="Arial"/>
          <w:lang w:val="nl-NL"/>
        </w:rPr>
        <w:t xml:space="preserve"> het vervallen van </w:t>
      </w:r>
      <w:r w:rsidRPr="006A31F0" w:rsidR="0025027E">
        <w:rPr>
          <w:rFonts w:ascii="Verdana" w:hAnsi="Verdana" w:cs="Arial"/>
          <w:lang w:val="nl-NL"/>
        </w:rPr>
        <w:t>genoemd</w:t>
      </w:r>
      <w:r w:rsidRPr="006A31F0" w:rsidR="00E123C4">
        <w:rPr>
          <w:rFonts w:ascii="Verdana" w:hAnsi="Verdana" w:cs="Arial"/>
          <w:lang w:val="nl-NL"/>
        </w:rPr>
        <w:t xml:space="preserve"> eerste lid</w:t>
      </w:r>
      <w:r w:rsidRPr="006A31F0" w:rsidR="005E43B2">
        <w:rPr>
          <w:rFonts w:ascii="Verdana" w:hAnsi="Verdana" w:cs="Arial"/>
          <w:lang w:val="nl-NL"/>
        </w:rPr>
        <w:t>.</w:t>
      </w:r>
    </w:p>
    <w:p w:rsidRPr="006A31F0" w:rsidR="006230E9" w:rsidP="006A31F0" w:rsidRDefault="006230E9" w14:paraId="545FE7FA"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lang w:val="nl-NL"/>
        </w:rPr>
      </w:pPr>
    </w:p>
    <w:p w:rsidRPr="006A31F0" w:rsidR="00062B66" w:rsidP="006A31F0" w:rsidRDefault="00062B66" w14:paraId="7E534B77" w14:textId="70A4DF98">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r w:rsidRPr="006A31F0">
        <w:rPr>
          <w:rFonts w:ascii="Verdana" w:hAnsi="Verdana" w:cs="Arial"/>
          <w:b/>
          <w:i/>
          <w:iCs/>
          <w:lang w:val="nl-NL"/>
        </w:rPr>
        <w:t>II.</w:t>
      </w:r>
      <w:r w:rsidRPr="006A31F0" w:rsidR="008875DA">
        <w:rPr>
          <w:rFonts w:ascii="Verdana" w:hAnsi="Verdana" w:cs="Arial"/>
          <w:b/>
          <w:i/>
          <w:iCs/>
          <w:lang w:val="nl-NL"/>
        </w:rPr>
        <w:t>8</w:t>
      </w:r>
      <w:r w:rsidR="00C945AA">
        <w:rPr>
          <w:rFonts w:ascii="Verdana" w:hAnsi="Verdana" w:cs="Arial"/>
          <w:b/>
          <w:i/>
          <w:iCs/>
          <w:lang w:val="nl-NL"/>
        </w:rPr>
        <w:t>.</w:t>
      </w:r>
      <w:r w:rsidRPr="006A31F0" w:rsidR="006230E9">
        <w:rPr>
          <w:rFonts w:ascii="Verdana" w:hAnsi="Verdana" w:cs="Arial"/>
          <w:b/>
          <w:i/>
          <w:iCs/>
          <w:lang w:val="nl-NL"/>
        </w:rPr>
        <w:t xml:space="preserve"> Inwerkingtreding</w:t>
      </w:r>
      <w:r w:rsidRPr="006A31F0">
        <w:rPr>
          <w:rFonts w:ascii="Verdana" w:hAnsi="Verdana" w:cs="Arial"/>
          <w:b/>
          <w:i/>
          <w:iCs/>
          <w:lang w:val="nl-NL"/>
        </w:rPr>
        <w:t xml:space="preserve"> (artikel X van het Wijzigingsprotocol)</w:t>
      </w:r>
    </w:p>
    <w:p w:rsidRPr="006A31F0" w:rsidR="00F40E2D" w:rsidP="00B21B98" w:rsidRDefault="00F9396C" w14:paraId="5C8318C7"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rPr>
      </w:pPr>
      <w:r w:rsidRPr="006A31F0">
        <w:rPr>
          <w:rFonts w:ascii="Verdana" w:hAnsi="Verdana"/>
        </w:rPr>
        <w:tab/>
        <w:t xml:space="preserve">In artikel X is geregeld wanneer het </w:t>
      </w:r>
      <w:r w:rsidRPr="006A31F0" w:rsidR="00FC447C">
        <w:rPr>
          <w:rFonts w:ascii="Verdana" w:hAnsi="Verdana"/>
        </w:rPr>
        <w:t xml:space="preserve">Wijzigingsprotocol </w:t>
      </w:r>
      <w:r w:rsidRPr="006A31F0">
        <w:rPr>
          <w:rFonts w:ascii="Verdana" w:hAnsi="Verdana"/>
        </w:rPr>
        <w:t>in werking treedt en wanneer de bepaling</w:t>
      </w:r>
      <w:r w:rsidRPr="006A31F0" w:rsidR="000E2F49">
        <w:rPr>
          <w:rFonts w:ascii="Verdana" w:hAnsi="Verdana"/>
        </w:rPr>
        <w:t>en</w:t>
      </w:r>
      <w:r w:rsidRPr="006A31F0">
        <w:rPr>
          <w:rFonts w:ascii="Verdana" w:hAnsi="Verdana"/>
        </w:rPr>
        <w:t xml:space="preserve"> van het </w:t>
      </w:r>
      <w:r w:rsidRPr="006A31F0" w:rsidR="00FC447C">
        <w:rPr>
          <w:rFonts w:ascii="Verdana" w:hAnsi="Verdana"/>
        </w:rPr>
        <w:t xml:space="preserve">Wijzigingsprotocol </w:t>
      </w:r>
      <w:r w:rsidRPr="006A31F0">
        <w:rPr>
          <w:rFonts w:ascii="Verdana" w:hAnsi="Verdana"/>
        </w:rPr>
        <w:t xml:space="preserve">van toepassing worden. </w:t>
      </w:r>
    </w:p>
    <w:p w:rsidRPr="006A31F0" w:rsidR="00F9396C" w:rsidP="00B21B98" w:rsidRDefault="00F40E2D" w14:paraId="2C5A7092"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rPr>
      </w:pPr>
      <w:r w:rsidRPr="006A31F0">
        <w:rPr>
          <w:rFonts w:ascii="Verdana" w:hAnsi="Verdana"/>
        </w:rPr>
        <w:tab/>
      </w:r>
      <w:r w:rsidRPr="006A31F0" w:rsidR="00F9396C">
        <w:rPr>
          <w:rFonts w:ascii="Verdana" w:hAnsi="Verdana"/>
        </w:rPr>
        <w:t xml:space="preserve">Op grond van het eerste lid dient het </w:t>
      </w:r>
      <w:r w:rsidRPr="006A31F0" w:rsidR="00FC447C">
        <w:rPr>
          <w:rFonts w:ascii="Verdana" w:hAnsi="Verdana"/>
        </w:rPr>
        <w:t xml:space="preserve">Wijzigingsprotocol </w:t>
      </w:r>
      <w:r w:rsidRPr="006A31F0" w:rsidR="00F9396C">
        <w:rPr>
          <w:rFonts w:ascii="Verdana" w:hAnsi="Verdana"/>
        </w:rPr>
        <w:t xml:space="preserve">te worden bekrachtigd en </w:t>
      </w:r>
      <w:r w:rsidRPr="006A31F0" w:rsidR="00120894">
        <w:rPr>
          <w:rFonts w:ascii="Verdana" w:hAnsi="Verdana"/>
        </w:rPr>
        <w:lastRenderedPageBreak/>
        <w:t xml:space="preserve">dienen </w:t>
      </w:r>
      <w:r w:rsidRPr="006A31F0" w:rsidR="00F9396C">
        <w:rPr>
          <w:rFonts w:ascii="Verdana" w:hAnsi="Verdana"/>
        </w:rPr>
        <w:t xml:space="preserve">de akten van bekrachtiging zo spoedig mogelijk uitgewisseld te worden. </w:t>
      </w:r>
    </w:p>
    <w:p w:rsidRPr="006A31F0" w:rsidR="00D144C0" w:rsidP="00B21B98" w:rsidRDefault="00FC447C" w14:paraId="249D688F" w14:textId="55E2C532">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jc w:val="both"/>
        <w:rPr>
          <w:rFonts w:ascii="Verdana" w:hAnsi="Verdana"/>
        </w:rPr>
      </w:pPr>
      <w:r w:rsidRPr="006A31F0">
        <w:rPr>
          <w:rFonts w:ascii="Verdana" w:hAnsi="Verdana"/>
        </w:rPr>
        <w:tab/>
      </w:r>
      <w:r w:rsidRPr="006A31F0" w:rsidR="00F9396C">
        <w:rPr>
          <w:rFonts w:ascii="Verdana" w:hAnsi="Verdana"/>
        </w:rPr>
        <w:t xml:space="preserve">Op grond van het tweede lid treedt het </w:t>
      </w:r>
      <w:r w:rsidRPr="006A31F0">
        <w:rPr>
          <w:rFonts w:ascii="Verdana" w:hAnsi="Verdana"/>
        </w:rPr>
        <w:t xml:space="preserve">Wijzigingsprotocol </w:t>
      </w:r>
      <w:r w:rsidRPr="006A31F0" w:rsidR="00F9396C">
        <w:rPr>
          <w:rFonts w:ascii="Verdana" w:hAnsi="Verdana"/>
        </w:rPr>
        <w:t>in werking op de laatste dag van de maand volgend op de maand waarop de akte</w:t>
      </w:r>
      <w:r w:rsidR="00B41FF8">
        <w:rPr>
          <w:rFonts w:ascii="Verdana" w:hAnsi="Verdana"/>
        </w:rPr>
        <w:t>n</w:t>
      </w:r>
      <w:r w:rsidRPr="006A31F0" w:rsidR="00F9396C">
        <w:rPr>
          <w:rFonts w:ascii="Verdana" w:hAnsi="Verdana"/>
        </w:rPr>
        <w:t xml:space="preserve"> van bekrachtiging zijn uitgewisseld. De bepalingen van het </w:t>
      </w:r>
      <w:r w:rsidRPr="006A31F0">
        <w:rPr>
          <w:rFonts w:ascii="Verdana" w:hAnsi="Verdana"/>
        </w:rPr>
        <w:t xml:space="preserve">Wijzigingsprotocol </w:t>
      </w:r>
      <w:r w:rsidRPr="006A31F0" w:rsidR="00F9396C">
        <w:rPr>
          <w:rFonts w:ascii="Verdana" w:hAnsi="Verdana"/>
        </w:rPr>
        <w:t xml:space="preserve">zijn vervolgens van toepassing voor Nederland en Duitsland voor belastingjaren en –tijdvakken die aanvangen op of na 1 januari van het kalenderjaar dat volgt op het jaar waarin het </w:t>
      </w:r>
      <w:r w:rsidR="002252E0">
        <w:rPr>
          <w:rFonts w:ascii="Verdana" w:hAnsi="Verdana"/>
        </w:rPr>
        <w:t>W</w:t>
      </w:r>
      <w:r w:rsidRPr="006A31F0" w:rsidR="00F9396C">
        <w:rPr>
          <w:rFonts w:ascii="Verdana" w:hAnsi="Verdana"/>
        </w:rPr>
        <w:t xml:space="preserve">ijzigingsprotocol in werking treedt. Voor Duitsland is in onderdeel b, subonderdeel aa, nader toegelicht dat de bepalingen van het </w:t>
      </w:r>
      <w:r w:rsidR="002252E0">
        <w:rPr>
          <w:rFonts w:ascii="Verdana" w:hAnsi="Verdana"/>
        </w:rPr>
        <w:t>W</w:t>
      </w:r>
      <w:r w:rsidRPr="006A31F0" w:rsidR="00F9396C">
        <w:rPr>
          <w:rFonts w:ascii="Verdana" w:hAnsi="Verdana"/>
        </w:rPr>
        <w:t xml:space="preserve">ijzigingsprotocol van toepassing zijn op bronbelastingen geheven over betalingen op of na 1 januari van het jaar dat volgt op het jaar waarin het </w:t>
      </w:r>
      <w:r w:rsidR="002252E0">
        <w:rPr>
          <w:rFonts w:ascii="Verdana" w:hAnsi="Verdana"/>
        </w:rPr>
        <w:t>W</w:t>
      </w:r>
      <w:r w:rsidRPr="006A31F0" w:rsidR="00F9396C">
        <w:rPr>
          <w:rFonts w:ascii="Verdana" w:hAnsi="Verdana"/>
        </w:rPr>
        <w:t>ijzigingsprotocol in werking treedt.</w:t>
      </w:r>
    </w:p>
    <w:p w:rsidRPr="006A31F0" w:rsidR="00FC447C" w:rsidP="006A31F0" w:rsidRDefault="00FC447C" w14:paraId="45C0EF6B"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b/>
          <w:i/>
          <w:iCs/>
          <w:lang w:val="nl-NL"/>
        </w:rPr>
      </w:pPr>
    </w:p>
    <w:p w:rsidRPr="006A31F0" w:rsidR="00D144C0" w:rsidP="006A31F0" w:rsidRDefault="00D144C0" w14:paraId="15ADC1ED"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r w:rsidRPr="006A31F0">
        <w:rPr>
          <w:rFonts w:ascii="Verdana" w:hAnsi="Verdana" w:cs="Arial"/>
          <w:iCs/>
          <w:lang w:val="nl-NL"/>
        </w:rPr>
        <w:t>De Staatssecretaris van Financiën,</w:t>
      </w:r>
    </w:p>
    <w:p w:rsidRPr="006A31F0" w:rsidR="00D144C0" w:rsidP="006A31F0" w:rsidRDefault="00D144C0" w14:paraId="45F563B5"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Pr="006A31F0" w:rsidR="00D144C0" w:rsidP="006A31F0" w:rsidRDefault="00D144C0" w14:paraId="71FF02F3"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Pr="006A31F0" w:rsidR="00D144C0" w:rsidP="006A31F0" w:rsidRDefault="00D144C0" w14:paraId="5F210934"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Pr="006A31F0" w:rsidR="00D144C0" w:rsidP="006A31F0" w:rsidRDefault="00D144C0" w14:paraId="116B0382" w14:textId="77777777">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cs="Arial"/>
          <w:iCs/>
          <w:lang w:val="nl-NL"/>
        </w:rPr>
      </w:pPr>
    </w:p>
    <w:p w:rsidRPr="006A31F0" w:rsidR="000C2084" w:rsidP="003652C0" w:rsidRDefault="00D144C0" w14:paraId="227F92F2" w14:textId="495B6702">
      <w:pPr>
        <w:tabs>
          <w:tab w:val="left" w:pos="-720"/>
          <w:tab w:val="left" w:pos="-288"/>
          <w:tab w:val="left" w:pos="0"/>
          <w:tab w:val="left" w:pos="540"/>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s>
        <w:suppressAutoHyphens/>
        <w:spacing w:line="360" w:lineRule="auto"/>
        <w:rPr>
          <w:rFonts w:ascii="Verdana" w:hAnsi="Verdana"/>
          <w:lang w:val="nl-NL"/>
        </w:rPr>
      </w:pPr>
      <w:r w:rsidRPr="006A31F0">
        <w:rPr>
          <w:rFonts w:ascii="Verdana" w:hAnsi="Verdana" w:cs="Arial"/>
          <w:iCs/>
          <w:lang w:val="nl-NL"/>
        </w:rPr>
        <w:t xml:space="preserve">De </w:t>
      </w:r>
      <w:r w:rsidR="003652C0">
        <w:rPr>
          <w:rFonts w:ascii="Verdana" w:hAnsi="Verdana" w:cs="Arial"/>
          <w:iCs/>
          <w:lang w:val="nl-NL"/>
        </w:rPr>
        <w:t>Minister van Buitenlandse Zaken</w:t>
      </w:r>
    </w:p>
    <w:sectPr w:rsidRPr="006A31F0" w:rsidR="000C2084">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7F7048" w14:textId="77777777" w:rsidR="00073D5C" w:rsidRDefault="00073D5C" w:rsidP="0092512D">
      <w:r>
        <w:separator/>
      </w:r>
    </w:p>
  </w:endnote>
  <w:endnote w:type="continuationSeparator" w:id="0">
    <w:p w14:paraId="63387E1B" w14:textId="77777777" w:rsidR="00073D5C" w:rsidRDefault="00073D5C" w:rsidP="009251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3F76F6" w14:textId="77777777" w:rsidR="00E91912" w:rsidRDefault="00E919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22F9B6" w14:textId="77777777" w:rsidR="00E91912" w:rsidRDefault="00E9191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94A8AE" w14:textId="77777777" w:rsidR="00E91912" w:rsidRDefault="00E919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41A1F3" w14:textId="77777777" w:rsidR="00073D5C" w:rsidRDefault="00073D5C" w:rsidP="0092512D">
      <w:r>
        <w:separator/>
      </w:r>
    </w:p>
  </w:footnote>
  <w:footnote w:type="continuationSeparator" w:id="0">
    <w:p w14:paraId="07F8812D" w14:textId="77777777" w:rsidR="00073D5C" w:rsidRDefault="00073D5C" w:rsidP="0092512D">
      <w:r>
        <w:continuationSeparator/>
      </w:r>
    </w:p>
  </w:footnote>
  <w:footnote w:id="1">
    <w:p w14:paraId="780AEB04" w14:textId="77777777" w:rsidR="00E91912" w:rsidRPr="007E6A5C" w:rsidRDefault="00E91912">
      <w:pPr>
        <w:pStyle w:val="FootnoteText"/>
        <w:rPr>
          <w:rFonts w:ascii="Verdana" w:hAnsi="Verdana"/>
          <w:i/>
          <w:sz w:val="16"/>
          <w:szCs w:val="16"/>
          <w:lang w:val="nl-NL"/>
        </w:rPr>
      </w:pPr>
      <w:r w:rsidRPr="007E6A5C">
        <w:rPr>
          <w:rStyle w:val="FootnoteReference"/>
          <w:rFonts w:ascii="Verdana" w:hAnsi="Verdana"/>
          <w:sz w:val="16"/>
          <w:szCs w:val="16"/>
        </w:rPr>
        <w:footnoteRef/>
      </w:r>
      <w:r w:rsidRPr="007E6A5C">
        <w:rPr>
          <w:rFonts w:ascii="Verdana" w:hAnsi="Verdana"/>
          <w:sz w:val="16"/>
          <w:szCs w:val="16"/>
        </w:rPr>
        <w:t xml:space="preserve"> Wet van 9 maart 2017 tot wijziging van de Ambtenarenwet en enige andere wetten in verband met het in overeenstemming brengen van de rechtspositie van ambtenaren met die van werknemers met een arbeidsovereenkomst naar burgerlijk recht (Wet normalisering rechtspositie ambtenaren)</w:t>
      </w:r>
      <w:r>
        <w:rPr>
          <w:rFonts w:ascii="Verdana" w:hAnsi="Verdana"/>
          <w:sz w:val="16"/>
          <w:szCs w:val="16"/>
        </w:rPr>
        <w:t xml:space="preserve">, </w:t>
      </w:r>
      <w:r>
        <w:rPr>
          <w:rFonts w:ascii="Verdana" w:hAnsi="Verdana"/>
          <w:i/>
          <w:sz w:val="16"/>
          <w:szCs w:val="16"/>
        </w:rPr>
        <w:t xml:space="preserve">Stb. </w:t>
      </w:r>
      <w:r w:rsidRPr="007E6A5C">
        <w:rPr>
          <w:rFonts w:ascii="Verdana" w:hAnsi="Verdana"/>
          <w:sz w:val="16"/>
          <w:szCs w:val="16"/>
        </w:rPr>
        <w:t>2017, 123.</w:t>
      </w:r>
    </w:p>
  </w:footnote>
  <w:footnote w:id="2">
    <w:p w14:paraId="55E6F50F" w14:textId="77777777" w:rsidR="00E91912" w:rsidRPr="007E6A5C" w:rsidRDefault="00E91912">
      <w:pPr>
        <w:pStyle w:val="FootnoteText"/>
        <w:rPr>
          <w:rFonts w:ascii="Verdana" w:hAnsi="Verdana"/>
          <w:i/>
          <w:sz w:val="16"/>
          <w:szCs w:val="16"/>
        </w:rPr>
      </w:pPr>
      <w:r w:rsidRPr="007E6A5C">
        <w:rPr>
          <w:rStyle w:val="FootnoteReference"/>
          <w:rFonts w:ascii="Verdana" w:hAnsi="Verdana"/>
          <w:sz w:val="16"/>
          <w:szCs w:val="16"/>
        </w:rPr>
        <w:footnoteRef/>
      </w:r>
      <w:r w:rsidRPr="007E6A5C">
        <w:rPr>
          <w:rFonts w:ascii="Verdana" w:hAnsi="Verdana"/>
          <w:sz w:val="16"/>
          <w:szCs w:val="16"/>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w:t>
      </w:r>
      <w:r>
        <w:rPr>
          <w:rFonts w:ascii="Verdana" w:hAnsi="Verdana"/>
          <w:sz w:val="16"/>
          <w:szCs w:val="16"/>
        </w:rPr>
        <w:t xml:space="preserve">, </w:t>
      </w:r>
      <w:r>
        <w:rPr>
          <w:rFonts w:ascii="Verdana" w:hAnsi="Verdana"/>
          <w:i/>
          <w:sz w:val="16"/>
          <w:szCs w:val="16"/>
        </w:rPr>
        <w:t xml:space="preserve">PbEU </w:t>
      </w:r>
      <w:r w:rsidRPr="007E6A5C">
        <w:rPr>
          <w:rFonts w:ascii="Verdana" w:hAnsi="Verdana"/>
          <w:sz w:val="16"/>
          <w:szCs w:val="16"/>
        </w:rPr>
        <w:t>2016, L 119/1</w:t>
      </w:r>
      <w:r>
        <w:rPr>
          <w:rFonts w:ascii="Verdana" w:hAnsi="Verdana"/>
          <w:sz w:val="16"/>
          <w:szCs w:val="16"/>
        </w:rPr>
        <w:t>.</w:t>
      </w:r>
    </w:p>
  </w:footnote>
  <w:footnote w:id="3">
    <w:p w14:paraId="18541CFD" w14:textId="77777777" w:rsidR="00E91912" w:rsidRPr="00BB6F3F" w:rsidRDefault="00E91912" w:rsidP="005C3CEE">
      <w:pPr>
        <w:pStyle w:val="FootnoteText"/>
        <w:rPr>
          <w:rFonts w:ascii="Verdana" w:hAnsi="Verdana"/>
        </w:rPr>
      </w:pPr>
      <w:r w:rsidRPr="00BB6F3F">
        <w:rPr>
          <w:rStyle w:val="FootnoteReference"/>
          <w:rFonts w:ascii="Verdana" w:hAnsi="Verdana"/>
          <w:sz w:val="16"/>
        </w:rPr>
        <w:footnoteRef/>
      </w:r>
      <w:r w:rsidRPr="00BB6F3F">
        <w:rPr>
          <w:rFonts w:ascii="Verdana" w:hAnsi="Verdana"/>
          <w:sz w:val="16"/>
        </w:rPr>
        <w:t xml:space="preserve"> Het betreft </w:t>
      </w:r>
      <w:r>
        <w:rPr>
          <w:rFonts w:ascii="Verdana" w:hAnsi="Verdana"/>
          <w:sz w:val="16"/>
        </w:rPr>
        <w:t xml:space="preserve">het Duitse </w:t>
      </w:r>
      <w:r w:rsidRPr="00BB6F3F">
        <w:rPr>
          <w:rFonts w:ascii="Verdana" w:hAnsi="Verdana"/>
          <w:i/>
          <w:sz w:val="16"/>
        </w:rPr>
        <w:t>'Elterngeld</w:t>
      </w:r>
      <w:r w:rsidRPr="00BB6F3F">
        <w:rPr>
          <w:rFonts w:ascii="Verdana" w:hAnsi="Verdana"/>
          <w:sz w:val="16"/>
        </w:rPr>
        <w:t>, '</w:t>
      </w:r>
      <w:r w:rsidRPr="00BB6F3F">
        <w:rPr>
          <w:rFonts w:ascii="Verdana" w:hAnsi="Verdana"/>
          <w:i/>
          <w:sz w:val="16"/>
        </w:rPr>
        <w:t>Krankengeld</w:t>
      </w:r>
      <w:r w:rsidRPr="00BB6F3F">
        <w:rPr>
          <w:rFonts w:ascii="Verdana" w:hAnsi="Verdana"/>
          <w:sz w:val="16"/>
        </w:rPr>
        <w:t>' en '</w:t>
      </w:r>
      <w:r w:rsidRPr="00BB6F3F">
        <w:rPr>
          <w:rFonts w:ascii="Verdana" w:hAnsi="Verdana"/>
          <w:i/>
          <w:sz w:val="16"/>
        </w:rPr>
        <w:t>Mutterschaftsgeld</w:t>
      </w:r>
      <w:r w:rsidRPr="00BB6F3F">
        <w:rPr>
          <w:rFonts w:ascii="Verdana" w:hAnsi="Verdana"/>
          <w:sz w:val="16"/>
        </w:rPr>
        <w:t>'.</w:t>
      </w:r>
    </w:p>
  </w:footnote>
  <w:footnote w:id="4">
    <w:p w14:paraId="6DE8D5E5" w14:textId="77777777" w:rsidR="00E91912" w:rsidRPr="0088183F" w:rsidRDefault="00E91912">
      <w:pPr>
        <w:pStyle w:val="FootnoteText"/>
        <w:rPr>
          <w:rFonts w:ascii="Verdana" w:hAnsi="Verdana"/>
          <w:sz w:val="16"/>
          <w:szCs w:val="16"/>
        </w:rPr>
      </w:pPr>
      <w:r w:rsidRPr="0088183F">
        <w:rPr>
          <w:rStyle w:val="FootnoteReference"/>
          <w:rFonts w:ascii="Verdana" w:hAnsi="Verdana"/>
          <w:sz w:val="16"/>
          <w:szCs w:val="16"/>
        </w:rPr>
        <w:footnoteRef/>
      </w:r>
      <w:r w:rsidRPr="0088183F">
        <w:rPr>
          <w:rFonts w:ascii="Verdana" w:hAnsi="Verdana"/>
          <w:sz w:val="16"/>
          <w:szCs w:val="16"/>
        </w:rPr>
        <w:t xml:space="preserve"> </w:t>
      </w:r>
      <w:r w:rsidRPr="0088183F">
        <w:rPr>
          <w:rFonts w:ascii="Verdana" w:hAnsi="Verdana"/>
          <w:i/>
          <w:sz w:val="16"/>
          <w:szCs w:val="16"/>
        </w:rPr>
        <w:t>Grenswerkers in Europa; Een onderzoek naar de fiscale, sociaalverzekerings- en pensioenaspecten van grensoverschrijdend werken</w:t>
      </w:r>
      <w:r w:rsidRPr="0088183F">
        <w:rPr>
          <w:rFonts w:ascii="Verdana" w:hAnsi="Verdana"/>
          <w:sz w:val="16"/>
          <w:szCs w:val="16"/>
        </w:rPr>
        <w:t>, Geschriften van de Vereniging voor Belastingwetenschap, 2017, no. 257.</w:t>
      </w:r>
    </w:p>
  </w:footnote>
  <w:footnote w:id="5">
    <w:p w14:paraId="1862B70B" w14:textId="4E576201" w:rsidR="00E91912" w:rsidRPr="0088183F" w:rsidRDefault="00E91912">
      <w:pPr>
        <w:pStyle w:val="FootnoteText"/>
        <w:rPr>
          <w:lang w:val="nl-NL"/>
        </w:rPr>
      </w:pPr>
      <w:r w:rsidRPr="0088183F">
        <w:rPr>
          <w:rStyle w:val="FootnoteReference"/>
          <w:rFonts w:ascii="Verdana" w:hAnsi="Verdana"/>
          <w:sz w:val="16"/>
          <w:szCs w:val="16"/>
        </w:rPr>
        <w:footnoteRef/>
      </w:r>
      <w:r w:rsidRPr="0088183F">
        <w:rPr>
          <w:rFonts w:ascii="Verdana" w:hAnsi="Verdana"/>
          <w:sz w:val="16"/>
          <w:szCs w:val="16"/>
        </w:rPr>
        <w:t xml:space="preserve"> Meest recentelijk tijdens het Algemeen Overleg Belasting- en socialezekerheidspositie van grensarbeider</w:t>
      </w:r>
      <w:r w:rsidR="009E2FDC">
        <w:rPr>
          <w:rFonts w:ascii="Verdana" w:hAnsi="Verdana"/>
          <w:sz w:val="16"/>
          <w:szCs w:val="16"/>
        </w:rPr>
        <w:t>s</w:t>
      </w:r>
      <w:r w:rsidRPr="0088183F">
        <w:rPr>
          <w:rFonts w:ascii="Verdana" w:hAnsi="Verdana"/>
          <w:sz w:val="16"/>
          <w:szCs w:val="16"/>
        </w:rPr>
        <w:t xml:space="preserve">, </w:t>
      </w:r>
      <w:r w:rsidRPr="00414B5F">
        <w:rPr>
          <w:rFonts w:ascii="Verdana" w:hAnsi="Verdana"/>
          <w:sz w:val="16"/>
          <w:szCs w:val="16"/>
        </w:rPr>
        <w:t>Kamerstukken II</w:t>
      </w:r>
      <w:r w:rsidRPr="0088183F">
        <w:rPr>
          <w:rFonts w:ascii="Verdana" w:hAnsi="Verdana"/>
          <w:i/>
          <w:sz w:val="16"/>
          <w:szCs w:val="16"/>
        </w:rPr>
        <w:t xml:space="preserve"> </w:t>
      </w:r>
      <w:r w:rsidRPr="0088183F">
        <w:rPr>
          <w:rFonts w:ascii="Verdana" w:hAnsi="Verdana"/>
          <w:sz w:val="16"/>
          <w:szCs w:val="16"/>
        </w:rPr>
        <w:t>2019</w:t>
      </w:r>
      <w:r>
        <w:rPr>
          <w:rFonts w:ascii="Verdana" w:hAnsi="Verdana"/>
          <w:sz w:val="16"/>
          <w:szCs w:val="16"/>
        </w:rPr>
        <w:t>/</w:t>
      </w:r>
      <w:r w:rsidRPr="0088183F">
        <w:rPr>
          <w:rFonts w:ascii="Verdana" w:hAnsi="Verdana"/>
          <w:sz w:val="16"/>
          <w:szCs w:val="16"/>
        </w:rPr>
        <w:t>20, 26834, nr. 48.</w:t>
      </w:r>
    </w:p>
  </w:footnote>
  <w:footnote w:id="6">
    <w:p w14:paraId="1E14D66C" w14:textId="77777777" w:rsidR="00101DCA" w:rsidRPr="00176DC5" w:rsidRDefault="00101DCA">
      <w:pPr>
        <w:pStyle w:val="FootnoteText"/>
        <w:rPr>
          <w:rFonts w:ascii="Verdana" w:hAnsi="Verdana"/>
          <w:sz w:val="16"/>
          <w:szCs w:val="16"/>
        </w:rPr>
      </w:pPr>
      <w:r w:rsidRPr="00176DC5">
        <w:rPr>
          <w:rStyle w:val="FootnoteReference"/>
          <w:rFonts w:ascii="Verdana" w:hAnsi="Verdana"/>
          <w:sz w:val="16"/>
          <w:szCs w:val="16"/>
        </w:rPr>
        <w:footnoteRef/>
      </w:r>
      <w:r w:rsidRPr="00176DC5">
        <w:rPr>
          <w:rFonts w:ascii="Verdana" w:hAnsi="Verdana"/>
          <w:sz w:val="16"/>
          <w:szCs w:val="16"/>
        </w:rPr>
        <w:t xml:space="preserve"> </w:t>
      </w:r>
      <w:r w:rsidR="00176DC5" w:rsidRPr="00176DC5">
        <w:rPr>
          <w:rFonts w:ascii="Verdana" w:hAnsi="Verdana"/>
          <w:sz w:val="16"/>
          <w:szCs w:val="16"/>
        </w:rPr>
        <w:t>Paragraaf 2.7 van het commentaar bij artikel 15 van het OESO-modelverdrag.</w:t>
      </w:r>
    </w:p>
  </w:footnote>
  <w:footnote w:id="7">
    <w:p w14:paraId="2072B445" w14:textId="49FE177A" w:rsidR="00E91912" w:rsidRPr="008F56EE" w:rsidRDefault="00E91912" w:rsidP="008650C3">
      <w:pPr>
        <w:pStyle w:val="FootnoteText"/>
      </w:pPr>
      <w:r w:rsidRPr="008F56EE">
        <w:rPr>
          <w:rStyle w:val="FootnoteReference"/>
          <w:rFonts w:ascii="Verdana" w:hAnsi="Verdana"/>
          <w:sz w:val="16"/>
          <w:szCs w:val="16"/>
        </w:rPr>
        <w:footnoteRef/>
      </w:r>
      <w:r w:rsidRPr="008F56EE">
        <w:rPr>
          <w:rFonts w:ascii="Verdana" w:hAnsi="Verdana"/>
          <w:sz w:val="16"/>
          <w:szCs w:val="16"/>
        </w:rPr>
        <w:t xml:space="preserve"> Algemeen Overleg Belasting- en socialezekerheidspositie van grensarbeider</w:t>
      </w:r>
      <w:r w:rsidR="009E2FDC">
        <w:rPr>
          <w:rFonts w:ascii="Verdana" w:hAnsi="Verdana"/>
          <w:sz w:val="16"/>
          <w:szCs w:val="16"/>
        </w:rPr>
        <w:t>s</w:t>
      </w:r>
      <w:r w:rsidRPr="008F56EE">
        <w:rPr>
          <w:rFonts w:ascii="Verdana" w:hAnsi="Verdana"/>
          <w:sz w:val="16"/>
          <w:szCs w:val="16"/>
        </w:rPr>
        <w:t>, Kamerstukken II 2019</w:t>
      </w:r>
      <w:r>
        <w:rPr>
          <w:rFonts w:ascii="Verdana" w:hAnsi="Verdana"/>
          <w:sz w:val="16"/>
          <w:szCs w:val="16"/>
        </w:rPr>
        <w:t>/</w:t>
      </w:r>
      <w:r w:rsidRPr="008F56EE">
        <w:rPr>
          <w:rFonts w:ascii="Verdana" w:hAnsi="Verdana"/>
          <w:sz w:val="16"/>
          <w:szCs w:val="16"/>
        </w:rPr>
        <w:t>20,</w:t>
      </w:r>
      <w:r w:rsidR="00636AFB">
        <w:rPr>
          <w:rFonts w:ascii="Verdana" w:hAnsi="Verdana"/>
          <w:sz w:val="16"/>
          <w:szCs w:val="16"/>
        </w:rPr>
        <w:t xml:space="preserve"> </w:t>
      </w:r>
      <w:r w:rsidRPr="008F56EE">
        <w:rPr>
          <w:rFonts w:ascii="Verdana" w:hAnsi="Verdana"/>
          <w:sz w:val="16"/>
          <w:szCs w:val="16"/>
        </w:rPr>
        <w:t>26834, nr. 48.</w:t>
      </w:r>
    </w:p>
  </w:footnote>
  <w:footnote w:id="8">
    <w:p w14:paraId="6B7A7608" w14:textId="77777777" w:rsidR="00F90570" w:rsidRPr="00357697" w:rsidRDefault="00F90570" w:rsidP="00F90570">
      <w:pPr>
        <w:pStyle w:val="FootnoteText"/>
        <w:rPr>
          <w:rFonts w:ascii="Verdana" w:hAnsi="Verdana"/>
          <w:sz w:val="16"/>
          <w:szCs w:val="16"/>
        </w:rPr>
      </w:pPr>
      <w:r w:rsidRPr="00357697">
        <w:rPr>
          <w:rStyle w:val="FootnoteReference"/>
          <w:rFonts w:ascii="Verdana" w:hAnsi="Verdana"/>
          <w:sz w:val="16"/>
          <w:szCs w:val="16"/>
        </w:rPr>
        <w:footnoteRef/>
      </w:r>
      <w:r w:rsidRPr="00357697">
        <w:rPr>
          <w:rFonts w:ascii="Verdana" w:hAnsi="Verdana"/>
          <w:sz w:val="16"/>
          <w:szCs w:val="16"/>
        </w:rPr>
        <w:t xml:space="preserve"> Zie bijvoorbeeld voornoemd rapport </w:t>
      </w:r>
      <w:r w:rsidRPr="00357697">
        <w:rPr>
          <w:rFonts w:ascii="Verdana" w:hAnsi="Verdana"/>
          <w:i/>
          <w:sz w:val="16"/>
          <w:szCs w:val="16"/>
        </w:rPr>
        <w:t>Grenswerkers in Europa</w:t>
      </w:r>
      <w:r>
        <w:rPr>
          <w:rFonts w:ascii="Verdana" w:hAnsi="Verdana"/>
          <w:sz w:val="16"/>
          <w:szCs w:val="16"/>
        </w:rPr>
        <w:t>, p. 325.</w:t>
      </w:r>
    </w:p>
  </w:footnote>
  <w:footnote w:id="9">
    <w:p w14:paraId="540F0F3C" w14:textId="77777777" w:rsidR="00E91912" w:rsidRPr="008F56EE" w:rsidRDefault="00E91912">
      <w:pPr>
        <w:pStyle w:val="FootnoteText"/>
        <w:rPr>
          <w:rFonts w:ascii="Verdana" w:hAnsi="Verdana"/>
          <w:sz w:val="16"/>
          <w:szCs w:val="16"/>
        </w:rPr>
      </w:pPr>
      <w:r w:rsidRPr="008F56EE">
        <w:rPr>
          <w:rStyle w:val="FootnoteReference"/>
          <w:rFonts w:ascii="Verdana" w:hAnsi="Verdana"/>
          <w:sz w:val="16"/>
          <w:szCs w:val="16"/>
        </w:rPr>
        <w:footnoteRef/>
      </w:r>
      <w:r w:rsidRPr="008F56EE">
        <w:rPr>
          <w:rFonts w:ascii="Verdana" w:hAnsi="Verdana"/>
          <w:sz w:val="16"/>
          <w:szCs w:val="16"/>
        </w:rPr>
        <w:t xml:space="preserve"> Rapportage van fiscale knelpunten van grensarbeiders 2019, bijlage bij Kamerstukken II 2019</w:t>
      </w:r>
      <w:r>
        <w:rPr>
          <w:rFonts w:ascii="Verdana" w:hAnsi="Verdana"/>
          <w:sz w:val="16"/>
          <w:szCs w:val="16"/>
        </w:rPr>
        <w:t>/</w:t>
      </w:r>
      <w:r w:rsidRPr="008F56EE">
        <w:rPr>
          <w:rFonts w:ascii="Verdana" w:hAnsi="Verdana"/>
          <w:sz w:val="16"/>
          <w:szCs w:val="16"/>
        </w:rPr>
        <w:t>20, 26834, nr. 46.</w:t>
      </w:r>
    </w:p>
  </w:footnote>
  <w:footnote w:id="10">
    <w:p w14:paraId="60C8543A" w14:textId="7F3B6A01" w:rsidR="00E91912" w:rsidRPr="008F56EE" w:rsidRDefault="00E91912">
      <w:pPr>
        <w:pStyle w:val="FootnoteText"/>
      </w:pPr>
      <w:r w:rsidRPr="008F56EE">
        <w:rPr>
          <w:rStyle w:val="FootnoteReference"/>
          <w:rFonts w:ascii="Verdana" w:hAnsi="Verdana"/>
          <w:sz w:val="16"/>
          <w:szCs w:val="16"/>
        </w:rPr>
        <w:footnoteRef/>
      </w:r>
      <w:r w:rsidRPr="008F56EE">
        <w:rPr>
          <w:rFonts w:ascii="Verdana" w:hAnsi="Verdana"/>
          <w:sz w:val="16"/>
          <w:szCs w:val="16"/>
        </w:rPr>
        <w:t xml:space="preserve"> </w:t>
      </w:r>
      <w:r w:rsidR="00D147AE" w:rsidRPr="00D147AE">
        <w:rPr>
          <w:rFonts w:ascii="Verdana" w:hAnsi="Verdana"/>
          <w:sz w:val="16"/>
          <w:szCs w:val="16"/>
        </w:rPr>
        <w:t xml:space="preserve">Verslag van een algemeen overleg, gehouden op 5 maart 2020, over </w:t>
      </w:r>
      <w:r w:rsidR="009E2FDC">
        <w:rPr>
          <w:rFonts w:ascii="Verdana" w:hAnsi="Verdana"/>
          <w:sz w:val="16"/>
          <w:szCs w:val="16"/>
        </w:rPr>
        <w:t xml:space="preserve">de </w:t>
      </w:r>
      <w:r w:rsidR="00D147AE" w:rsidRPr="00D147AE">
        <w:rPr>
          <w:rFonts w:ascii="Verdana" w:hAnsi="Verdana"/>
          <w:sz w:val="16"/>
          <w:szCs w:val="16"/>
        </w:rPr>
        <w:t>belasting- en socialezekerheidspositie van grensarbeiders</w:t>
      </w:r>
      <w:r w:rsidRPr="008F56EE">
        <w:rPr>
          <w:rFonts w:ascii="Verdana" w:hAnsi="Verdana"/>
          <w:sz w:val="16"/>
          <w:szCs w:val="16"/>
        </w:rPr>
        <w:t>, Kamerstukken II 2019</w:t>
      </w:r>
      <w:r>
        <w:rPr>
          <w:rFonts w:ascii="Verdana" w:hAnsi="Verdana"/>
          <w:sz w:val="16"/>
          <w:szCs w:val="16"/>
        </w:rPr>
        <w:t>/</w:t>
      </w:r>
      <w:r w:rsidRPr="008F56EE">
        <w:rPr>
          <w:rFonts w:ascii="Verdana" w:hAnsi="Verdana"/>
          <w:sz w:val="16"/>
          <w:szCs w:val="16"/>
        </w:rPr>
        <w:t>20, 26834, nr. 48.</w:t>
      </w:r>
    </w:p>
  </w:footnote>
  <w:footnote w:id="11">
    <w:p w14:paraId="00541056" w14:textId="77777777" w:rsidR="00E91912" w:rsidRPr="00976D8A" w:rsidRDefault="00E91912" w:rsidP="000B121B">
      <w:pPr>
        <w:pStyle w:val="FootnoteText"/>
        <w:rPr>
          <w:sz w:val="16"/>
          <w:szCs w:val="16"/>
        </w:rPr>
      </w:pPr>
      <w:r w:rsidRPr="00976D8A">
        <w:rPr>
          <w:rStyle w:val="FootnoteReference"/>
          <w:sz w:val="16"/>
          <w:szCs w:val="16"/>
        </w:rPr>
        <w:footnoteRef/>
      </w:r>
      <w:r w:rsidRPr="00976D8A">
        <w:rPr>
          <w:sz w:val="16"/>
          <w:szCs w:val="16"/>
        </w:rPr>
        <w:t xml:space="preserve"> </w:t>
      </w:r>
      <w:r w:rsidRPr="00856EE3">
        <w:rPr>
          <w:rFonts w:ascii="Verdana" w:hAnsi="Verdana"/>
          <w:sz w:val="16"/>
          <w:szCs w:val="16"/>
        </w:rPr>
        <w:t>Kamerstukken II 2010/11, 25087, nr. 8 (Van Vliet, PVV).</w:t>
      </w:r>
    </w:p>
  </w:footnote>
  <w:footnote w:id="12">
    <w:p w14:paraId="34036FDC" w14:textId="77777777" w:rsidR="00D032A9" w:rsidRPr="00F9396C" w:rsidRDefault="00D032A9" w:rsidP="00D032A9">
      <w:pPr>
        <w:pStyle w:val="FootnoteText"/>
        <w:rPr>
          <w:rFonts w:ascii="Verdana" w:hAnsi="Verdana"/>
          <w:sz w:val="16"/>
          <w:szCs w:val="16"/>
          <w:lang w:val="nl-NL"/>
        </w:rPr>
      </w:pPr>
      <w:r w:rsidRPr="00F9396C">
        <w:rPr>
          <w:rStyle w:val="FootnoteReference"/>
          <w:rFonts w:ascii="Verdana" w:hAnsi="Verdana"/>
          <w:sz w:val="16"/>
          <w:szCs w:val="16"/>
        </w:rPr>
        <w:footnoteRef/>
      </w:r>
      <w:r w:rsidRPr="00F9396C">
        <w:rPr>
          <w:rFonts w:ascii="Verdana" w:hAnsi="Verdana"/>
          <w:sz w:val="16"/>
          <w:szCs w:val="16"/>
        </w:rPr>
        <w:t xml:space="preserve"> </w:t>
      </w:r>
      <w:r w:rsidRPr="00F9396C">
        <w:rPr>
          <w:rFonts w:ascii="Verdana" w:hAnsi="Verdana"/>
          <w:sz w:val="16"/>
          <w:szCs w:val="16"/>
          <w:lang w:val="nl-NL"/>
        </w:rPr>
        <w:t xml:space="preserve">Zie hierover ook de Rapportage van fiscale knelpunten van grensarbeiders 2019, </w:t>
      </w:r>
      <w:r>
        <w:rPr>
          <w:rFonts w:ascii="Verdana" w:hAnsi="Verdana"/>
          <w:sz w:val="16"/>
          <w:szCs w:val="16"/>
          <w:lang w:val="nl-NL"/>
        </w:rPr>
        <w:t>b</w:t>
      </w:r>
      <w:r w:rsidRPr="00F9396C">
        <w:rPr>
          <w:rFonts w:ascii="Verdana" w:hAnsi="Verdana"/>
          <w:sz w:val="16"/>
          <w:szCs w:val="16"/>
          <w:lang w:val="nl-NL"/>
        </w:rPr>
        <w:t>ijlage bij Kamerstukken II 2019</w:t>
      </w:r>
      <w:r>
        <w:rPr>
          <w:rFonts w:ascii="Verdana" w:hAnsi="Verdana"/>
          <w:sz w:val="16"/>
          <w:szCs w:val="16"/>
          <w:lang w:val="nl-NL"/>
        </w:rPr>
        <w:t>/</w:t>
      </w:r>
      <w:r w:rsidRPr="00F9396C">
        <w:rPr>
          <w:rFonts w:ascii="Verdana" w:hAnsi="Verdana"/>
          <w:sz w:val="16"/>
          <w:szCs w:val="16"/>
          <w:lang w:val="nl-NL"/>
        </w:rPr>
        <w:t xml:space="preserve">20, 26834, </w:t>
      </w:r>
      <w:r>
        <w:rPr>
          <w:rFonts w:ascii="Verdana" w:hAnsi="Verdana"/>
          <w:sz w:val="16"/>
          <w:szCs w:val="16"/>
          <w:lang w:val="nl-NL"/>
        </w:rPr>
        <w:t xml:space="preserve">nr. </w:t>
      </w:r>
      <w:r w:rsidRPr="00F9396C">
        <w:rPr>
          <w:rFonts w:ascii="Verdana" w:hAnsi="Verdana"/>
          <w:sz w:val="16"/>
          <w:szCs w:val="16"/>
          <w:lang w:val="nl-NL"/>
        </w:rPr>
        <w:t>46</w:t>
      </w:r>
      <w:r>
        <w:rPr>
          <w:rFonts w:ascii="Verdana" w:hAnsi="Verdana"/>
          <w:sz w:val="16"/>
          <w:szCs w:val="16"/>
          <w:lang w:val="nl-N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0E9DB0" w14:textId="7EF2EA1E" w:rsidR="00E91912" w:rsidRDefault="00E9191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3A79" w14:textId="480C8E10" w:rsidR="00E91912" w:rsidRDefault="00E9191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C4DA8" w14:textId="1AB72429" w:rsidR="00E91912" w:rsidRDefault="00E919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82554"/>
    <w:multiLevelType w:val="hybridMultilevel"/>
    <w:tmpl w:val="254A141C"/>
    <w:lvl w:ilvl="0" w:tplc="503C75C2">
      <w:start w:val="2"/>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65BF17B0"/>
    <w:multiLevelType w:val="hybridMultilevel"/>
    <w:tmpl w:val="0B7620F6"/>
    <w:lvl w:ilvl="0" w:tplc="CC207188">
      <w:start w:val="16"/>
      <w:numFmt w:val="bullet"/>
      <w:lvlText w:val=""/>
      <w:lvlJc w:val="left"/>
      <w:pPr>
        <w:ind w:left="720" w:hanging="360"/>
      </w:pPr>
      <w:rPr>
        <w:rFonts w:ascii="Symbol" w:eastAsia="Calibri"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nl-NL" w:vendorID="64" w:dllVersion="131078" w:nlCheck="1" w:checkStyle="0"/>
  <w:activeWritingStyle w:appName="MSWord" w:lang="nl" w:vendorID="64" w:dllVersion="131078" w:nlCheck="1" w:checkStyle="0"/>
  <w:activeWritingStyle w:appName="MSWord" w:lang="fr-FR" w:vendorID="64" w:dllVersion="131078" w:nlCheck="1" w:checkStyle="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44C0"/>
    <w:rsid w:val="00003470"/>
    <w:rsid w:val="00007ACF"/>
    <w:rsid w:val="0004574E"/>
    <w:rsid w:val="00053C31"/>
    <w:rsid w:val="00056978"/>
    <w:rsid w:val="00062B66"/>
    <w:rsid w:val="000674B3"/>
    <w:rsid w:val="0007047B"/>
    <w:rsid w:val="00070997"/>
    <w:rsid w:val="00073D5C"/>
    <w:rsid w:val="000813E0"/>
    <w:rsid w:val="0008456D"/>
    <w:rsid w:val="00084D87"/>
    <w:rsid w:val="000862E5"/>
    <w:rsid w:val="00092C2F"/>
    <w:rsid w:val="000A0A64"/>
    <w:rsid w:val="000B046E"/>
    <w:rsid w:val="000B121B"/>
    <w:rsid w:val="000B692C"/>
    <w:rsid w:val="000C2084"/>
    <w:rsid w:val="000C6045"/>
    <w:rsid w:val="000D4E90"/>
    <w:rsid w:val="000D723F"/>
    <w:rsid w:val="000E1562"/>
    <w:rsid w:val="000E2F49"/>
    <w:rsid w:val="000E4309"/>
    <w:rsid w:val="000E7054"/>
    <w:rsid w:val="000F6C6E"/>
    <w:rsid w:val="00100F9D"/>
    <w:rsid w:val="00101DCA"/>
    <w:rsid w:val="0011464C"/>
    <w:rsid w:val="00117AF4"/>
    <w:rsid w:val="00120894"/>
    <w:rsid w:val="00121219"/>
    <w:rsid w:val="001221C3"/>
    <w:rsid w:val="001407E2"/>
    <w:rsid w:val="00142D12"/>
    <w:rsid w:val="00154FD8"/>
    <w:rsid w:val="00155A56"/>
    <w:rsid w:val="00157868"/>
    <w:rsid w:val="00176DC5"/>
    <w:rsid w:val="00180882"/>
    <w:rsid w:val="00183F96"/>
    <w:rsid w:val="0019214B"/>
    <w:rsid w:val="00193AFA"/>
    <w:rsid w:val="001A46C1"/>
    <w:rsid w:val="001B1F08"/>
    <w:rsid w:val="001B75AC"/>
    <w:rsid w:val="001C1D7F"/>
    <w:rsid w:val="001D2DDD"/>
    <w:rsid w:val="001D738A"/>
    <w:rsid w:val="001E31CC"/>
    <w:rsid w:val="001F395A"/>
    <w:rsid w:val="00210817"/>
    <w:rsid w:val="002172B9"/>
    <w:rsid w:val="002251CF"/>
    <w:rsid w:val="002252E0"/>
    <w:rsid w:val="002309A0"/>
    <w:rsid w:val="002351F8"/>
    <w:rsid w:val="002435BB"/>
    <w:rsid w:val="0024489B"/>
    <w:rsid w:val="0025027E"/>
    <w:rsid w:val="002509C7"/>
    <w:rsid w:val="002528C5"/>
    <w:rsid w:val="002603FF"/>
    <w:rsid w:val="00263D5A"/>
    <w:rsid w:val="002706C5"/>
    <w:rsid w:val="00273211"/>
    <w:rsid w:val="0028123A"/>
    <w:rsid w:val="0028344D"/>
    <w:rsid w:val="00287F69"/>
    <w:rsid w:val="0029171C"/>
    <w:rsid w:val="00292021"/>
    <w:rsid w:val="002965E7"/>
    <w:rsid w:val="002A2664"/>
    <w:rsid w:val="002B4B39"/>
    <w:rsid w:val="002B6806"/>
    <w:rsid w:val="002C55FB"/>
    <w:rsid w:val="002D3C2A"/>
    <w:rsid w:val="002E25E9"/>
    <w:rsid w:val="002E60CD"/>
    <w:rsid w:val="002F658B"/>
    <w:rsid w:val="002F738E"/>
    <w:rsid w:val="00304B16"/>
    <w:rsid w:val="003176D1"/>
    <w:rsid w:val="00321C85"/>
    <w:rsid w:val="0032328D"/>
    <w:rsid w:val="00323483"/>
    <w:rsid w:val="0032656E"/>
    <w:rsid w:val="00342567"/>
    <w:rsid w:val="00344510"/>
    <w:rsid w:val="00345C58"/>
    <w:rsid w:val="00355F55"/>
    <w:rsid w:val="00357697"/>
    <w:rsid w:val="003652C0"/>
    <w:rsid w:val="00366667"/>
    <w:rsid w:val="003723C4"/>
    <w:rsid w:val="00374CCF"/>
    <w:rsid w:val="00375FA3"/>
    <w:rsid w:val="00386DF9"/>
    <w:rsid w:val="003935BA"/>
    <w:rsid w:val="003A026F"/>
    <w:rsid w:val="003B439C"/>
    <w:rsid w:val="003C6F15"/>
    <w:rsid w:val="003D2CD2"/>
    <w:rsid w:val="003D60EA"/>
    <w:rsid w:val="003F4A27"/>
    <w:rsid w:val="003F67F4"/>
    <w:rsid w:val="004054D8"/>
    <w:rsid w:val="00414B5F"/>
    <w:rsid w:val="00416AFC"/>
    <w:rsid w:val="004210E4"/>
    <w:rsid w:val="00421635"/>
    <w:rsid w:val="00432068"/>
    <w:rsid w:val="00435DCA"/>
    <w:rsid w:val="00443524"/>
    <w:rsid w:val="00444D78"/>
    <w:rsid w:val="00444DE4"/>
    <w:rsid w:val="00452BD1"/>
    <w:rsid w:val="004538C9"/>
    <w:rsid w:val="00456E90"/>
    <w:rsid w:val="0046726C"/>
    <w:rsid w:val="004737F1"/>
    <w:rsid w:val="00480BD6"/>
    <w:rsid w:val="004A0299"/>
    <w:rsid w:val="004A04C6"/>
    <w:rsid w:val="004A3656"/>
    <w:rsid w:val="004A4653"/>
    <w:rsid w:val="004B4E2E"/>
    <w:rsid w:val="004B7FB4"/>
    <w:rsid w:val="004C0BA6"/>
    <w:rsid w:val="004C0FFF"/>
    <w:rsid w:val="004C3952"/>
    <w:rsid w:val="004C7E14"/>
    <w:rsid w:val="004D14CF"/>
    <w:rsid w:val="004D5DDC"/>
    <w:rsid w:val="004D743D"/>
    <w:rsid w:val="004E289D"/>
    <w:rsid w:val="004E7C23"/>
    <w:rsid w:val="004F46C4"/>
    <w:rsid w:val="00520A60"/>
    <w:rsid w:val="0052273A"/>
    <w:rsid w:val="0053079A"/>
    <w:rsid w:val="00532243"/>
    <w:rsid w:val="0053781B"/>
    <w:rsid w:val="00545FAF"/>
    <w:rsid w:val="00553914"/>
    <w:rsid w:val="005556A1"/>
    <w:rsid w:val="005714B8"/>
    <w:rsid w:val="00581848"/>
    <w:rsid w:val="00591F45"/>
    <w:rsid w:val="00594862"/>
    <w:rsid w:val="005A5F68"/>
    <w:rsid w:val="005B0526"/>
    <w:rsid w:val="005B2C57"/>
    <w:rsid w:val="005B6193"/>
    <w:rsid w:val="005B6CDB"/>
    <w:rsid w:val="005C3BE9"/>
    <w:rsid w:val="005C3CEE"/>
    <w:rsid w:val="005C3F4C"/>
    <w:rsid w:val="005C4485"/>
    <w:rsid w:val="005C7338"/>
    <w:rsid w:val="005D031C"/>
    <w:rsid w:val="005D7B11"/>
    <w:rsid w:val="005E2A77"/>
    <w:rsid w:val="005E43B2"/>
    <w:rsid w:val="005F4C56"/>
    <w:rsid w:val="00604D6D"/>
    <w:rsid w:val="006078F2"/>
    <w:rsid w:val="00616C98"/>
    <w:rsid w:val="006230E9"/>
    <w:rsid w:val="0062619E"/>
    <w:rsid w:val="00626234"/>
    <w:rsid w:val="006329BD"/>
    <w:rsid w:val="0063356A"/>
    <w:rsid w:val="00635F7F"/>
    <w:rsid w:val="00636AFB"/>
    <w:rsid w:val="00637737"/>
    <w:rsid w:val="00652A61"/>
    <w:rsid w:val="00660D64"/>
    <w:rsid w:val="00670645"/>
    <w:rsid w:val="00670BE5"/>
    <w:rsid w:val="00674F71"/>
    <w:rsid w:val="00684258"/>
    <w:rsid w:val="0068772D"/>
    <w:rsid w:val="006919B4"/>
    <w:rsid w:val="006928C6"/>
    <w:rsid w:val="006A0D85"/>
    <w:rsid w:val="006A25E4"/>
    <w:rsid w:val="006A2EDC"/>
    <w:rsid w:val="006A31F0"/>
    <w:rsid w:val="006C19AC"/>
    <w:rsid w:val="006C2F34"/>
    <w:rsid w:val="006C64E2"/>
    <w:rsid w:val="006C69FC"/>
    <w:rsid w:val="006C7A9E"/>
    <w:rsid w:val="006D21BD"/>
    <w:rsid w:val="006E4FB1"/>
    <w:rsid w:val="006E5B95"/>
    <w:rsid w:val="006E69CE"/>
    <w:rsid w:val="006F227A"/>
    <w:rsid w:val="006F36FB"/>
    <w:rsid w:val="006F4AB0"/>
    <w:rsid w:val="0070341D"/>
    <w:rsid w:val="007116B1"/>
    <w:rsid w:val="007168DF"/>
    <w:rsid w:val="00717157"/>
    <w:rsid w:val="00723E5C"/>
    <w:rsid w:val="00726F13"/>
    <w:rsid w:val="0073261A"/>
    <w:rsid w:val="00734964"/>
    <w:rsid w:val="00734D4F"/>
    <w:rsid w:val="00751A19"/>
    <w:rsid w:val="00760CCA"/>
    <w:rsid w:val="00770848"/>
    <w:rsid w:val="00771766"/>
    <w:rsid w:val="007868B9"/>
    <w:rsid w:val="00787326"/>
    <w:rsid w:val="00792032"/>
    <w:rsid w:val="007A28FF"/>
    <w:rsid w:val="007A6CBA"/>
    <w:rsid w:val="007C0791"/>
    <w:rsid w:val="007D5141"/>
    <w:rsid w:val="007E0552"/>
    <w:rsid w:val="007E5D3D"/>
    <w:rsid w:val="007E6A5C"/>
    <w:rsid w:val="007E6BF3"/>
    <w:rsid w:val="007F1918"/>
    <w:rsid w:val="007F6175"/>
    <w:rsid w:val="00803D09"/>
    <w:rsid w:val="008178F1"/>
    <w:rsid w:val="00817FAD"/>
    <w:rsid w:val="00820CBC"/>
    <w:rsid w:val="008242B1"/>
    <w:rsid w:val="008262BE"/>
    <w:rsid w:val="008322D1"/>
    <w:rsid w:val="00837911"/>
    <w:rsid w:val="008501A3"/>
    <w:rsid w:val="00856EE3"/>
    <w:rsid w:val="00857F6D"/>
    <w:rsid w:val="00862993"/>
    <w:rsid w:val="00862D6B"/>
    <w:rsid w:val="008650C3"/>
    <w:rsid w:val="00872C6B"/>
    <w:rsid w:val="008812B1"/>
    <w:rsid w:val="0088183F"/>
    <w:rsid w:val="00881E7E"/>
    <w:rsid w:val="008875DA"/>
    <w:rsid w:val="008944BB"/>
    <w:rsid w:val="008A2999"/>
    <w:rsid w:val="008A6398"/>
    <w:rsid w:val="008B4CB3"/>
    <w:rsid w:val="008D72EE"/>
    <w:rsid w:val="008E65D1"/>
    <w:rsid w:val="008E7146"/>
    <w:rsid w:val="008F02F9"/>
    <w:rsid w:val="008F56EE"/>
    <w:rsid w:val="008F7195"/>
    <w:rsid w:val="009039ED"/>
    <w:rsid w:val="00911B19"/>
    <w:rsid w:val="00916669"/>
    <w:rsid w:val="0092512D"/>
    <w:rsid w:val="009301AB"/>
    <w:rsid w:val="0093139C"/>
    <w:rsid w:val="00931D0B"/>
    <w:rsid w:val="00932B9B"/>
    <w:rsid w:val="00932D06"/>
    <w:rsid w:val="009341CD"/>
    <w:rsid w:val="00936F28"/>
    <w:rsid w:val="009453B4"/>
    <w:rsid w:val="00953B8B"/>
    <w:rsid w:val="00954E60"/>
    <w:rsid w:val="00963BA5"/>
    <w:rsid w:val="0097311D"/>
    <w:rsid w:val="00974B4B"/>
    <w:rsid w:val="00982073"/>
    <w:rsid w:val="00982528"/>
    <w:rsid w:val="00982756"/>
    <w:rsid w:val="00983493"/>
    <w:rsid w:val="00991B26"/>
    <w:rsid w:val="00993814"/>
    <w:rsid w:val="00993D22"/>
    <w:rsid w:val="009A6AE6"/>
    <w:rsid w:val="009A72EF"/>
    <w:rsid w:val="009B4E42"/>
    <w:rsid w:val="009C6E6B"/>
    <w:rsid w:val="009D4692"/>
    <w:rsid w:val="009E2FDC"/>
    <w:rsid w:val="009E4BE7"/>
    <w:rsid w:val="009E6922"/>
    <w:rsid w:val="009F142F"/>
    <w:rsid w:val="009F7BF3"/>
    <w:rsid w:val="009F7F11"/>
    <w:rsid w:val="00A00176"/>
    <w:rsid w:val="00A12DEF"/>
    <w:rsid w:val="00A17B2E"/>
    <w:rsid w:val="00A2295C"/>
    <w:rsid w:val="00A26D62"/>
    <w:rsid w:val="00A27DDC"/>
    <w:rsid w:val="00A3410C"/>
    <w:rsid w:val="00A347E6"/>
    <w:rsid w:val="00A47288"/>
    <w:rsid w:val="00A47CEF"/>
    <w:rsid w:val="00A51072"/>
    <w:rsid w:val="00A516A2"/>
    <w:rsid w:val="00A669B3"/>
    <w:rsid w:val="00A71F0A"/>
    <w:rsid w:val="00A76335"/>
    <w:rsid w:val="00A863DD"/>
    <w:rsid w:val="00A97BAA"/>
    <w:rsid w:val="00AB3683"/>
    <w:rsid w:val="00AC37C1"/>
    <w:rsid w:val="00AC7199"/>
    <w:rsid w:val="00AD625E"/>
    <w:rsid w:val="00AF38D7"/>
    <w:rsid w:val="00B0230C"/>
    <w:rsid w:val="00B10BBA"/>
    <w:rsid w:val="00B14060"/>
    <w:rsid w:val="00B21B98"/>
    <w:rsid w:val="00B246F2"/>
    <w:rsid w:val="00B30BEA"/>
    <w:rsid w:val="00B34988"/>
    <w:rsid w:val="00B41FF8"/>
    <w:rsid w:val="00B5538A"/>
    <w:rsid w:val="00B65412"/>
    <w:rsid w:val="00B7478C"/>
    <w:rsid w:val="00B921DF"/>
    <w:rsid w:val="00B94A20"/>
    <w:rsid w:val="00BB6F3F"/>
    <w:rsid w:val="00BC0262"/>
    <w:rsid w:val="00BD2B8C"/>
    <w:rsid w:val="00BE05D4"/>
    <w:rsid w:val="00C04A1F"/>
    <w:rsid w:val="00C12A68"/>
    <w:rsid w:val="00C15D7E"/>
    <w:rsid w:val="00C22949"/>
    <w:rsid w:val="00C2613C"/>
    <w:rsid w:val="00C26FFD"/>
    <w:rsid w:val="00C30602"/>
    <w:rsid w:val="00C360FD"/>
    <w:rsid w:val="00C3674B"/>
    <w:rsid w:val="00C41105"/>
    <w:rsid w:val="00C54212"/>
    <w:rsid w:val="00C55290"/>
    <w:rsid w:val="00C57272"/>
    <w:rsid w:val="00C64677"/>
    <w:rsid w:val="00C806D6"/>
    <w:rsid w:val="00C809CA"/>
    <w:rsid w:val="00C80D30"/>
    <w:rsid w:val="00C81E3E"/>
    <w:rsid w:val="00C84A3A"/>
    <w:rsid w:val="00C862EF"/>
    <w:rsid w:val="00C87994"/>
    <w:rsid w:val="00C945AA"/>
    <w:rsid w:val="00CA25E3"/>
    <w:rsid w:val="00CB1BA3"/>
    <w:rsid w:val="00CE2EE6"/>
    <w:rsid w:val="00CE589E"/>
    <w:rsid w:val="00CE5F62"/>
    <w:rsid w:val="00CF1BD5"/>
    <w:rsid w:val="00CF3579"/>
    <w:rsid w:val="00D032A9"/>
    <w:rsid w:val="00D11398"/>
    <w:rsid w:val="00D144C0"/>
    <w:rsid w:val="00D147AE"/>
    <w:rsid w:val="00D164BD"/>
    <w:rsid w:val="00D16916"/>
    <w:rsid w:val="00D2094F"/>
    <w:rsid w:val="00D2280A"/>
    <w:rsid w:val="00D2504A"/>
    <w:rsid w:val="00D25883"/>
    <w:rsid w:val="00D32BBB"/>
    <w:rsid w:val="00D35039"/>
    <w:rsid w:val="00D426B5"/>
    <w:rsid w:val="00D42920"/>
    <w:rsid w:val="00D44163"/>
    <w:rsid w:val="00D51266"/>
    <w:rsid w:val="00D62242"/>
    <w:rsid w:val="00D6465E"/>
    <w:rsid w:val="00D7235B"/>
    <w:rsid w:val="00D739DA"/>
    <w:rsid w:val="00D86D85"/>
    <w:rsid w:val="00D87AD5"/>
    <w:rsid w:val="00D97CB4"/>
    <w:rsid w:val="00DD455A"/>
    <w:rsid w:val="00DE179B"/>
    <w:rsid w:val="00DE4D84"/>
    <w:rsid w:val="00DF36A1"/>
    <w:rsid w:val="00DF7C3A"/>
    <w:rsid w:val="00E11F65"/>
    <w:rsid w:val="00E123C4"/>
    <w:rsid w:val="00E14414"/>
    <w:rsid w:val="00E21C37"/>
    <w:rsid w:val="00E30C12"/>
    <w:rsid w:val="00E30DE5"/>
    <w:rsid w:val="00E32CF9"/>
    <w:rsid w:val="00E523EB"/>
    <w:rsid w:val="00E6569E"/>
    <w:rsid w:val="00E74DCF"/>
    <w:rsid w:val="00E74E8A"/>
    <w:rsid w:val="00E74FF4"/>
    <w:rsid w:val="00E75BBE"/>
    <w:rsid w:val="00E81EFC"/>
    <w:rsid w:val="00E8346F"/>
    <w:rsid w:val="00E84894"/>
    <w:rsid w:val="00E859A1"/>
    <w:rsid w:val="00E91912"/>
    <w:rsid w:val="00EA5E5D"/>
    <w:rsid w:val="00EB1558"/>
    <w:rsid w:val="00EC1A94"/>
    <w:rsid w:val="00EC5037"/>
    <w:rsid w:val="00EC7F3D"/>
    <w:rsid w:val="00ED16E3"/>
    <w:rsid w:val="00ED4D1F"/>
    <w:rsid w:val="00EE1FFA"/>
    <w:rsid w:val="00EE2908"/>
    <w:rsid w:val="00EF2FC6"/>
    <w:rsid w:val="00EF3373"/>
    <w:rsid w:val="00EF3828"/>
    <w:rsid w:val="00F03003"/>
    <w:rsid w:val="00F06115"/>
    <w:rsid w:val="00F15F4F"/>
    <w:rsid w:val="00F23601"/>
    <w:rsid w:val="00F333BC"/>
    <w:rsid w:val="00F339F1"/>
    <w:rsid w:val="00F40848"/>
    <w:rsid w:val="00F40E2D"/>
    <w:rsid w:val="00F42E4E"/>
    <w:rsid w:val="00F443F5"/>
    <w:rsid w:val="00F50C09"/>
    <w:rsid w:val="00F6121B"/>
    <w:rsid w:val="00F66292"/>
    <w:rsid w:val="00F76DA1"/>
    <w:rsid w:val="00F85967"/>
    <w:rsid w:val="00F90570"/>
    <w:rsid w:val="00F9396C"/>
    <w:rsid w:val="00F97681"/>
    <w:rsid w:val="00FA77F8"/>
    <w:rsid w:val="00FB55F5"/>
    <w:rsid w:val="00FB6DE6"/>
    <w:rsid w:val="00FB7774"/>
    <w:rsid w:val="00FC447C"/>
    <w:rsid w:val="00FC4641"/>
    <w:rsid w:val="00FD0DF2"/>
    <w:rsid w:val="00FE15D3"/>
    <w:rsid w:val="00FF1AF1"/>
    <w:rsid w:val="00FF3A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2A20B2"/>
  <w15:chartTrackingRefBased/>
  <w15:docId w15:val="{8F554284-4076-4CCD-B6F6-8E8969B758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44C0"/>
    <w:pPr>
      <w:widowControl w:val="0"/>
      <w:spacing w:after="0" w:line="240" w:lineRule="auto"/>
    </w:pPr>
    <w:rPr>
      <w:rFonts w:ascii="Arial" w:eastAsia="Times New Roman" w:hAnsi="Arial" w:cs="Times New Roman"/>
      <w:sz w:val="20"/>
      <w:szCs w:val="20"/>
      <w:lang w:va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6D1"/>
    <w:pPr>
      <w:widowControl/>
      <w:ind w:left="720"/>
    </w:pPr>
    <w:rPr>
      <w:rFonts w:ascii="Calibri" w:eastAsiaTheme="minorHAnsi" w:hAnsi="Calibri" w:cs="Calibri"/>
      <w:sz w:val="22"/>
      <w:szCs w:val="22"/>
      <w:lang w:val="nl-NL" w:eastAsia="en-US"/>
    </w:rPr>
  </w:style>
  <w:style w:type="character" w:styleId="CommentReference">
    <w:name w:val="annotation reference"/>
    <w:basedOn w:val="DefaultParagraphFont"/>
    <w:uiPriority w:val="99"/>
    <w:semiHidden/>
    <w:unhideWhenUsed/>
    <w:rsid w:val="00062B66"/>
    <w:rPr>
      <w:sz w:val="16"/>
      <w:szCs w:val="16"/>
    </w:rPr>
  </w:style>
  <w:style w:type="paragraph" w:styleId="CommentText">
    <w:name w:val="annotation text"/>
    <w:basedOn w:val="Normal"/>
    <w:link w:val="CommentTextChar"/>
    <w:uiPriority w:val="99"/>
    <w:unhideWhenUsed/>
    <w:rsid w:val="00062B66"/>
  </w:style>
  <w:style w:type="character" w:customStyle="1" w:styleId="CommentTextChar">
    <w:name w:val="Comment Text Char"/>
    <w:basedOn w:val="DefaultParagraphFont"/>
    <w:link w:val="CommentText"/>
    <w:uiPriority w:val="99"/>
    <w:rsid w:val="00062B66"/>
    <w:rPr>
      <w:rFonts w:ascii="Arial" w:eastAsia="Times New Roman" w:hAnsi="Arial" w:cs="Times New Roman"/>
      <w:sz w:val="20"/>
      <w:szCs w:val="20"/>
      <w:lang w:val="nl" w:eastAsia="nl-NL"/>
    </w:rPr>
  </w:style>
  <w:style w:type="paragraph" w:styleId="CommentSubject">
    <w:name w:val="annotation subject"/>
    <w:basedOn w:val="CommentText"/>
    <w:next w:val="CommentText"/>
    <w:link w:val="CommentSubjectChar"/>
    <w:uiPriority w:val="99"/>
    <w:semiHidden/>
    <w:unhideWhenUsed/>
    <w:rsid w:val="00062B66"/>
    <w:rPr>
      <w:b/>
      <w:bCs/>
    </w:rPr>
  </w:style>
  <w:style w:type="character" w:customStyle="1" w:styleId="CommentSubjectChar">
    <w:name w:val="Comment Subject Char"/>
    <w:basedOn w:val="CommentTextChar"/>
    <w:link w:val="CommentSubject"/>
    <w:uiPriority w:val="99"/>
    <w:semiHidden/>
    <w:rsid w:val="00062B66"/>
    <w:rPr>
      <w:rFonts w:ascii="Arial" w:eastAsia="Times New Roman" w:hAnsi="Arial" w:cs="Times New Roman"/>
      <w:b/>
      <w:bCs/>
      <w:sz w:val="20"/>
      <w:szCs w:val="20"/>
      <w:lang w:val="nl" w:eastAsia="nl-NL"/>
    </w:rPr>
  </w:style>
  <w:style w:type="paragraph" w:styleId="BalloonText">
    <w:name w:val="Balloon Text"/>
    <w:basedOn w:val="Normal"/>
    <w:link w:val="BalloonTextChar"/>
    <w:uiPriority w:val="99"/>
    <w:semiHidden/>
    <w:unhideWhenUsed/>
    <w:rsid w:val="00062B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B66"/>
    <w:rPr>
      <w:rFonts w:ascii="Segoe UI" w:eastAsia="Times New Roman" w:hAnsi="Segoe UI" w:cs="Segoe UI"/>
      <w:sz w:val="18"/>
      <w:szCs w:val="18"/>
      <w:lang w:val="nl" w:eastAsia="nl-NL"/>
    </w:rPr>
  </w:style>
  <w:style w:type="paragraph" w:styleId="FootnoteText">
    <w:name w:val="footnote text"/>
    <w:basedOn w:val="Normal"/>
    <w:link w:val="FootnoteTextChar"/>
    <w:rsid w:val="0092512D"/>
  </w:style>
  <w:style w:type="character" w:customStyle="1" w:styleId="FootnoteTextChar">
    <w:name w:val="Footnote Text Char"/>
    <w:basedOn w:val="DefaultParagraphFont"/>
    <w:link w:val="FootnoteText"/>
    <w:rsid w:val="0092512D"/>
    <w:rPr>
      <w:rFonts w:ascii="Arial" w:eastAsia="Times New Roman" w:hAnsi="Arial" w:cs="Times New Roman"/>
      <w:sz w:val="20"/>
      <w:szCs w:val="20"/>
      <w:lang w:val="nl" w:eastAsia="nl-NL"/>
    </w:rPr>
  </w:style>
  <w:style w:type="character" w:styleId="FootnoteReference">
    <w:name w:val="footnote reference"/>
    <w:uiPriority w:val="99"/>
    <w:rsid w:val="0092512D"/>
    <w:rPr>
      <w:vertAlign w:val="superscript"/>
    </w:rPr>
  </w:style>
  <w:style w:type="paragraph" w:styleId="NormalWeb">
    <w:name w:val="Normal (Web)"/>
    <w:basedOn w:val="Normal"/>
    <w:uiPriority w:val="99"/>
    <w:semiHidden/>
    <w:unhideWhenUsed/>
    <w:rsid w:val="003F67F4"/>
    <w:pPr>
      <w:widowControl/>
      <w:spacing w:before="100" w:beforeAutospacing="1" w:after="100" w:afterAutospacing="1"/>
    </w:pPr>
    <w:rPr>
      <w:rFonts w:ascii="Times New Roman" w:hAnsi="Times New Roman"/>
      <w:sz w:val="24"/>
      <w:szCs w:val="24"/>
      <w:lang w:val="nl-NL"/>
    </w:rPr>
  </w:style>
  <w:style w:type="paragraph" w:styleId="Header">
    <w:name w:val="header"/>
    <w:basedOn w:val="Normal"/>
    <w:link w:val="HeaderChar"/>
    <w:uiPriority w:val="99"/>
    <w:unhideWhenUsed/>
    <w:rsid w:val="00E21C37"/>
    <w:pPr>
      <w:tabs>
        <w:tab w:val="center" w:pos="4536"/>
        <w:tab w:val="right" w:pos="9072"/>
      </w:tabs>
    </w:pPr>
  </w:style>
  <w:style w:type="character" w:customStyle="1" w:styleId="HeaderChar">
    <w:name w:val="Header Char"/>
    <w:basedOn w:val="DefaultParagraphFont"/>
    <w:link w:val="Header"/>
    <w:uiPriority w:val="99"/>
    <w:rsid w:val="00E21C37"/>
    <w:rPr>
      <w:rFonts w:ascii="Arial" w:eastAsia="Times New Roman" w:hAnsi="Arial" w:cs="Times New Roman"/>
      <w:sz w:val="20"/>
      <w:szCs w:val="20"/>
      <w:lang w:val="nl" w:eastAsia="nl-NL"/>
    </w:rPr>
  </w:style>
  <w:style w:type="paragraph" w:styleId="Footer">
    <w:name w:val="footer"/>
    <w:basedOn w:val="Normal"/>
    <w:link w:val="FooterChar"/>
    <w:uiPriority w:val="99"/>
    <w:unhideWhenUsed/>
    <w:rsid w:val="00E21C37"/>
    <w:pPr>
      <w:tabs>
        <w:tab w:val="center" w:pos="4536"/>
        <w:tab w:val="right" w:pos="9072"/>
      </w:tabs>
    </w:pPr>
  </w:style>
  <w:style w:type="character" w:customStyle="1" w:styleId="FooterChar">
    <w:name w:val="Footer Char"/>
    <w:basedOn w:val="DefaultParagraphFont"/>
    <w:link w:val="Footer"/>
    <w:uiPriority w:val="99"/>
    <w:rsid w:val="00E21C37"/>
    <w:rPr>
      <w:rFonts w:ascii="Arial" w:eastAsia="Times New Roman" w:hAnsi="Arial" w:cs="Times New Roman"/>
      <w:sz w:val="20"/>
      <w:szCs w:val="20"/>
      <w:lang w:val="nl" w:eastAsia="nl-NL"/>
    </w:rPr>
  </w:style>
  <w:style w:type="character" w:customStyle="1" w:styleId="highlight">
    <w:name w:val="highlight"/>
    <w:basedOn w:val="DefaultParagraphFont"/>
    <w:rsid w:val="00E84894"/>
  </w:style>
  <w:style w:type="character" w:styleId="Hyperlink">
    <w:name w:val="Hyperlink"/>
    <w:basedOn w:val="DefaultParagraphFont"/>
    <w:uiPriority w:val="99"/>
    <w:semiHidden/>
    <w:unhideWhenUsed/>
    <w:rsid w:val="008875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7926008">
      <w:bodyDiv w:val="1"/>
      <w:marLeft w:val="0"/>
      <w:marRight w:val="0"/>
      <w:marTop w:val="0"/>
      <w:marBottom w:val="0"/>
      <w:divBdr>
        <w:top w:val="none" w:sz="0" w:space="0" w:color="auto"/>
        <w:left w:val="none" w:sz="0" w:space="0" w:color="auto"/>
        <w:bottom w:val="none" w:sz="0" w:space="0" w:color="auto"/>
        <w:right w:val="none" w:sz="0" w:space="0" w:color="auto"/>
      </w:divBdr>
    </w:div>
    <w:div w:id="358624569">
      <w:bodyDiv w:val="1"/>
      <w:marLeft w:val="0"/>
      <w:marRight w:val="0"/>
      <w:marTop w:val="0"/>
      <w:marBottom w:val="0"/>
      <w:divBdr>
        <w:top w:val="none" w:sz="0" w:space="0" w:color="auto"/>
        <w:left w:val="none" w:sz="0" w:space="0" w:color="auto"/>
        <w:bottom w:val="none" w:sz="0" w:space="0" w:color="auto"/>
        <w:right w:val="none" w:sz="0" w:space="0" w:color="auto"/>
      </w:divBdr>
    </w:div>
    <w:div w:id="456725889">
      <w:bodyDiv w:val="1"/>
      <w:marLeft w:val="0"/>
      <w:marRight w:val="0"/>
      <w:marTop w:val="0"/>
      <w:marBottom w:val="0"/>
      <w:divBdr>
        <w:top w:val="none" w:sz="0" w:space="0" w:color="auto"/>
        <w:left w:val="none" w:sz="0" w:space="0" w:color="auto"/>
        <w:bottom w:val="none" w:sz="0" w:space="0" w:color="auto"/>
        <w:right w:val="none" w:sz="0" w:space="0" w:color="auto"/>
      </w:divBdr>
    </w:div>
    <w:div w:id="486288953">
      <w:bodyDiv w:val="1"/>
      <w:marLeft w:val="0"/>
      <w:marRight w:val="0"/>
      <w:marTop w:val="0"/>
      <w:marBottom w:val="0"/>
      <w:divBdr>
        <w:top w:val="none" w:sz="0" w:space="0" w:color="auto"/>
        <w:left w:val="none" w:sz="0" w:space="0" w:color="auto"/>
        <w:bottom w:val="none" w:sz="0" w:space="0" w:color="auto"/>
        <w:right w:val="none" w:sz="0" w:space="0" w:color="auto"/>
      </w:divBdr>
    </w:div>
    <w:div w:id="631861382">
      <w:bodyDiv w:val="1"/>
      <w:marLeft w:val="0"/>
      <w:marRight w:val="0"/>
      <w:marTop w:val="0"/>
      <w:marBottom w:val="0"/>
      <w:divBdr>
        <w:top w:val="none" w:sz="0" w:space="0" w:color="auto"/>
        <w:left w:val="none" w:sz="0" w:space="0" w:color="auto"/>
        <w:bottom w:val="none" w:sz="0" w:space="0" w:color="auto"/>
        <w:right w:val="none" w:sz="0" w:space="0" w:color="auto"/>
      </w:divBdr>
      <w:divsChild>
        <w:div w:id="2070835436">
          <w:marLeft w:val="0"/>
          <w:marRight w:val="0"/>
          <w:marTop w:val="0"/>
          <w:marBottom w:val="0"/>
          <w:divBdr>
            <w:top w:val="none" w:sz="0" w:space="0" w:color="auto"/>
            <w:left w:val="none" w:sz="0" w:space="0" w:color="auto"/>
            <w:bottom w:val="none" w:sz="0" w:space="0" w:color="auto"/>
            <w:right w:val="none" w:sz="0" w:space="0" w:color="auto"/>
          </w:divBdr>
          <w:divsChild>
            <w:div w:id="371223833">
              <w:marLeft w:val="0"/>
              <w:marRight w:val="0"/>
              <w:marTop w:val="0"/>
              <w:marBottom w:val="0"/>
              <w:divBdr>
                <w:top w:val="none" w:sz="0" w:space="0" w:color="auto"/>
                <w:left w:val="none" w:sz="0" w:space="0" w:color="auto"/>
                <w:bottom w:val="none" w:sz="0" w:space="0" w:color="auto"/>
                <w:right w:val="none" w:sz="0" w:space="0" w:color="auto"/>
              </w:divBdr>
              <w:divsChild>
                <w:div w:id="92239704">
                  <w:marLeft w:val="0"/>
                  <w:marRight w:val="0"/>
                  <w:marTop w:val="0"/>
                  <w:marBottom w:val="0"/>
                  <w:divBdr>
                    <w:top w:val="none" w:sz="0" w:space="0" w:color="auto"/>
                    <w:left w:val="none" w:sz="0" w:space="0" w:color="auto"/>
                    <w:bottom w:val="none" w:sz="0" w:space="0" w:color="auto"/>
                    <w:right w:val="none" w:sz="0" w:space="0" w:color="auto"/>
                  </w:divBdr>
                </w:div>
                <w:div w:id="1856773856">
                  <w:marLeft w:val="0"/>
                  <w:marRight w:val="0"/>
                  <w:marTop w:val="0"/>
                  <w:marBottom w:val="0"/>
                  <w:divBdr>
                    <w:top w:val="none" w:sz="0" w:space="0" w:color="auto"/>
                    <w:left w:val="none" w:sz="0" w:space="0" w:color="auto"/>
                    <w:bottom w:val="none" w:sz="0" w:space="0" w:color="auto"/>
                    <w:right w:val="none" w:sz="0" w:space="0" w:color="auto"/>
                  </w:divBdr>
                  <w:divsChild>
                    <w:div w:id="360251905">
                      <w:marLeft w:val="0"/>
                      <w:marRight w:val="0"/>
                      <w:marTop w:val="0"/>
                      <w:marBottom w:val="0"/>
                      <w:divBdr>
                        <w:top w:val="none" w:sz="0" w:space="0" w:color="auto"/>
                        <w:left w:val="none" w:sz="0" w:space="0" w:color="auto"/>
                        <w:bottom w:val="none" w:sz="0" w:space="0" w:color="auto"/>
                        <w:right w:val="none" w:sz="0" w:space="0" w:color="auto"/>
                      </w:divBdr>
                    </w:div>
                    <w:div w:id="1881432802">
                      <w:marLeft w:val="0"/>
                      <w:marRight w:val="0"/>
                      <w:marTop w:val="0"/>
                      <w:marBottom w:val="0"/>
                      <w:divBdr>
                        <w:top w:val="none" w:sz="0" w:space="0" w:color="auto"/>
                        <w:left w:val="none" w:sz="0" w:space="0" w:color="auto"/>
                        <w:bottom w:val="none" w:sz="0" w:space="0" w:color="auto"/>
                        <w:right w:val="none" w:sz="0" w:space="0" w:color="auto"/>
                      </w:divBdr>
                    </w:div>
                    <w:div w:id="595988806">
                      <w:marLeft w:val="0"/>
                      <w:marRight w:val="0"/>
                      <w:marTop w:val="0"/>
                      <w:marBottom w:val="0"/>
                      <w:divBdr>
                        <w:top w:val="none" w:sz="0" w:space="0" w:color="auto"/>
                        <w:left w:val="none" w:sz="0" w:space="0" w:color="auto"/>
                        <w:bottom w:val="none" w:sz="0" w:space="0" w:color="auto"/>
                        <w:right w:val="none" w:sz="0" w:space="0" w:color="auto"/>
                      </w:divBdr>
                    </w:div>
                    <w:div w:id="716781539">
                      <w:marLeft w:val="0"/>
                      <w:marRight w:val="0"/>
                      <w:marTop w:val="0"/>
                      <w:marBottom w:val="0"/>
                      <w:divBdr>
                        <w:top w:val="none" w:sz="0" w:space="0" w:color="auto"/>
                        <w:left w:val="none" w:sz="0" w:space="0" w:color="auto"/>
                        <w:bottom w:val="none" w:sz="0" w:space="0" w:color="auto"/>
                        <w:right w:val="none" w:sz="0" w:space="0" w:color="auto"/>
                      </w:divBdr>
                    </w:div>
                    <w:div w:id="552814109">
                      <w:marLeft w:val="0"/>
                      <w:marRight w:val="0"/>
                      <w:marTop w:val="0"/>
                      <w:marBottom w:val="0"/>
                      <w:divBdr>
                        <w:top w:val="none" w:sz="0" w:space="0" w:color="auto"/>
                        <w:left w:val="none" w:sz="0" w:space="0" w:color="auto"/>
                        <w:bottom w:val="none" w:sz="0" w:space="0" w:color="auto"/>
                        <w:right w:val="none" w:sz="0" w:space="0" w:color="auto"/>
                      </w:divBdr>
                    </w:div>
                    <w:div w:id="1748843850">
                      <w:marLeft w:val="0"/>
                      <w:marRight w:val="0"/>
                      <w:marTop w:val="0"/>
                      <w:marBottom w:val="0"/>
                      <w:divBdr>
                        <w:top w:val="none" w:sz="0" w:space="0" w:color="auto"/>
                        <w:left w:val="none" w:sz="0" w:space="0" w:color="auto"/>
                        <w:bottom w:val="none" w:sz="0" w:space="0" w:color="auto"/>
                        <w:right w:val="none" w:sz="0" w:space="0" w:color="auto"/>
                      </w:divBdr>
                    </w:div>
                    <w:div w:id="1724911381">
                      <w:marLeft w:val="0"/>
                      <w:marRight w:val="0"/>
                      <w:marTop w:val="0"/>
                      <w:marBottom w:val="0"/>
                      <w:divBdr>
                        <w:top w:val="none" w:sz="0" w:space="0" w:color="auto"/>
                        <w:left w:val="none" w:sz="0" w:space="0" w:color="auto"/>
                        <w:bottom w:val="none" w:sz="0" w:space="0" w:color="auto"/>
                        <w:right w:val="none" w:sz="0" w:space="0" w:color="auto"/>
                      </w:divBdr>
                    </w:div>
                    <w:div w:id="532767870">
                      <w:marLeft w:val="0"/>
                      <w:marRight w:val="0"/>
                      <w:marTop w:val="0"/>
                      <w:marBottom w:val="0"/>
                      <w:divBdr>
                        <w:top w:val="none" w:sz="0" w:space="0" w:color="auto"/>
                        <w:left w:val="none" w:sz="0" w:space="0" w:color="auto"/>
                        <w:bottom w:val="none" w:sz="0" w:space="0" w:color="auto"/>
                        <w:right w:val="none" w:sz="0" w:space="0" w:color="auto"/>
                      </w:divBdr>
                    </w:div>
                    <w:div w:id="1825975463">
                      <w:marLeft w:val="0"/>
                      <w:marRight w:val="0"/>
                      <w:marTop w:val="0"/>
                      <w:marBottom w:val="0"/>
                      <w:divBdr>
                        <w:top w:val="none" w:sz="0" w:space="0" w:color="auto"/>
                        <w:left w:val="none" w:sz="0" w:space="0" w:color="auto"/>
                        <w:bottom w:val="none" w:sz="0" w:space="0" w:color="auto"/>
                        <w:right w:val="none" w:sz="0" w:space="0" w:color="auto"/>
                      </w:divBdr>
                    </w:div>
                    <w:div w:id="625622047">
                      <w:marLeft w:val="0"/>
                      <w:marRight w:val="0"/>
                      <w:marTop w:val="0"/>
                      <w:marBottom w:val="0"/>
                      <w:divBdr>
                        <w:top w:val="none" w:sz="0" w:space="0" w:color="auto"/>
                        <w:left w:val="none" w:sz="0" w:space="0" w:color="auto"/>
                        <w:bottom w:val="none" w:sz="0" w:space="0" w:color="auto"/>
                        <w:right w:val="none" w:sz="0" w:space="0" w:color="auto"/>
                      </w:divBdr>
                    </w:div>
                    <w:div w:id="207033487">
                      <w:marLeft w:val="0"/>
                      <w:marRight w:val="0"/>
                      <w:marTop w:val="0"/>
                      <w:marBottom w:val="0"/>
                      <w:divBdr>
                        <w:top w:val="none" w:sz="0" w:space="0" w:color="auto"/>
                        <w:left w:val="none" w:sz="0" w:space="0" w:color="auto"/>
                        <w:bottom w:val="none" w:sz="0" w:space="0" w:color="auto"/>
                        <w:right w:val="none" w:sz="0" w:space="0" w:color="auto"/>
                      </w:divBdr>
                    </w:div>
                    <w:div w:id="1218124217">
                      <w:marLeft w:val="0"/>
                      <w:marRight w:val="0"/>
                      <w:marTop w:val="0"/>
                      <w:marBottom w:val="0"/>
                      <w:divBdr>
                        <w:top w:val="none" w:sz="0" w:space="0" w:color="auto"/>
                        <w:left w:val="none" w:sz="0" w:space="0" w:color="auto"/>
                        <w:bottom w:val="none" w:sz="0" w:space="0" w:color="auto"/>
                        <w:right w:val="none" w:sz="0" w:space="0" w:color="auto"/>
                      </w:divBdr>
                    </w:div>
                    <w:div w:id="1818304360">
                      <w:marLeft w:val="0"/>
                      <w:marRight w:val="0"/>
                      <w:marTop w:val="0"/>
                      <w:marBottom w:val="0"/>
                      <w:divBdr>
                        <w:top w:val="none" w:sz="0" w:space="0" w:color="auto"/>
                        <w:left w:val="none" w:sz="0" w:space="0" w:color="auto"/>
                        <w:bottom w:val="none" w:sz="0" w:space="0" w:color="auto"/>
                        <w:right w:val="none" w:sz="0" w:space="0" w:color="auto"/>
                      </w:divBdr>
                    </w:div>
                    <w:div w:id="1591234913">
                      <w:marLeft w:val="0"/>
                      <w:marRight w:val="0"/>
                      <w:marTop w:val="0"/>
                      <w:marBottom w:val="0"/>
                      <w:divBdr>
                        <w:top w:val="none" w:sz="0" w:space="0" w:color="auto"/>
                        <w:left w:val="none" w:sz="0" w:space="0" w:color="auto"/>
                        <w:bottom w:val="none" w:sz="0" w:space="0" w:color="auto"/>
                        <w:right w:val="none" w:sz="0" w:space="0" w:color="auto"/>
                      </w:divBdr>
                    </w:div>
                    <w:div w:id="59987519">
                      <w:marLeft w:val="0"/>
                      <w:marRight w:val="0"/>
                      <w:marTop w:val="0"/>
                      <w:marBottom w:val="0"/>
                      <w:divBdr>
                        <w:top w:val="none" w:sz="0" w:space="0" w:color="auto"/>
                        <w:left w:val="none" w:sz="0" w:space="0" w:color="auto"/>
                        <w:bottom w:val="none" w:sz="0" w:space="0" w:color="auto"/>
                        <w:right w:val="none" w:sz="0" w:space="0" w:color="auto"/>
                      </w:divBdr>
                    </w:div>
                    <w:div w:id="1585992294">
                      <w:marLeft w:val="0"/>
                      <w:marRight w:val="0"/>
                      <w:marTop w:val="0"/>
                      <w:marBottom w:val="0"/>
                      <w:divBdr>
                        <w:top w:val="none" w:sz="0" w:space="0" w:color="auto"/>
                        <w:left w:val="none" w:sz="0" w:space="0" w:color="auto"/>
                        <w:bottom w:val="none" w:sz="0" w:space="0" w:color="auto"/>
                        <w:right w:val="none" w:sz="0" w:space="0" w:color="auto"/>
                      </w:divBdr>
                    </w:div>
                    <w:div w:id="779033831">
                      <w:marLeft w:val="0"/>
                      <w:marRight w:val="0"/>
                      <w:marTop w:val="0"/>
                      <w:marBottom w:val="0"/>
                      <w:divBdr>
                        <w:top w:val="none" w:sz="0" w:space="0" w:color="auto"/>
                        <w:left w:val="none" w:sz="0" w:space="0" w:color="auto"/>
                        <w:bottom w:val="none" w:sz="0" w:space="0" w:color="auto"/>
                        <w:right w:val="none" w:sz="0" w:space="0" w:color="auto"/>
                      </w:divBdr>
                    </w:div>
                    <w:div w:id="1379234831">
                      <w:marLeft w:val="0"/>
                      <w:marRight w:val="0"/>
                      <w:marTop w:val="0"/>
                      <w:marBottom w:val="0"/>
                      <w:divBdr>
                        <w:top w:val="none" w:sz="0" w:space="0" w:color="auto"/>
                        <w:left w:val="none" w:sz="0" w:space="0" w:color="auto"/>
                        <w:bottom w:val="none" w:sz="0" w:space="0" w:color="auto"/>
                        <w:right w:val="none" w:sz="0" w:space="0" w:color="auto"/>
                      </w:divBdr>
                    </w:div>
                    <w:div w:id="444423786">
                      <w:marLeft w:val="0"/>
                      <w:marRight w:val="0"/>
                      <w:marTop w:val="0"/>
                      <w:marBottom w:val="0"/>
                      <w:divBdr>
                        <w:top w:val="none" w:sz="0" w:space="0" w:color="auto"/>
                        <w:left w:val="none" w:sz="0" w:space="0" w:color="auto"/>
                        <w:bottom w:val="none" w:sz="0" w:space="0" w:color="auto"/>
                        <w:right w:val="none" w:sz="0" w:space="0" w:color="auto"/>
                      </w:divBdr>
                    </w:div>
                    <w:div w:id="673149215">
                      <w:marLeft w:val="0"/>
                      <w:marRight w:val="0"/>
                      <w:marTop w:val="0"/>
                      <w:marBottom w:val="0"/>
                      <w:divBdr>
                        <w:top w:val="none" w:sz="0" w:space="0" w:color="auto"/>
                        <w:left w:val="none" w:sz="0" w:space="0" w:color="auto"/>
                        <w:bottom w:val="none" w:sz="0" w:space="0" w:color="auto"/>
                        <w:right w:val="none" w:sz="0" w:space="0" w:color="auto"/>
                      </w:divBdr>
                    </w:div>
                    <w:div w:id="1418867319">
                      <w:marLeft w:val="0"/>
                      <w:marRight w:val="0"/>
                      <w:marTop w:val="0"/>
                      <w:marBottom w:val="0"/>
                      <w:divBdr>
                        <w:top w:val="none" w:sz="0" w:space="0" w:color="auto"/>
                        <w:left w:val="none" w:sz="0" w:space="0" w:color="auto"/>
                        <w:bottom w:val="none" w:sz="0" w:space="0" w:color="auto"/>
                        <w:right w:val="none" w:sz="0" w:space="0" w:color="auto"/>
                      </w:divBdr>
                    </w:div>
                    <w:div w:id="165948919">
                      <w:marLeft w:val="0"/>
                      <w:marRight w:val="0"/>
                      <w:marTop w:val="0"/>
                      <w:marBottom w:val="0"/>
                      <w:divBdr>
                        <w:top w:val="none" w:sz="0" w:space="0" w:color="auto"/>
                        <w:left w:val="none" w:sz="0" w:space="0" w:color="auto"/>
                        <w:bottom w:val="none" w:sz="0" w:space="0" w:color="auto"/>
                        <w:right w:val="none" w:sz="0" w:space="0" w:color="auto"/>
                      </w:divBdr>
                    </w:div>
                    <w:div w:id="1968123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985274">
      <w:bodyDiv w:val="1"/>
      <w:marLeft w:val="0"/>
      <w:marRight w:val="0"/>
      <w:marTop w:val="0"/>
      <w:marBottom w:val="0"/>
      <w:divBdr>
        <w:top w:val="none" w:sz="0" w:space="0" w:color="auto"/>
        <w:left w:val="none" w:sz="0" w:space="0" w:color="auto"/>
        <w:bottom w:val="none" w:sz="0" w:space="0" w:color="auto"/>
        <w:right w:val="none" w:sz="0" w:space="0" w:color="auto"/>
      </w:divBdr>
    </w:div>
    <w:div w:id="795100962">
      <w:bodyDiv w:val="1"/>
      <w:marLeft w:val="0"/>
      <w:marRight w:val="0"/>
      <w:marTop w:val="0"/>
      <w:marBottom w:val="0"/>
      <w:divBdr>
        <w:top w:val="none" w:sz="0" w:space="0" w:color="auto"/>
        <w:left w:val="none" w:sz="0" w:space="0" w:color="auto"/>
        <w:bottom w:val="none" w:sz="0" w:space="0" w:color="auto"/>
        <w:right w:val="none" w:sz="0" w:space="0" w:color="auto"/>
      </w:divBdr>
    </w:div>
    <w:div w:id="969937211">
      <w:bodyDiv w:val="1"/>
      <w:marLeft w:val="0"/>
      <w:marRight w:val="0"/>
      <w:marTop w:val="0"/>
      <w:marBottom w:val="0"/>
      <w:divBdr>
        <w:top w:val="none" w:sz="0" w:space="0" w:color="auto"/>
        <w:left w:val="none" w:sz="0" w:space="0" w:color="auto"/>
        <w:bottom w:val="none" w:sz="0" w:space="0" w:color="auto"/>
        <w:right w:val="none" w:sz="0" w:space="0" w:color="auto"/>
      </w:divBdr>
    </w:div>
    <w:div w:id="1013412816">
      <w:bodyDiv w:val="1"/>
      <w:marLeft w:val="0"/>
      <w:marRight w:val="0"/>
      <w:marTop w:val="0"/>
      <w:marBottom w:val="0"/>
      <w:divBdr>
        <w:top w:val="none" w:sz="0" w:space="0" w:color="auto"/>
        <w:left w:val="none" w:sz="0" w:space="0" w:color="auto"/>
        <w:bottom w:val="none" w:sz="0" w:space="0" w:color="auto"/>
        <w:right w:val="none" w:sz="0" w:space="0" w:color="auto"/>
      </w:divBdr>
    </w:div>
    <w:div w:id="1138257671">
      <w:bodyDiv w:val="1"/>
      <w:marLeft w:val="0"/>
      <w:marRight w:val="0"/>
      <w:marTop w:val="0"/>
      <w:marBottom w:val="0"/>
      <w:divBdr>
        <w:top w:val="none" w:sz="0" w:space="0" w:color="auto"/>
        <w:left w:val="none" w:sz="0" w:space="0" w:color="auto"/>
        <w:bottom w:val="none" w:sz="0" w:space="0" w:color="auto"/>
        <w:right w:val="none" w:sz="0" w:space="0" w:color="auto"/>
      </w:divBdr>
    </w:div>
    <w:div w:id="1404835018">
      <w:bodyDiv w:val="1"/>
      <w:marLeft w:val="0"/>
      <w:marRight w:val="0"/>
      <w:marTop w:val="0"/>
      <w:marBottom w:val="0"/>
      <w:divBdr>
        <w:top w:val="none" w:sz="0" w:space="0" w:color="auto"/>
        <w:left w:val="none" w:sz="0" w:space="0" w:color="auto"/>
        <w:bottom w:val="none" w:sz="0" w:space="0" w:color="auto"/>
        <w:right w:val="none" w:sz="0" w:space="0" w:color="auto"/>
      </w:divBdr>
    </w:div>
    <w:div w:id="1510409660">
      <w:bodyDiv w:val="1"/>
      <w:marLeft w:val="0"/>
      <w:marRight w:val="0"/>
      <w:marTop w:val="0"/>
      <w:marBottom w:val="0"/>
      <w:divBdr>
        <w:top w:val="none" w:sz="0" w:space="0" w:color="auto"/>
        <w:left w:val="none" w:sz="0" w:space="0" w:color="auto"/>
        <w:bottom w:val="none" w:sz="0" w:space="0" w:color="auto"/>
        <w:right w:val="none" w:sz="0" w:space="0" w:color="auto"/>
      </w:divBdr>
      <w:divsChild>
        <w:div w:id="537397284">
          <w:marLeft w:val="0"/>
          <w:marRight w:val="0"/>
          <w:marTop w:val="0"/>
          <w:marBottom w:val="0"/>
          <w:divBdr>
            <w:top w:val="none" w:sz="0" w:space="0" w:color="auto"/>
            <w:left w:val="none" w:sz="0" w:space="0" w:color="auto"/>
            <w:bottom w:val="none" w:sz="0" w:space="0" w:color="auto"/>
            <w:right w:val="none" w:sz="0" w:space="0" w:color="auto"/>
          </w:divBdr>
        </w:div>
      </w:divsChild>
    </w:div>
    <w:div w:id="1735817018">
      <w:bodyDiv w:val="1"/>
      <w:marLeft w:val="0"/>
      <w:marRight w:val="0"/>
      <w:marTop w:val="0"/>
      <w:marBottom w:val="0"/>
      <w:divBdr>
        <w:top w:val="none" w:sz="0" w:space="0" w:color="auto"/>
        <w:left w:val="none" w:sz="0" w:space="0" w:color="auto"/>
        <w:bottom w:val="none" w:sz="0" w:space="0" w:color="auto"/>
        <w:right w:val="none" w:sz="0" w:space="0" w:color="auto"/>
      </w:divBdr>
    </w:div>
    <w:div w:id="1808353059">
      <w:bodyDiv w:val="1"/>
      <w:marLeft w:val="0"/>
      <w:marRight w:val="0"/>
      <w:marTop w:val="0"/>
      <w:marBottom w:val="0"/>
      <w:divBdr>
        <w:top w:val="none" w:sz="0" w:space="0" w:color="auto"/>
        <w:left w:val="none" w:sz="0" w:space="0" w:color="auto"/>
        <w:bottom w:val="none" w:sz="0" w:space="0" w:color="auto"/>
        <w:right w:val="none" w:sz="0" w:space="0" w:color="auto"/>
      </w:divBdr>
    </w:div>
    <w:div w:id="1898516601">
      <w:bodyDiv w:val="1"/>
      <w:marLeft w:val="0"/>
      <w:marRight w:val="0"/>
      <w:marTop w:val="0"/>
      <w:marBottom w:val="0"/>
      <w:divBdr>
        <w:top w:val="none" w:sz="0" w:space="0" w:color="auto"/>
        <w:left w:val="none" w:sz="0" w:space="0" w:color="auto"/>
        <w:bottom w:val="none" w:sz="0" w:space="0" w:color="auto"/>
        <w:right w:val="none" w:sz="0" w:space="0" w:color="auto"/>
      </w:divBdr>
    </w:div>
    <w:div w:id="1925606464">
      <w:bodyDiv w:val="1"/>
      <w:marLeft w:val="0"/>
      <w:marRight w:val="0"/>
      <w:marTop w:val="0"/>
      <w:marBottom w:val="0"/>
      <w:divBdr>
        <w:top w:val="none" w:sz="0" w:space="0" w:color="auto"/>
        <w:left w:val="none" w:sz="0" w:space="0" w:color="auto"/>
        <w:bottom w:val="none" w:sz="0" w:space="0" w:color="auto"/>
        <w:right w:val="none" w:sz="0" w:space="0" w:color="auto"/>
      </w:divBdr>
    </w:div>
    <w:div w:id="2143880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etten.overheid.nl/BWBV0005862/2016-12-31" TargetMode="Externa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13</ap:Pages>
  <ap:Words>4895</ap:Words>
  <ap:Characters>26925</ap:Characters>
  <ap:DocSecurity>0</ap:DocSecurity>
  <ap:Lines>224</ap:Lines>
  <ap:Paragraphs>63</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31757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2021-11-02T11:28:00.0000000Z</dcterms:created>
  <dcterms:modified xsi:type="dcterms:W3CDTF">2021-11-02T11:28:00.0000000Z</dcterms:modified>
  <version/>
  <category/>
</coreProperties>
</file>