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433" w:rsidP="00FD2433" w:rsidRDefault="00FD2433">
      <w:pPr>
        <w:pStyle w:val="Introtekst"/>
        <w:ind w:left="567" w:right="567"/>
      </w:pPr>
      <w:bookmarkStart w:name="_GoBack" w:id="0"/>
      <w:bookmarkEnd w:id="0"/>
    </w:p>
    <w:p w:rsidRPr="00794ECB" w:rsidR="00EF2415" w:rsidP="00CF5B91" w:rsidRDefault="00EF2415">
      <w:pPr>
        <w:pStyle w:val="Kop"/>
        <w:ind w:left="0"/>
      </w:pPr>
      <w:r w:rsidRPr="00794ECB">
        <w:t xml:space="preserve">Samenvatting </w:t>
      </w:r>
    </w:p>
    <w:p w:rsidRPr="005A7C48" w:rsidR="00EF2415" w:rsidP="00EF2415" w:rsidRDefault="00EF2415">
      <w:pPr>
        <w:rPr>
          <w:rFonts w:ascii="Times New Roman" w:hAnsi="Times New Roman" w:cs="Times New Roman"/>
          <w:b/>
          <w:bCs/>
        </w:rPr>
      </w:pPr>
    </w:p>
    <w:p w:rsidRPr="005A7C48" w:rsidR="00EF2415" w:rsidP="00EF2415" w:rsidRDefault="00EF2415">
      <w:pPr>
        <w:rPr>
          <w:rFonts w:ascii="Times New Roman" w:hAnsi="Times New Roman" w:cs="Times New Roman"/>
        </w:rPr>
      </w:pPr>
      <w:r w:rsidRPr="005A7C48">
        <w:rPr>
          <w:rFonts w:ascii="Times New Roman" w:hAnsi="Times New Roman" w:cs="Times New Roman"/>
        </w:rPr>
        <w:t xml:space="preserve">Fundamenteel onderzoek levert de volgende inzichten </w:t>
      </w:r>
      <w:r>
        <w:rPr>
          <w:rFonts w:ascii="Times New Roman" w:hAnsi="Times New Roman" w:cs="Times New Roman"/>
        </w:rPr>
        <w:t>in</w:t>
      </w:r>
      <w:r w:rsidRPr="005A7C48">
        <w:rPr>
          <w:rFonts w:ascii="Times New Roman" w:hAnsi="Times New Roman" w:cs="Times New Roman"/>
        </w:rPr>
        <w:t xml:space="preserve"> de patronen, trends en determinanten van </w:t>
      </w:r>
      <w:r>
        <w:rPr>
          <w:rFonts w:ascii="Times New Roman" w:hAnsi="Times New Roman" w:cs="Times New Roman"/>
        </w:rPr>
        <w:t xml:space="preserve">internationale </w:t>
      </w:r>
      <w:r w:rsidRPr="005A7C48">
        <w:rPr>
          <w:rFonts w:ascii="Times New Roman" w:hAnsi="Times New Roman" w:cs="Times New Roman"/>
        </w:rPr>
        <w:t>migratie op:</w:t>
      </w:r>
    </w:p>
    <w:p w:rsidRPr="005A7C48" w:rsidR="00EF2415" w:rsidP="00EF2415" w:rsidRDefault="00EF2415">
      <w:pPr>
        <w:rPr>
          <w:rFonts w:ascii="Times New Roman" w:hAnsi="Times New Roman" w:cs="Times New Roman"/>
        </w:rPr>
      </w:pPr>
    </w:p>
    <w:p w:rsidRPr="005A7C48" w:rsidR="00EF2415" w:rsidP="00EF2415" w:rsidRDefault="00EF2415">
      <w:pPr>
        <w:pStyle w:val="Lijstalinea"/>
        <w:numPr>
          <w:ilvl w:val="0"/>
          <w:numId w:val="2"/>
        </w:numPr>
        <w:rPr>
          <w:rFonts w:ascii="Times New Roman" w:hAnsi="Times New Roman" w:cs="Times New Roman"/>
          <w:lang w:val="nl-NL"/>
        </w:rPr>
      </w:pPr>
      <w:r w:rsidRPr="005A7C48">
        <w:rPr>
          <w:rFonts w:ascii="Times New Roman" w:hAnsi="Times New Roman" w:cs="Times New Roman"/>
          <w:lang w:val="nl-NL"/>
        </w:rPr>
        <w:t xml:space="preserve">Arbeidsvraag en </w:t>
      </w:r>
      <w:r>
        <w:rPr>
          <w:rFonts w:ascii="Times New Roman" w:hAnsi="Times New Roman" w:cs="Times New Roman"/>
          <w:lang w:val="nl-NL"/>
        </w:rPr>
        <w:t>-</w:t>
      </w:r>
      <w:r w:rsidRPr="005A7C48">
        <w:rPr>
          <w:rFonts w:ascii="Times New Roman" w:hAnsi="Times New Roman" w:cs="Times New Roman"/>
          <w:lang w:val="nl-NL"/>
        </w:rPr>
        <w:t xml:space="preserve">werving in hoger en lager opgeleide sectoren in bestemmingslanden is de primaire drijvende kracht achter internationale migratie. </w:t>
      </w:r>
    </w:p>
    <w:p w:rsidRPr="005A7C48" w:rsidR="00EF2415" w:rsidP="00EF2415" w:rsidRDefault="00EF2415">
      <w:pPr>
        <w:pStyle w:val="Lijstalinea"/>
        <w:numPr>
          <w:ilvl w:val="0"/>
          <w:numId w:val="2"/>
        </w:numPr>
        <w:rPr>
          <w:rFonts w:ascii="Times New Roman" w:hAnsi="Times New Roman" w:cs="Times New Roman"/>
          <w:lang w:val="nl-NL"/>
        </w:rPr>
      </w:pPr>
      <w:r w:rsidRPr="005A7C48">
        <w:rPr>
          <w:rFonts w:ascii="Times New Roman" w:hAnsi="Times New Roman" w:cs="Times New Roman"/>
          <w:lang w:val="nl-NL"/>
        </w:rPr>
        <w:t xml:space="preserve">Terwijl hoogontwikkelde samenlevingen onvermijdelijk veel migranten aantrekken, lijkt dit in het bijzonder te gelden voor open economieën en gedereguleerde arbeidsmarkten. </w:t>
      </w:r>
    </w:p>
    <w:p w:rsidRPr="005A7C48" w:rsidR="00EF2415" w:rsidP="00EF2415" w:rsidRDefault="00EF2415">
      <w:pPr>
        <w:pStyle w:val="Lijstalinea"/>
        <w:numPr>
          <w:ilvl w:val="0"/>
          <w:numId w:val="2"/>
        </w:numPr>
        <w:rPr>
          <w:rFonts w:ascii="Times New Roman" w:hAnsi="Times New Roman" w:cs="Times New Roman"/>
          <w:lang w:val="nl-NL"/>
        </w:rPr>
      </w:pPr>
      <w:r w:rsidRPr="005A7C48">
        <w:rPr>
          <w:rFonts w:ascii="Times New Roman" w:hAnsi="Times New Roman" w:cs="Times New Roman"/>
          <w:lang w:val="nl-NL"/>
        </w:rPr>
        <w:t xml:space="preserve">Ontwikkeling </w:t>
      </w:r>
      <w:r>
        <w:rPr>
          <w:rFonts w:ascii="Times New Roman" w:hAnsi="Times New Roman" w:cs="Times New Roman"/>
          <w:lang w:val="nl-NL"/>
        </w:rPr>
        <w:t>van</w:t>
      </w:r>
      <w:r w:rsidRPr="005A7C48">
        <w:rPr>
          <w:rFonts w:ascii="Times New Roman" w:hAnsi="Times New Roman" w:cs="Times New Roman"/>
          <w:lang w:val="nl-NL"/>
        </w:rPr>
        <w:t xml:space="preserve"> lage-inkomenslanden leidt tot een toename van binnenlandse en buitenlandse emigratie omdat het de aspiraties en mogelijkheden om te migreren verhoogt. </w:t>
      </w:r>
    </w:p>
    <w:p w:rsidRPr="005A7C48" w:rsidR="00EF2415" w:rsidP="00EF2415" w:rsidRDefault="00EF2415">
      <w:pPr>
        <w:pStyle w:val="Lijstalinea"/>
        <w:numPr>
          <w:ilvl w:val="0"/>
          <w:numId w:val="2"/>
        </w:numPr>
        <w:rPr>
          <w:rFonts w:ascii="Times New Roman" w:hAnsi="Times New Roman" w:cs="Times New Roman"/>
          <w:lang w:val="nl-NL"/>
        </w:rPr>
      </w:pPr>
      <w:r w:rsidRPr="005A7C48">
        <w:rPr>
          <w:rFonts w:ascii="Times New Roman" w:hAnsi="Times New Roman" w:cs="Times New Roman"/>
          <w:lang w:val="nl-NL"/>
        </w:rPr>
        <w:t xml:space="preserve">Een hogere mate van gelijkheid, sociale zekerheid </w:t>
      </w:r>
      <w:r>
        <w:rPr>
          <w:rFonts w:ascii="Times New Roman" w:hAnsi="Times New Roman" w:cs="Times New Roman"/>
          <w:lang w:val="nl-NL"/>
        </w:rPr>
        <w:t>evenals</w:t>
      </w:r>
      <w:r w:rsidRPr="005A7C48">
        <w:rPr>
          <w:rFonts w:ascii="Times New Roman" w:hAnsi="Times New Roman" w:cs="Times New Roman"/>
          <w:lang w:val="nl-NL"/>
        </w:rPr>
        <w:t xml:space="preserve"> goed publiek onderwijs en </w:t>
      </w:r>
      <w:r>
        <w:rPr>
          <w:rFonts w:ascii="Times New Roman" w:hAnsi="Times New Roman" w:cs="Times New Roman"/>
          <w:lang w:val="nl-NL"/>
        </w:rPr>
        <w:t xml:space="preserve">een goede </w:t>
      </w:r>
      <w:r w:rsidRPr="005A7C48">
        <w:rPr>
          <w:rFonts w:ascii="Times New Roman" w:hAnsi="Times New Roman" w:cs="Times New Roman"/>
          <w:lang w:val="nl-NL"/>
        </w:rPr>
        <w:t>gezondheidszorg in herkomstlanden heeft mogelijk een beperkt migratiedempend effect omdat minder mensen migratie als een sociaal verzekeringsmechanisme aanwenden.</w:t>
      </w:r>
    </w:p>
    <w:p w:rsidRPr="005A7C48" w:rsidR="00EF2415" w:rsidP="00EF2415" w:rsidRDefault="00EF2415">
      <w:pPr>
        <w:pStyle w:val="Lijstalinea"/>
        <w:numPr>
          <w:ilvl w:val="0"/>
          <w:numId w:val="2"/>
        </w:numPr>
        <w:rPr>
          <w:rFonts w:ascii="Times New Roman" w:hAnsi="Times New Roman" w:cs="Times New Roman"/>
          <w:lang w:val="nl-NL"/>
        </w:rPr>
      </w:pPr>
      <w:r w:rsidRPr="005A7C48">
        <w:rPr>
          <w:rFonts w:ascii="Times New Roman" w:hAnsi="Times New Roman" w:cs="Times New Roman"/>
          <w:lang w:val="nl-NL"/>
        </w:rPr>
        <w:t>Vluchtelingenmigratie wordt gedreven door oorlog en onderdrukking. Circa 80 procent van de vluchtelingen blijft in herkomstregio’s. Het aantal asielaanvragen in de EU fluctueert sterk</w:t>
      </w:r>
      <w:r>
        <w:rPr>
          <w:rFonts w:ascii="Times New Roman" w:hAnsi="Times New Roman" w:cs="Times New Roman"/>
          <w:lang w:val="nl-NL"/>
        </w:rPr>
        <w:t>,</w:t>
      </w:r>
      <w:r w:rsidRPr="005A7C48">
        <w:rPr>
          <w:rFonts w:ascii="Times New Roman" w:hAnsi="Times New Roman" w:cs="Times New Roman"/>
          <w:lang w:val="nl-NL"/>
        </w:rPr>
        <w:t xml:space="preserve"> </w:t>
      </w:r>
      <w:r>
        <w:rPr>
          <w:rFonts w:ascii="Times New Roman" w:hAnsi="Times New Roman" w:cs="Times New Roman"/>
          <w:lang w:val="nl-NL"/>
        </w:rPr>
        <w:t>afhankelijk van</w:t>
      </w:r>
      <w:r w:rsidRPr="005A7C48">
        <w:rPr>
          <w:rFonts w:ascii="Times New Roman" w:hAnsi="Times New Roman" w:cs="Times New Roman"/>
          <w:lang w:val="nl-NL"/>
        </w:rPr>
        <w:t xml:space="preserve"> conflictniveaus.</w:t>
      </w:r>
      <w:r>
        <w:rPr>
          <w:rFonts w:ascii="Times New Roman" w:hAnsi="Times New Roman" w:cs="Times New Roman"/>
          <w:lang w:val="nl-NL"/>
        </w:rPr>
        <w:t xml:space="preserve"> </w:t>
      </w:r>
    </w:p>
    <w:p w:rsidRPr="005A7C48" w:rsidR="00EF2415" w:rsidP="00EF2415" w:rsidRDefault="00EF2415">
      <w:pPr>
        <w:pStyle w:val="Lijstalinea"/>
        <w:numPr>
          <w:ilvl w:val="0"/>
          <w:numId w:val="2"/>
        </w:numPr>
        <w:rPr>
          <w:rFonts w:ascii="Times New Roman" w:hAnsi="Times New Roman" w:cs="Times New Roman"/>
          <w:lang w:val="nl-NL"/>
        </w:rPr>
      </w:pPr>
      <w:r w:rsidRPr="005A7C48">
        <w:rPr>
          <w:rFonts w:ascii="Times New Roman" w:hAnsi="Times New Roman" w:cs="Times New Roman"/>
          <w:lang w:val="nl-NL"/>
        </w:rPr>
        <w:t xml:space="preserve">Milieufactoren hebben voornamelijk een indirecte impact op migratie en het is onwaarschijnlijk dat klimaatverandering tot grootschalige internationale </w:t>
      </w:r>
      <w:r>
        <w:rPr>
          <w:rFonts w:ascii="Times New Roman" w:hAnsi="Times New Roman" w:cs="Times New Roman"/>
          <w:lang w:val="nl-NL"/>
        </w:rPr>
        <w:t>n</w:t>
      </w:r>
      <w:r w:rsidRPr="005A7C48">
        <w:rPr>
          <w:rFonts w:ascii="Times New Roman" w:hAnsi="Times New Roman" w:cs="Times New Roman"/>
          <w:lang w:val="nl-NL"/>
        </w:rPr>
        <w:t>oord-</w:t>
      </w:r>
      <w:r>
        <w:rPr>
          <w:rFonts w:ascii="Times New Roman" w:hAnsi="Times New Roman" w:cs="Times New Roman"/>
          <w:lang w:val="nl-NL"/>
        </w:rPr>
        <w:t>z</w:t>
      </w:r>
      <w:r w:rsidRPr="005A7C48">
        <w:rPr>
          <w:rFonts w:ascii="Times New Roman" w:hAnsi="Times New Roman" w:cs="Times New Roman"/>
          <w:lang w:val="nl-NL"/>
        </w:rPr>
        <w:t xml:space="preserve">uid migratie zal leiden. </w:t>
      </w:r>
    </w:p>
    <w:p w:rsidRPr="005A7C48" w:rsidR="00EF2415" w:rsidP="00EF2415" w:rsidRDefault="00EF2415">
      <w:pPr>
        <w:pStyle w:val="Lijstalinea"/>
        <w:numPr>
          <w:ilvl w:val="0"/>
          <w:numId w:val="2"/>
        </w:numPr>
        <w:rPr>
          <w:rFonts w:ascii="Times New Roman" w:hAnsi="Times New Roman" w:cs="Times New Roman"/>
          <w:lang w:val="nl-NL"/>
        </w:rPr>
      </w:pPr>
      <w:r w:rsidRPr="005A7C48">
        <w:rPr>
          <w:rFonts w:ascii="Times New Roman" w:hAnsi="Times New Roman" w:cs="Times New Roman"/>
          <w:lang w:val="nl-NL"/>
        </w:rPr>
        <w:t xml:space="preserve">Migratiebeleid dat onvoldoende rekening houdt met de oorzaken van migratie, met name arbeidsvraag, werkt irreguliere migratie en permanente vestiging in de hand. </w:t>
      </w:r>
    </w:p>
    <w:p w:rsidRPr="005A7C48" w:rsidR="00EF2415" w:rsidP="00EF2415" w:rsidRDefault="00EF2415">
      <w:pPr>
        <w:rPr>
          <w:rFonts w:ascii="Times New Roman" w:hAnsi="Times New Roman" w:cs="Times New Roman"/>
          <w:b/>
          <w:bCs/>
        </w:rPr>
      </w:pPr>
    </w:p>
    <w:p w:rsidRPr="005A7C48" w:rsidR="00EF2415" w:rsidP="00EF2415" w:rsidRDefault="00EF2415">
      <w:pPr>
        <w:rPr>
          <w:rFonts w:ascii="Times New Roman" w:hAnsi="Times New Roman" w:cs="Times New Roman"/>
        </w:rPr>
      </w:pPr>
      <w:r w:rsidRPr="005A7C48">
        <w:rPr>
          <w:rFonts w:ascii="Times New Roman" w:hAnsi="Times New Roman" w:cs="Times New Roman"/>
        </w:rPr>
        <w:t xml:space="preserve">Aan de ene kant toont fundamenteel wetenschappelijk onderzoek de onvermijdelijkheid van migratie aan. Aan de andere kant laat het zien dat overheden in bestemmings- en herkomstlanden migratie effectiever kunnen beïnvloeden als ze verder kijken dan migratiebeleid en aandacht schenken aan de wijze waarop economisch en arbeidsmarktbeleid, sociale voorzieningen en herverdelingspolitiek migratiepatronen </w:t>
      </w:r>
      <w:r>
        <w:rPr>
          <w:rFonts w:ascii="Times New Roman" w:hAnsi="Times New Roman" w:cs="Times New Roman"/>
        </w:rPr>
        <w:t xml:space="preserve">op de lange termijn </w:t>
      </w:r>
      <w:r w:rsidRPr="005A7C48">
        <w:rPr>
          <w:rFonts w:ascii="Times New Roman" w:hAnsi="Times New Roman" w:cs="Times New Roman"/>
        </w:rPr>
        <w:t xml:space="preserve">beïnvloeden. </w:t>
      </w:r>
    </w:p>
    <w:p w:rsidRPr="005A7C48" w:rsidR="00EF2415" w:rsidP="00EF2415" w:rsidRDefault="00EF2415">
      <w:pPr>
        <w:rPr>
          <w:rFonts w:ascii="Times New Roman" w:hAnsi="Times New Roman" w:cs="Times New Roman"/>
          <w:b/>
          <w:bCs/>
        </w:rPr>
      </w:pPr>
    </w:p>
    <w:p w:rsidRPr="00794ECB" w:rsidR="00EF2415" w:rsidP="00CF5B91" w:rsidRDefault="00EF2415">
      <w:pPr>
        <w:pStyle w:val="Tussenkopje"/>
        <w:ind w:left="0"/>
      </w:pPr>
      <w:r w:rsidRPr="00794ECB">
        <w:t xml:space="preserve">Inleiding </w:t>
      </w:r>
    </w:p>
    <w:p w:rsidR="00EF2415" w:rsidP="00EF2415" w:rsidRDefault="00EF2415">
      <w:pPr>
        <w:tabs>
          <w:tab w:val="num" w:pos="720"/>
        </w:tabs>
        <w:rPr>
          <w:rFonts w:ascii="Times New Roman" w:hAnsi="Times New Roman" w:cs="Times New Roman"/>
        </w:rPr>
      </w:pPr>
    </w:p>
    <w:p w:rsidRPr="005A7C48" w:rsidR="00EF2415" w:rsidP="00EF2415" w:rsidRDefault="00EF2415">
      <w:pPr>
        <w:tabs>
          <w:tab w:val="num" w:pos="720"/>
        </w:tabs>
        <w:rPr>
          <w:rFonts w:ascii="Times New Roman" w:hAnsi="Times New Roman" w:cs="Times New Roman"/>
        </w:rPr>
      </w:pPr>
      <w:r w:rsidRPr="005A7C48">
        <w:rPr>
          <w:rFonts w:ascii="Times New Roman" w:hAnsi="Times New Roman" w:cs="Times New Roman"/>
        </w:rPr>
        <w:t xml:space="preserve">Deze factsheet geeft een overzicht van de laatste wetenschappelijke inzichten </w:t>
      </w:r>
      <w:r>
        <w:rPr>
          <w:rFonts w:ascii="Times New Roman" w:hAnsi="Times New Roman" w:cs="Times New Roman"/>
        </w:rPr>
        <w:t>in</w:t>
      </w:r>
      <w:r w:rsidRPr="005A7C48">
        <w:rPr>
          <w:rFonts w:ascii="Times New Roman" w:hAnsi="Times New Roman" w:cs="Times New Roman"/>
        </w:rPr>
        <w:t xml:space="preserve"> de oorzaken van migratie. Op basis hiervan wordt een analyse gemaakt van de mogelijkheden </w:t>
      </w:r>
      <w:r>
        <w:rPr>
          <w:rFonts w:ascii="Times New Roman" w:hAnsi="Times New Roman" w:cs="Times New Roman"/>
        </w:rPr>
        <w:t>van</w:t>
      </w:r>
      <w:r w:rsidRPr="005A7C48">
        <w:rPr>
          <w:rFonts w:ascii="Times New Roman" w:hAnsi="Times New Roman" w:cs="Times New Roman"/>
        </w:rPr>
        <w:t xml:space="preserve"> beleidsinterventies om migratie effectiever te beïnvloeden. De nadruk zal liggen op migratie binnen en naar Europa en Nederland, al wordt dit nadrukkelijk binnen een bredere mondiale context geplaatst.</w:t>
      </w:r>
      <w:r w:rsidRPr="005A7C48">
        <w:rPr>
          <w:rStyle w:val="Eindnootmarkering"/>
          <w:rFonts w:ascii="Times New Roman" w:hAnsi="Times New Roman" w:cs="Times New Roman"/>
        </w:rPr>
        <w:endnoteReference w:id="1"/>
      </w:r>
      <w:r w:rsidRPr="005A7C48">
        <w:rPr>
          <w:rFonts w:ascii="Times New Roman" w:hAnsi="Times New Roman" w:cs="Times New Roman"/>
        </w:rPr>
        <w:t xml:space="preserve"> </w:t>
      </w:r>
    </w:p>
    <w:p w:rsidRPr="005A7C48" w:rsidR="00EF2415" w:rsidP="00EF2415" w:rsidRDefault="00EF2415">
      <w:pPr>
        <w:tabs>
          <w:tab w:val="num" w:pos="720"/>
        </w:tabs>
        <w:rPr>
          <w:rFonts w:ascii="Times New Roman" w:hAnsi="Times New Roman" w:cs="Times New Roman"/>
        </w:rPr>
      </w:pPr>
    </w:p>
    <w:p w:rsidRPr="00CF5B91" w:rsidR="00EF2415" w:rsidP="00CF5B91" w:rsidRDefault="00EF2415">
      <w:pPr>
        <w:pStyle w:val="Tussenkopje"/>
        <w:ind w:left="0"/>
        <w:rPr>
          <w:i/>
        </w:rPr>
      </w:pPr>
      <w:r w:rsidRPr="00CF5B91">
        <w:rPr>
          <w:i/>
        </w:rPr>
        <w:t xml:space="preserve">Mondiale en Nederlandse migratietrends </w:t>
      </w:r>
    </w:p>
    <w:p w:rsidR="00EF2415" w:rsidP="00EF2415" w:rsidRDefault="00EF2415">
      <w:pPr>
        <w:tabs>
          <w:tab w:val="num" w:pos="720"/>
        </w:tabs>
        <w:rPr>
          <w:rFonts w:ascii="Times New Roman" w:hAnsi="Times New Roman" w:cs="Times New Roman"/>
        </w:rPr>
      </w:pPr>
      <w:r w:rsidRPr="005A7C48">
        <w:rPr>
          <w:rFonts w:ascii="Times New Roman" w:hAnsi="Times New Roman" w:cs="Times New Roman"/>
        </w:rPr>
        <w:t xml:space="preserve">Om de oorzaken van migratie adequaat in kaart te brengen, is het allereerst van belang een analyse te maken van de </w:t>
      </w:r>
      <w:r>
        <w:rPr>
          <w:rFonts w:ascii="Times New Roman" w:hAnsi="Times New Roman" w:cs="Times New Roman"/>
        </w:rPr>
        <w:t>mondiale migratie</w:t>
      </w:r>
      <w:r w:rsidRPr="005A7C48">
        <w:rPr>
          <w:rFonts w:ascii="Times New Roman" w:hAnsi="Times New Roman" w:cs="Times New Roman"/>
        </w:rPr>
        <w:t xml:space="preserve">dynamiek van de afgelopen decennia, aangezien veranderingen in migratiepatronen een gevolg zijn van fundamentelere sociaaleconomische en demografische veranderingen. Het algehele niveau van de wereldmigratie </w:t>
      </w:r>
      <w:r>
        <w:rPr>
          <w:rFonts w:ascii="Times New Roman" w:hAnsi="Times New Roman" w:cs="Times New Roman"/>
        </w:rPr>
        <w:t>is</w:t>
      </w:r>
      <w:r w:rsidRPr="005A7C48">
        <w:rPr>
          <w:rFonts w:ascii="Times New Roman" w:hAnsi="Times New Roman" w:cs="Times New Roman"/>
        </w:rPr>
        <w:t xml:space="preserve"> al decennialang vrij stabiel. Circa 3 procent </w:t>
      </w:r>
      <w:r w:rsidRPr="005A7C48">
        <w:rPr>
          <w:rFonts w:ascii="Times New Roman" w:hAnsi="Times New Roman" w:cs="Times New Roman"/>
        </w:rPr>
        <w:lastRenderedPageBreak/>
        <w:t>van de wereldbevolking is een internationale migrant, en dat percentage is sinds 1960 nauwelijks veranderd. Hoewel het absolute aantal migranten is toegenomen, is er nauwelijks sprake van een versnelling van de wereldmigratie.</w:t>
      </w:r>
      <w:r w:rsidRPr="005A7C48">
        <w:rPr>
          <w:rStyle w:val="Eindnootmarkering"/>
          <w:rFonts w:ascii="Times New Roman" w:hAnsi="Times New Roman" w:cs="Times New Roman"/>
        </w:rPr>
        <w:endnoteReference w:id="2"/>
      </w:r>
      <w:r w:rsidRPr="005A7C48">
        <w:rPr>
          <w:rFonts w:ascii="Times New Roman" w:hAnsi="Times New Roman" w:cs="Times New Roman"/>
        </w:rPr>
        <w:t xml:space="preserve"> </w:t>
      </w:r>
      <w:r>
        <w:rPr>
          <w:rFonts w:ascii="Times New Roman" w:hAnsi="Times New Roman" w:cs="Times New Roman"/>
        </w:rPr>
        <w:t xml:space="preserve">Cijfers uit eerdere decennia hebben waarschijnlijk migratieniveaus onderschat, onder meer door het niet meetellen van vluchtelingen. </w:t>
      </w:r>
      <w:r w:rsidRPr="005A7C48">
        <w:rPr>
          <w:rFonts w:ascii="Times New Roman" w:hAnsi="Times New Roman" w:cs="Times New Roman"/>
        </w:rPr>
        <w:t xml:space="preserve">De belangrijkste verschuivingen in wereldmigratie hebben betrekking op de dominante geografische richting van internationale migratie, zoals het omvormen van West-Europa van het belangrijkste brongebied van wereldmigranten tot een </w:t>
      </w:r>
      <w:r>
        <w:rPr>
          <w:rFonts w:ascii="Times New Roman" w:hAnsi="Times New Roman" w:cs="Times New Roman"/>
        </w:rPr>
        <w:t xml:space="preserve">van </w:t>
      </w:r>
      <w:r w:rsidRPr="005A7C48">
        <w:rPr>
          <w:rFonts w:ascii="Times New Roman" w:hAnsi="Times New Roman" w:cs="Times New Roman"/>
        </w:rPr>
        <w:t>de belangrijkste bestemmingsregio’s. Daarnaast zijn ook de olierijke Golf</w:t>
      </w:r>
      <w:r>
        <w:rPr>
          <w:rFonts w:ascii="Times New Roman" w:hAnsi="Times New Roman" w:cs="Times New Roman"/>
        </w:rPr>
        <w:t>staten</w:t>
      </w:r>
      <w:r w:rsidRPr="005A7C48">
        <w:rPr>
          <w:rFonts w:ascii="Times New Roman" w:hAnsi="Times New Roman" w:cs="Times New Roman"/>
        </w:rPr>
        <w:t xml:space="preserve"> opgekomen als een belangrijke nieuwe bestemmingsregio, met name voor arbeidsmigranten vanuit Zuid- en Zuidoost-Azië, Egypt</w:t>
      </w:r>
      <w:r>
        <w:rPr>
          <w:rFonts w:ascii="Times New Roman" w:hAnsi="Times New Roman" w:cs="Times New Roman"/>
        </w:rPr>
        <w:t>e</w:t>
      </w:r>
      <w:r w:rsidRPr="005A7C48">
        <w:rPr>
          <w:rFonts w:ascii="Times New Roman" w:hAnsi="Times New Roman" w:cs="Times New Roman"/>
        </w:rPr>
        <w:t xml:space="preserve"> en de Hoorn van Afrika. </w:t>
      </w:r>
    </w:p>
    <w:p w:rsidR="00EF2415" w:rsidP="00EF2415" w:rsidRDefault="00EF2415">
      <w:pPr>
        <w:tabs>
          <w:tab w:val="num" w:pos="720"/>
        </w:tabs>
        <w:rPr>
          <w:rFonts w:ascii="Times New Roman" w:hAnsi="Times New Roman" w:cs="Times New Roman"/>
        </w:rPr>
      </w:pPr>
    </w:p>
    <w:p w:rsidRPr="00CF1380" w:rsidR="00EF2415" w:rsidP="00EF2415" w:rsidRDefault="00EF2415">
      <w:pPr>
        <w:tabs>
          <w:tab w:val="num" w:pos="720"/>
        </w:tabs>
        <w:rPr>
          <w:rFonts w:ascii="Times New Roman" w:hAnsi="Times New Roman" w:cs="Times New Roman"/>
          <w:sz w:val="22"/>
        </w:rPr>
      </w:pPr>
      <w:r w:rsidRPr="00CF1380">
        <w:rPr>
          <w:rFonts w:ascii="Times New Roman" w:hAnsi="Times New Roman" w:cs="Times New Roman"/>
          <w:b/>
          <w:sz w:val="22"/>
        </w:rPr>
        <w:t xml:space="preserve">Grafiek.1. </w:t>
      </w:r>
      <w:r w:rsidRPr="00CF1380">
        <w:rPr>
          <w:rFonts w:ascii="Times New Roman" w:hAnsi="Times New Roman" w:cs="Times New Roman"/>
          <w:b/>
          <w:i/>
          <w:sz w:val="22"/>
        </w:rPr>
        <w:t>Internationale migranten, 1960-2017</w:t>
      </w:r>
      <w:r>
        <w:rPr>
          <w:rStyle w:val="Eindnootmarkering"/>
          <w:rFonts w:ascii="Times New Roman" w:hAnsi="Times New Roman" w:cs="Times New Roman"/>
          <w:b/>
          <w:i/>
          <w:sz w:val="22"/>
        </w:rPr>
        <w:endnoteReference w:id="3"/>
      </w:r>
    </w:p>
    <w:p w:rsidR="00EF2415" w:rsidP="00EF2415" w:rsidRDefault="00EF2415">
      <w:pPr>
        <w:tabs>
          <w:tab w:val="num" w:pos="720"/>
        </w:tabs>
        <w:rPr>
          <w:rFonts w:ascii="Times New Roman" w:hAnsi="Times New Roman" w:cs="Times New Roman"/>
        </w:rPr>
      </w:pPr>
      <w:r w:rsidRPr="005A7C48">
        <w:rPr>
          <w:rFonts w:ascii="Times New Roman" w:hAnsi="Times New Roman" w:cs="Times New Roman"/>
          <w:noProof/>
          <w:lang w:eastAsia="nl-NL"/>
        </w:rPr>
        <w:drawing>
          <wp:anchor distT="0" distB="0" distL="114300" distR="114300" simplePos="0" relativeHeight="251660288" behindDoc="0" locked="0" layoutInCell="1" allowOverlap="1" wp14:editId="417EB19D" wp14:anchorId="6BC6B79B">
            <wp:simplePos x="0" y="0"/>
            <wp:positionH relativeFrom="column">
              <wp:posOffset>-37465</wp:posOffset>
            </wp:positionH>
            <wp:positionV relativeFrom="paragraph">
              <wp:posOffset>51435</wp:posOffset>
            </wp:positionV>
            <wp:extent cx="3944620" cy="2640965"/>
            <wp:effectExtent l="12700" t="12700" r="17780" b="1333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4620" cy="2640965"/>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p>
    <w:p w:rsidR="00EF2415" w:rsidP="00EF2415" w:rsidRDefault="00EF2415">
      <w:pPr>
        <w:tabs>
          <w:tab w:val="num" w:pos="720"/>
        </w:tabs>
        <w:rPr>
          <w:rFonts w:ascii="Times New Roman" w:hAnsi="Times New Roman" w:cs="Times New Roman"/>
        </w:rPr>
      </w:pPr>
    </w:p>
    <w:p w:rsidR="00EF2415" w:rsidP="00EF2415" w:rsidRDefault="00EF2415">
      <w:pPr>
        <w:tabs>
          <w:tab w:val="num" w:pos="720"/>
        </w:tabs>
        <w:rPr>
          <w:rFonts w:ascii="Times New Roman" w:hAnsi="Times New Roman" w:cs="Times New Roman"/>
        </w:rPr>
      </w:pPr>
    </w:p>
    <w:p w:rsidRPr="005A7C48" w:rsidR="00EF2415" w:rsidP="00EF2415" w:rsidRDefault="00EF2415">
      <w:pPr>
        <w:tabs>
          <w:tab w:val="num" w:pos="720"/>
        </w:tabs>
        <w:rPr>
          <w:rFonts w:ascii="Times New Roman" w:hAnsi="Times New Roman" w:cs="Times New Roman"/>
        </w:rPr>
      </w:pPr>
    </w:p>
    <w:p w:rsidR="00EF2415" w:rsidP="00EF2415" w:rsidRDefault="00EF2415">
      <w:pPr>
        <w:tabs>
          <w:tab w:val="num" w:pos="720"/>
        </w:tabs>
        <w:rPr>
          <w:rFonts w:ascii="Times New Roman" w:hAnsi="Times New Roman" w:cs="Times New Roman"/>
        </w:rPr>
      </w:pPr>
    </w:p>
    <w:p w:rsidR="00EF2415" w:rsidP="00EF2415" w:rsidRDefault="00EF2415">
      <w:pPr>
        <w:tabs>
          <w:tab w:val="num" w:pos="720"/>
        </w:tabs>
        <w:rPr>
          <w:rFonts w:ascii="Times New Roman" w:hAnsi="Times New Roman" w:cs="Times New Roman"/>
        </w:rPr>
      </w:pPr>
    </w:p>
    <w:p w:rsidR="00EF2415" w:rsidP="00EF2415" w:rsidRDefault="00EF2415">
      <w:pPr>
        <w:tabs>
          <w:tab w:val="num" w:pos="720"/>
        </w:tabs>
        <w:rPr>
          <w:rFonts w:ascii="Times New Roman" w:hAnsi="Times New Roman" w:cs="Times New Roman"/>
        </w:rPr>
      </w:pPr>
    </w:p>
    <w:p w:rsidR="00EF2415" w:rsidP="00EF2415" w:rsidRDefault="00EF2415">
      <w:pPr>
        <w:tabs>
          <w:tab w:val="num" w:pos="720"/>
        </w:tabs>
        <w:rPr>
          <w:rFonts w:ascii="Times New Roman" w:hAnsi="Times New Roman" w:cs="Times New Roman"/>
        </w:rPr>
      </w:pPr>
    </w:p>
    <w:p w:rsidR="00EF2415" w:rsidP="00EF2415" w:rsidRDefault="00EF2415">
      <w:pPr>
        <w:tabs>
          <w:tab w:val="num" w:pos="720"/>
        </w:tabs>
        <w:rPr>
          <w:rFonts w:ascii="Times New Roman" w:hAnsi="Times New Roman" w:cs="Times New Roman"/>
        </w:rPr>
      </w:pPr>
    </w:p>
    <w:p w:rsidR="00EF2415" w:rsidP="00EF2415" w:rsidRDefault="00EF2415">
      <w:pPr>
        <w:tabs>
          <w:tab w:val="num" w:pos="720"/>
        </w:tabs>
        <w:rPr>
          <w:rFonts w:ascii="Times New Roman" w:hAnsi="Times New Roman" w:cs="Times New Roman"/>
        </w:rPr>
      </w:pPr>
    </w:p>
    <w:p w:rsidR="00EF2415" w:rsidP="00EF2415" w:rsidRDefault="00EF2415">
      <w:pPr>
        <w:tabs>
          <w:tab w:val="num" w:pos="720"/>
        </w:tabs>
        <w:rPr>
          <w:rFonts w:ascii="Times New Roman" w:hAnsi="Times New Roman" w:cs="Times New Roman"/>
        </w:rPr>
      </w:pPr>
    </w:p>
    <w:p w:rsidR="00EF2415" w:rsidP="00EF2415" w:rsidRDefault="00EF2415">
      <w:pPr>
        <w:tabs>
          <w:tab w:val="num" w:pos="720"/>
        </w:tabs>
        <w:rPr>
          <w:rFonts w:ascii="Times New Roman" w:hAnsi="Times New Roman" w:cs="Times New Roman"/>
        </w:rPr>
      </w:pPr>
    </w:p>
    <w:p w:rsidR="00EF2415" w:rsidP="00EF2415" w:rsidRDefault="00EF2415">
      <w:pPr>
        <w:tabs>
          <w:tab w:val="num" w:pos="720"/>
        </w:tabs>
        <w:rPr>
          <w:rFonts w:ascii="Times New Roman" w:hAnsi="Times New Roman" w:cs="Times New Roman"/>
        </w:rPr>
      </w:pPr>
    </w:p>
    <w:p w:rsidR="00EF2415" w:rsidP="00EF2415" w:rsidRDefault="00EF2415">
      <w:pPr>
        <w:tabs>
          <w:tab w:val="num" w:pos="720"/>
        </w:tabs>
        <w:rPr>
          <w:rFonts w:ascii="Times New Roman" w:hAnsi="Times New Roman" w:cs="Times New Roman"/>
        </w:rPr>
      </w:pPr>
    </w:p>
    <w:p w:rsidR="00EF2415" w:rsidP="00EF2415" w:rsidRDefault="00EF2415">
      <w:pPr>
        <w:tabs>
          <w:tab w:val="num" w:pos="720"/>
        </w:tabs>
        <w:rPr>
          <w:rFonts w:ascii="Times New Roman" w:hAnsi="Times New Roman" w:cs="Times New Roman"/>
        </w:rPr>
      </w:pPr>
    </w:p>
    <w:p w:rsidR="00EF2415" w:rsidP="00EF2415" w:rsidRDefault="00EF2415">
      <w:pPr>
        <w:tabs>
          <w:tab w:val="num" w:pos="720"/>
        </w:tabs>
        <w:rPr>
          <w:rFonts w:ascii="Times New Roman" w:hAnsi="Times New Roman" w:cs="Times New Roman"/>
        </w:rPr>
      </w:pPr>
    </w:p>
    <w:p w:rsidRPr="005A7C48" w:rsidR="00EF2415" w:rsidP="00EF2415" w:rsidRDefault="00EF2415">
      <w:pPr>
        <w:tabs>
          <w:tab w:val="num" w:pos="720"/>
        </w:tabs>
        <w:rPr>
          <w:rFonts w:ascii="Times New Roman" w:hAnsi="Times New Roman" w:cs="Times New Roman"/>
        </w:rPr>
      </w:pPr>
      <w:r w:rsidRPr="005A7C48">
        <w:rPr>
          <w:rFonts w:ascii="Times New Roman" w:hAnsi="Times New Roman" w:cs="Times New Roman"/>
        </w:rPr>
        <w:t>Het aandeel niet-Europese immigranten in West-Europa is hierdoor significant toegenomen. Aanvankelijk was deze immigratie gedeeltelijk een resultaat van dekolonisatieprocessen, maar al snel bracht</w:t>
      </w:r>
      <w:r>
        <w:rPr>
          <w:rFonts w:ascii="Times New Roman" w:hAnsi="Times New Roman" w:cs="Times New Roman"/>
        </w:rPr>
        <w:t>en</w:t>
      </w:r>
      <w:r w:rsidRPr="005A7C48">
        <w:rPr>
          <w:rFonts w:ascii="Times New Roman" w:hAnsi="Times New Roman" w:cs="Times New Roman"/>
        </w:rPr>
        <w:t xml:space="preserve"> toenemende welvaart en arbeidstekorten de grootschalige werving van buitenlandse arbeidskrachten op gang.</w:t>
      </w:r>
      <w:r w:rsidRPr="005A7C48">
        <w:rPr>
          <w:rStyle w:val="Eindnootmarkering"/>
          <w:rFonts w:ascii="Times New Roman" w:hAnsi="Times New Roman" w:cs="Times New Roman"/>
        </w:rPr>
        <w:endnoteReference w:id="4"/>
      </w:r>
      <w:r>
        <w:rPr>
          <w:rFonts w:ascii="Times New Roman" w:hAnsi="Times New Roman" w:cs="Times New Roman"/>
        </w:rPr>
        <w:t xml:space="preserve"> </w:t>
      </w:r>
    </w:p>
    <w:p w:rsidRPr="005A7C48" w:rsidR="00EF2415" w:rsidP="00EF2415" w:rsidRDefault="00EF2415">
      <w:pPr>
        <w:tabs>
          <w:tab w:val="num" w:pos="720"/>
        </w:tabs>
        <w:rPr>
          <w:rFonts w:ascii="Times New Roman" w:hAnsi="Times New Roman" w:cs="Times New Roman"/>
        </w:rPr>
      </w:pPr>
    </w:p>
    <w:p w:rsidRPr="005A7C48" w:rsidR="00EF2415" w:rsidP="00EF2415" w:rsidRDefault="00EF2415">
      <w:pPr>
        <w:tabs>
          <w:tab w:val="num" w:pos="720"/>
        </w:tabs>
        <w:rPr>
          <w:rFonts w:ascii="Times New Roman" w:hAnsi="Times New Roman" w:cs="Times New Roman"/>
        </w:rPr>
      </w:pPr>
      <w:r w:rsidRPr="005A7C48">
        <w:rPr>
          <w:rFonts w:ascii="Times New Roman" w:hAnsi="Times New Roman" w:cs="Times New Roman"/>
        </w:rPr>
        <w:t>In het eerste decennium na de Tweede Wereldoorlog was Nederland nog voornamelijk een emigratieland, hoewel toen al veel ‘Indische Nederlanders’ en Molukkers naar Nederland kwamen. Sinds eind jaren vijftig</w:t>
      </w:r>
      <w:r>
        <w:rPr>
          <w:rFonts w:ascii="Times New Roman" w:hAnsi="Times New Roman" w:cs="Times New Roman"/>
        </w:rPr>
        <w:t>,</w:t>
      </w:r>
      <w:r w:rsidRPr="005A7C48">
        <w:rPr>
          <w:rFonts w:ascii="Times New Roman" w:hAnsi="Times New Roman" w:cs="Times New Roman"/>
        </w:rPr>
        <w:t xml:space="preserve"> zestig is Nederland steeds meer een bestemmingsland geworden, aanvankelijk voor arbeidsmigranten uit Zuid-Europa. Vanaf eind jaren zestig meer werden steeds meer ‘gastarbeiders’ vanuit Turkije en Marokko geworven. De </w:t>
      </w:r>
      <w:r>
        <w:rPr>
          <w:rFonts w:ascii="Times New Roman" w:hAnsi="Times New Roman" w:cs="Times New Roman"/>
        </w:rPr>
        <w:t>o</w:t>
      </w:r>
      <w:r w:rsidRPr="005A7C48">
        <w:rPr>
          <w:rFonts w:ascii="Times New Roman" w:hAnsi="Times New Roman" w:cs="Times New Roman"/>
        </w:rPr>
        <w:t xml:space="preserve">liecrisis van 1973 en de daaropvolgende economische recessies en snel stijgende werkloosheid leidden tot een einde van de arbeidswerving </w:t>
      </w:r>
      <w:r>
        <w:rPr>
          <w:rFonts w:ascii="Times New Roman" w:hAnsi="Times New Roman" w:cs="Times New Roman"/>
        </w:rPr>
        <w:t>door</w:t>
      </w:r>
      <w:r w:rsidRPr="005A7C48">
        <w:rPr>
          <w:rFonts w:ascii="Times New Roman" w:hAnsi="Times New Roman" w:cs="Times New Roman"/>
        </w:rPr>
        <w:t xml:space="preserve"> Nederland en andere West-Europese landen.</w:t>
      </w:r>
      <w:r w:rsidRPr="005A7C48">
        <w:rPr>
          <w:rStyle w:val="Eindnootmarkering"/>
          <w:rFonts w:ascii="Times New Roman" w:hAnsi="Times New Roman" w:cs="Times New Roman"/>
        </w:rPr>
        <w:endnoteReference w:id="5"/>
      </w:r>
      <w:r w:rsidRPr="005A7C48">
        <w:rPr>
          <w:rFonts w:ascii="Times New Roman" w:hAnsi="Times New Roman" w:cs="Times New Roman"/>
        </w:rPr>
        <w:t xml:space="preserve"> </w:t>
      </w:r>
    </w:p>
    <w:p w:rsidRPr="005A7C48" w:rsidR="00EF2415" w:rsidP="00EF2415" w:rsidRDefault="00EF2415">
      <w:pPr>
        <w:tabs>
          <w:tab w:val="num" w:pos="720"/>
        </w:tabs>
        <w:rPr>
          <w:rFonts w:ascii="Times New Roman" w:hAnsi="Times New Roman" w:cs="Times New Roman"/>
        </w:rPr>
      </w:pPr>
    </w:p>
    <w:p w:rsidRPr="005A7C48" w:rsidR="00EF2415" w:rsidP="00EF2415" w:rsidRDefault="00EF2415">
      <w:pPr>
        <w:tabs>
          <w:tab w:val="num" w:pos="720"/>
        </w:tabs>
        <w:rPr>
          <w:rFonts w:ascii="Times New Roman" w:hAnsi="Times New Roman" w:cs="Times New Roman"/>
        </w:rPr>
      </w:pPr>
      <w:r w:rsidRPr="005A7C48">
        <w:rPr>
          <w:rFonts w:ascii="Times New Roman" w:hAnsi="Times New Roman" w:cs="Times New Roman"/>
        </w:rPr>
        <w:t xml:space="preserve">Toenemende immigratierestricties leidden niet tot de verwachte terugkeer van arbeidsmigranten, maar hadden het onvoorziene effect </w:t>
      </w:r>
      <w:r>
        <w:rPr>
          <w:rFonts w:ascii="Times New Roman" w:hAnsi="Times New Roman" w:cs="Times New Roman"/>
        </w:rPr>
        <w:t>dat ze</w:t>
      </w:r>
      <w:r w:rsidRPr="005A7C48">
        <w:rPr>
          <w:rFonts w:ascii="Times New Roman" w:hAnsi="Times New Roman" w:cs="Times New Roman"/>
        </w:rPr>
        <w:t xml:space="preserve"> permanente vestiging juist stimule</w:t>
      </w:r>
      <w:r>
        <w:rPr>
          <w:rFonts w:ascii="Times New Roman" w:hAnsi="Times New Roman" w:cs="Times New Roman"/>
        </w:rPr>
        <w:t>e</w:t>
      </w:r>
      <w:r w:rsidRPr="005A7C48">
        <w:rPr>
          <w:rFonts w:ascii="Times New Roman" w:hAnsi="Times New Roman" w:cs="Times New Roman"/>
        </w:rPr>
        <w:t>r</w:t>
      </w:r>
      <w:r>
        <w:rPr>
          <w:rFonts w:ascii="Times New Roman" w:hAnsi="Times New Roman" w:cs="Times New Roman"/>
        </w:rPr>
        <w:t>d</w:t>
      </w:r>
      <w:r w:rsidRPr="005A7C48">
        <w:rPr>
          <w:rFonts w:ascii="Times New Roman" w:hAnsi="Times New Roman" w:cs="Times New Roman"/>
        </w:rPr>
        <w:t>en.</w:t>
      </w:r>
      <w:r w:rsidRPr="005A7C48">
        <w:rPr>
          <w:rStyle w:val="Eindnootmarkering"/>
          <w:rFonts w:ascii="Times New Roman" w:hAnsi="Times New Roman" w:cs="Times New Roman"/>
        </w:rPr>
        <w:endnoteReference w:id="6"/>
      </w:r>
      <w:r w:rsidRPr="005A7C48">
        <w:rPr>
          <w:rFonts w:ascii="Times New Roman" w:hAnsi="Times New Roman" w:cs="Times New Roman"/>
        </w:rPr>
        <w:t xml:space="preserve"> Dit leidde tot grootschalige familiehereniging, die de bestendiging van migratie vanuit Turkije en Marokko gedurende de recessies in de jaren zeventig en tachtig grotendeels verklaar</w:t>
      </w:r>
      <w:r>
        <w:rPr>
          <w:rFonts w:ascii="Times New Roman" w:hAnsi="Times New Roman" w:cs="Times New Roman"/>
        </w:rPr>
        <w:t>t</w:t>
      </w:r>
      <w:r w:rsidRPr="005A7C48">
        <w:rPr>
          <w:rFonts w:ascii="Times New Roman" w:hAnsi="Times New Roman" w:cs="Times New Roman"/>
        </w:rPr>
        <w:t xml:space="preserve">. Daarnaast bracht de onafhankelijkheid van Suriname in 1975, die vanuit de Nederlandse regering juist mede gemotiveerd was </w:t>
      </w:r>
      <w:r>
        <w:rPr>
          <w:rFonts w:ascii="Times New Roman" w:hAnsi="Times New Roman" w:cs="Times New Roman"/>
        </w:rPr>
        <w:t>door de wens de</w:t>
      </w:r>
      <w:r w:rsidRPr="005A7C48">
        <w:rPr>
          <w:rFonts w:ascii="Times New Roman" w:hAnsi="Times New Roman" w:cs="Times New Roman"/>
        </w:rPr>
        <w:t xml:space="preserve"> </w:t>
      </w:r>
      <w:r w:rsidRPr="005A7C48">
        <w:rPr>
          <w:rFonts w:ascii="Times New Roman" w:hAnsi="Times New Roman" w:cs="Times New Roman"/>
        </w:rPr>
        <w:lastRenderedPageBreak/>
        <w:t>groeiende migratie van Surinaamse rijksgenoten af te knijpen, een omvangrijke migratiegolf naar Nederland op gang.</w:t>
      </w:r>
      <w:r w:rsidRPr="005A7C48">
        <w:rPr>
          <w:rStyle w:val="Eindnootmarkering"/>
          <w:rFonts w:ascii="Times New Roman" w:hAnsi="Times New Roman" w:cs="Times New Roman"/>
        </w:rPr>
        <w:endnoteReference w:id="7"/>
      </w:r>
      <w:r w:rsidRPr="005A7C48">
        <w:rPr>
          <w:rFonts w:ascii="Times New Roman" w:hAnsi="Times New Roman" w:cs="Times New Roman"/>
        </w:rPr>
        <w:t xml:space="preserve"> </w:t>
      </w:r>
    </w:p>
    <w:p w:rsidRPr="005A7C48" w:rsidR="00EF2415" w:rsidP="00EF2415" w:rsidRDefault="00EF2415">
      <w:pPr>
        <w:tabs>
          <w:tab w:val="num" w:pos="720"/>
        </w:tabs>
        <w:rPr>
          <w:rFonts w:ascii="Times New Roman" w:hAnsi="Times New Roman" w:cs="Times New Roman"/>
        </w:rPr>
      </w:pPr>
    </w:p>
    <w:p w:rsidRPr="005A7C48" w:rsidR="00EF2415" w:rsidP="00EF2415" w:rsidRDefault="00EF2415">
      <w:pPr>
        <w:tabs>
          <w:tab w:val="num" w:pos="720"/>
        </w:tabs>
        <w:rPr>
          <w:rFonts w:ascii="Times New Roman" w:hAnsi="Times New Roman" w:cs="Times New Roman"/>
        </w:rPr>
      </w:pPr>
      <w:r w:rsidRPr="005A7C48">
        <w:rPr>
          <w:rFonts w:ascii="Times New Roman" w:hAnsi="Times New Roman" w:cs="Times New Roman"/>
        </w:rPr>
        <w:t>De val van de Berlijnse Muur in 1989 en hernieuwde economische groei in West-Europa leidden vanaf de jaren negentig tot een heropleving van arbeidsmigratie naar West</w:t>
      </w:r>
      <w:r>
        <w:rPr>
          <w:rFonts w:ascii="Times New Roman" w:hAnsi="Times New Roman" w:cs="Times New Roman"/>
        </w:rPr>
        <w:t>-</w:t>
      </w:r>
      <w:r w:rsidRPr="005A7C48">
        <w:rPr>
          <w:rFonts w:ascii="Times New Roman" w:hAnsi="Times New Roman" w:cs="Times New Roman"/>
        </w:rPr>
        <w:t>Europa</w:t>
      </w:r>
      <w:r>
        <w:rPr>
          <w:rFonts w:ascii="Times New Roman" w:hAnsi="Times New Roman" w:cs="Times New Roman"/>
        </w:rPr>
        <w:t xml:space="preserve">, </w:t>
      </w:r>
      <w:r w:rsidRPr="005A7C48">
        <w:rPr>
          <w:rFonts w:ascii="Times New Roman" w:hAnsi="Times New Roman" w:cs="Times New Roman"/>
        </w:rPr>
        <w:t xml:space="preserve">ook </w:t>
      </w:r>
      <w:r>
        <w:rPr>
          <w:rFonts w:ascii="Times New Roman" w:hAnsi="Times New Roman" w:cs="Times New Roman"/>
        </w:rPr>
        <w:t xml:space="preserve">naar </w:t>
      </w:r>
      <w:r w:rsidRPr="005A7C48">
        <w:rPr>
          <w:rFonts w:ascii="Times New Roman" w:hAnsi="Times New Roman" w:cs="Times New Roman"/>
        </w:rPr>
        <w:t xml:space="preserve">Nederland. Een nieuwe trend was de toenemend arbeidsmigratie vanuit </w:t>
      </w:r>
      <w:r>
        <w:rPr>
          <w:rFonts w:ascii="Times New Roman" w:hAnsi="Times New Roman" w:cs="Times New Roman"/>
        </w:rPr>
        <w:t>O</w:t>
      </w:r>
      <w:r w:rsidRPr="005A7C48">
        <w:rPr>
          <w:rFonts w:ascii="Times New Roman" w:hAnsi="Times New Roman" w:cs="Times New Roman"/>
        </w:rPr>
        <w:t>ost-Europe</w:t>
      </w:r>
      <w:r>
        <w:rPr>
          <w:rFonts w:ascii="Times New Roman" w:hAnsi="Times New Roman" w:cs="Times New Roman"/>
        </w:rPr>
        <w:t>se</w:t>
      </w:r>
      <w:r w:rsidRPr="005A7C48">
        <w:rPr>
          <w:rFonts w:ascii="Times New Roman" w:hAnsi="Times New Roman" w:cs="Times New Roman"/>
        </w:rPr>
        <w:t xml:space="preserve"> landen als Polen, de Baltische republieken, Roemenië en Bulgarije.</w:t>
      </w:r>
      <w:r>
        <w:rPr>
          <w:rFonts w:ascii="Times New Roman" w:hAnsi="Times New Roman" w:cs="Times New Roman"/>
        </w:rPr>
        <w:t xml:space="preserve"> </w:t>
      </w:r>
      <w:r w:rsidRPr="005A7C48">
        <w:rPr>
          <w:rFonts w:ascii="Times New Roman" w:hAnsi="Times New Roman" w:cs="Times New Roman"/>
        </w:rPr>
        <w:t>De toetreding van MOE-landen</w:t>
      </w:r>
      <w:r>
        <w:rPr>
          <w:rStyle w:val="Eindnootmarkering"/>
          <w:rFonts w:ascii="Times New Roman" w:hAnsi="Times New Roman" w:cs="Times New Roman"/>
        </w:rPr>
        <w:endnoteReference w:id="8"/>
      </w:r>
      <w:r w:rsidRPr="005A7C48">
        <w:rPr>
          <w:rFonts w:ascii="Times New Roman" w:hAnsi="Times New Roman" w:cs="Times New Roman"/>
        </w:rPr>
        <w:t xml:space="preserve"> in 2004 en 2007 tot de EU leidde tot een verdere toename van Oost-West</w:t>
      </w:r>
      <w:r>
        <w:rPr>
          <w:rFonts w:ascii="Times New Roman" w:hAnsi="Times New Roman" w:cs="Times New Roman"/>
        </w:rPr>
        <w:t>-</w:t>
      </w:r>
      <w:r w:rsidRPr="005A7C48">
        <w:rPr>
          <w:rFonts w:ascii="Times New Roman" w:hAnsi="Times New Roman" w:cs="Times New Roman"/>
        </w:rPr>
        <w:t>migratie. Door het wegvallen van migratiebeperkingen kreeg deze migratie een toenemend circulair karakter</w:t>
      </w:r>
      <w:r>
        <w:rPr>
          <w:rFonts w:ascii="Times New Roman" w:hAnsi="Times New Roman" w:cs="Times New Roman"/>
        </w:rPr>
        <w:t>, omdat migranten vrij heen en weer kunnen reizen.</w:t>
      </w:r>
      <w:r w:rsidRPr="005A7C48">
        <w:rPr>
          <w:rStyle w:val="Eindnootmarkering"/>
          <w:rFonts w:ascii="Times New Roman" w:hAnsi="Times New Roman" w:cs="Times New Roman"/>
        </w:rPr>
        <w:endnoteReference w:id="9"/>
      </w:r>
      <w:r w:rsidRPr="005A7C48">
        <w:rPr>
          <w:rFonts w:ascii="Times New Roman" w:hAnsi="Times New Roman" w:cs="Times New Roman"/>
        </w:rPr>
        <w:t xml:space="preserve"> </w:t>
      </w:r>
    </w:p>
    <w:p w:rsidRPr="005A7C48" w:rsidR="00EF2415" w:rsidP="00EF2415" w:rsidRDefault="00EF2415">
      <w:pPr>
        <w:tabs>
          <w:tab w:val="num" w:pos="720"/>
        </w:tabs>
        <w:rPr>
          <w:rFonts w:ascii="Times New Roman" w:hAnsi="Times New Roman" w:cs="Times New Roman"/>
        </w:rPr>
      </w:pPr>
    </w:p>
    <w:p w:rsidRPr="005A7C48" w:rsidR="00EF2415" w:rsidP="00EF2415" w:rsidRDefault="00EF2415">
      <w:pPr>
        <w:tabs>
          <w:tab w:val="num" w:pos="720"/>
        </w:tabs>
        <w:rPr>
          <w:rFonts w:ascii="Times New Roman" w:hAnsi="Times New Roman" w:cs="Times New Roman"/>
        </w:rPr>
      </w:pPr>
      <w:r w:rsidRPr="005A7C48">
        <w:rPr>
          <w:rFonts w:ascii="Times New Roman" w:hAnsi="Times New Roman" w:cs="Times New Roman"/>
        </w:rPr>
        <w:t>Toenemende Oost-West</w:t>
      </w:r>
      <w:r>
        <w:rPr>
          <w:rFonts w:ascii="Times New Roman" w:hAnsi="Times New Roman" w:cs="Times New Roman"/>
        </w:rPr>
        <w:t>-</w:t>
      </w:r>
      <w:r w:rsidRPr="005A7C48">
        <w:rPr>
          <w:rFonts w:ascii="Times New Roman" w:hAnsi="Times New Roman" w:cs="Times New Roman"/>
        </w:rPr>
        <w:t>migratie leidde alleen niet tot de destijds verwachte afname van derdelandermigratie naar de EU.</w:t>
      </w:r>
      <w:r>
        <w:rPr>
          <w:rFonts w:ascii="Times New Roman" w:hAnsi="Times New Roman" w:cs="Times New Roman"/>
        </w:rPr>
        <w:t xml:space="preserve"> </w:t>
      </w:r>
      <w:r w:rsidRPr="005A7C48">
        <w:rPr>
          <w:rFonts w:ascii="Times New Roman" w:hAnsi="Times New Roman" w:cs="Times New Roman"/>
        </w:rPr>
        <w:t xml:space="preserve">Een toenemende arbeidsvraag in sectoren als de landbouw, zorg en bouw zorgde in met name Zuid-Europese landen als Spanje en Italië </w:t>
      </w:r>
      <w:r>
        <w:rPr>
          <w:rFonts w:ascii="Times New Roman" w:hAnsi="Times New Roman" w:cs="Times New Roman"/>
        </w:rPr>
        <w:t>voor</w:t>
      </w:r>
      <w:r w:rsidRPr="005A7C48">
        <w:rPr>
          <w:rFonts w:ascii="Times New Roman" w:hAnsi="Times New Roman" w:cs="Times New Roman"/>
        </w:rPr>
        <w:t xml:space="preserve"> toenemende migratie vanuit Noord- en West-Afrika en ook Latijns-Amerikaanse landen. Het invoeren van de Schengen-visumplicht in 1991-1992 door Spanje en Italië stimuleerde een toenemend</w:t>
      </w:r>
      <w:r>
        <w:rPr>
          <w:rFonts w:ascii="Times New Roman" w:hAnsi="Times New Roman" w:cs="Times New Roman"/>
        </w:rPr>
        <w:t>e</w:t>
      </w:r>
      <w:r w:rsidRPr="005A7C48">
        <w:rPr>
          <w:rFonts w:ascii="Times New Roman" w:hAnsi="Times New Roman" w:cs="Times New Roman"/>
        </w:rPr>
        <w:t xml:space="preserve"> permanente vestiging</w:t>
      </w:r>
      <w:r>
        <w:rPr>
          <w:rFonts w:ascii="Times New Roman" w:hAnsi="Times New Roman" w:cs="Times New Roman"/>
        </w:rPr>
        <w:t xml:space="preserve"> van migranten</w:t>
      </w:r>
      <w:r w:rsidRPr="005A7C48">
        <w:rPr>
          <w:rFonts w:ascii="Times New Roman" w:hAnsi="Times New Roman" w:cs="Times New Roman"/>
        </w:rPr>
        <w:t xml:space="preserve">. Daarnaast gingen migranten toenemend gebruik maken van smokkelaars of keerden niet terug keren na het verstrijken van de visumduur (‘overstaying’). </w:t>
      </w:r>
    </w:p>
    <w:p w:rsidRPr="005A7C48" w:rsidR="00EF2415" w:rsidP="00EF2415" w:rsidRDefault="00EF2415">
      <w:pPr>
        <w:tabs>
          <w:tab w:val="num" w:pos="720"/>
        </w:tabs>
        <w:rPr>
          <w:rFonts w:ascii="Times New Roman" w:hAnsi="Times New Roman" w:cs="Times New Roman"/>
        </w:rPr>
      </w:pPr>
    </w:p>
    <w:p w:rsidRPr="005A7C48" w:rsidR="00EF2415" w:rsidP="00EF2415" w:rsidRDefault="00EF2415">
      <w:pPr>
        <w:tabs>
          <w:tab w:val="num" w:pos="720"/>
        </w:tabs>
        <w:rPr>
          <w:rFonts w:ascii="Times New Roman" w:hAnsi="Times New Roman" w:cs="Times New Roman"/>
        </w:rPr>
      </w:pPr>
      <w:r w:rsidRPr="005A7C48">
        <w:rPr>
          <w:rFonts w:ascii="Times New Roman" w:hAnsi="Times New Roman" w:cs="Times New Roman"/>
        </w:rPr>
        <w:t xml:space="preserve">De invoering van de visumplicht </w:t>
      </w:r>
      <w:r>
        <w:rPr>
          <w:rFonts w:ascii="Times New Roman" w:hAnsi="Times New Roman" w:cs="Times New Roman"/>
        </w:rPr>
        <w:t xml:space="preserve">begin jaren negentig voor Noord-Afrikanen </w:t>
      </w:r>
      <w:r w:rsidRPr="005A7C48">
        <w:rPr>
          <w:rFonts w:ascii="Times New Roman" w:hAnsi="Times New Roman" w:cs="Times New Roman"/>
        </w:rPr>
        <w:t>was daarom tevens het startschot voor de irreguliere bootmigratie over de Middellandse zee.</w:t>
      </w:r>
      <w:r w:rsidRPr="005A7C48">
        <w:rPr>
          <w:rStyle w:val="Eindnootmarkering"/>
          <w:rFonts w:ascii="Times New Roman" w:hAnsi="Times New Roman" w:cs="Times New Roman"/>
        </w:rPr>
        <w:endnoteReference w:id="10"/>
      </w:r>
      <w:r w:rsidRPr="005A7C48">
        <w:rPr>
          <w:rFonts w:ascii="Times New Roman" w:hAnsi="Times New Roman" w:cs="Times New Roman"/>
        </w:rPr>
        <w:t xml:space="preserve"> De toenemende omvang van de ongedocumenteerde migrantenbevolking tussen 1990 en 2005 leidde tot een reeks legalisatierondes in Spanje en Italië. Vanaf 2008 leidde de economische recessie tot een sterke terugval van de arbeidsvraag en daarmee ook de immigratie. Terwijl Oost-Europeanen vaak (tijdelijk of definitief) terugkeerden, bleven de meeste derdelanders in Europa. </w:t>
      </w:r>
    </w:p>
    <w:p w:rsidRPr="005A7C48" w:rsidR="00EF2415" w:rsidP="00EF2415" w:rsidRDefault="00EF2415">
      <w:pPr>
        <w:tabs>
          <w:tab w:val="num" w:pos="720"/>
        </w:tabs>
        <w:rPr>
          <w:rFonts w:ascii="Times New Roman" w:hAnsi="Times New Roman" w:cs="Times New Roman"/>
        </w:rPr>
      </w:pPr>
    </w:p>
    <w:p w:rsidRPr="005A7C48" w:rsidR="00EF2415" w:rsidP="00EF2415" w:rsidRDefault="00EF2415">
      <w:pPr>
        <w:tabs>
          <w:tab w:val="num" w:pos="720"/>
        </w:tabs>
        <w:rPr>
          <w:rFonts w:ascii="Times New Roman" w:hAnsi="Times New Roman" w:cs="Times New Roman"/>
        </w:rPr>
      </w:pPr>
      <w:r w:rsidRPr="005A7C48">
        <w:rPr>
          <w:rFonts w:ascii="Times New Roman" w:hAnsi="Times New Roman" w:cs="Times New Roman"/>
        </w:rPr>
        <w:t>In recentere jaren is de migratie naar Europa en ook Nederland weer aangetrokken als gevolg van een hervatting van economische groei en een aanhoudende arbeidsvraag. Hierbij lijkt het aandeel van migranten uit niet-Europese herkomstlanden verder toegenomen. Een belangrijke verklaring hiervoor is het afnemende emigratiepotentieel van landen als Polen, Roemenië en Turkije als gevolg van sterke economische groei. Hierdoor komt een toenemend aantal migranten uit West-Afrika, Oekraïne en Ruslan</w:t>
      </w:r>
      <w:r>
        <w:rPr>
          <w:rFonts w:ascii="Times New Roman" w:hAnsi="Times New Roman" w:cs="Times New Roman"/>
        </w:rPr>
        <w:t>d</w:t>
      </w:r>
      <w:r w:rsidRPr="005A7C48">
        <w:rPr>
          <w:rFonts w:ascii="Times New Roman" w:hAnsi="Times New Roman" w:cs="Times New Roman"/>
        </w:rPr>
        <w:t xml:space="preserve"> maar ook</w:t>
      </w:r>
      <w:r>
        <w:rPr>
          <w:rFonts w:ascii="Times New Roman" w:hAnsi="Times New Roman" w:cs="Times New Roman"/>
        </w:rPr>
        <w:t xml:space="preserve"> uit</w:t>
      </w:r>
      <w:r w:rsidRPr="005A7C48">
        <w:rPr>
          <w:rFonts w:ascii="Times New Roman" w:hAnsi="Times New Roman" w:cs="Times New Roman"/>
        </w:rPr>
        <w:t xml:space="preserve"> verder gelegen landen als Brazilië, de Filippijnen en Pakistan. Een steeds groter aandeel </w:t>
      </w:r>
      <w:r>
        <w:rPr>
          <w:rFonts w:ascii="Times New Roman" w:hAnsi="Times New Roman" w:cs="Times New Roman"/>
        </w:rPr>
        <w:t>in</w:t>
      </w:r>
      <w:r w:rsidRPr="005A7C48">
        <w:rPr>
          <w:rFonts w:ascii="Times New Roman" w:hAnsi="Times New Roman" w:cs="Times New Roman"/>
        </w:rPr>
        <w:t xml:space="preserve"> deze immigratie </w:t>
      </w:r>
      <w:r>
        <w:rPr>
          <w:rFonts w:ascii="Times New Roman" w:hAnsi="Times New Roman" w:cs="Times New Roman"/>
        </w:rPr>
        <w:t>hebben</w:t>
      </w:r>
      <w:r w:rsidRPr="005A7C48">
        <w:rPr>
          <w:rFonts w:ascii="Times New Roman" w:hAnsi="Times New Roman" w:cs="Times New Roman"/>
        </w:rPr>
        <w:t xml:space="preserve"> vrouwen die in zorgberoepen werken.</w:t>
      </w:r>
      <w:r w:rsidRPr="005A7C48">
        <w:rPr>
          <w:rStyle w:val="Eindnootmarkering"/>
          <w:rFonts w:ascii="Times New Roman" w:hAnsi="Times New Roman" w:cs="Times New Roman"/>
        </w:rPr>
        <w:endnoteReference w:id="11"/>
      </w:r>
      <w:r>
        <w:rPr>
          <w:rFonts w:ascii="Times New Roman" w:hAnsi="Times New Roman" w:cs="Times New Roman"/>
        </w:rPr>
        <w:t xml:space="preserve"> </w:t>
      </w:r>
    </w:p>
    <w:p w:rsidRPr="005A7C48" w:rsidR="00EF2415" w:rsidP="00EF2415" w:rsidRDefault="00EF2415">
      <w:pPr>
        <w:tabs>
          <w:tab w:val="num" w:pos="720"/>
        </w:tabs>
        <w:rPr>
          <w:rFonts w:ascii="Times New Roman" w:hAnsi="Times New Roman" w:cs="Times New Roman"/>
        </w:rPr>
      </w:pPr>
    </w:p>
    <w:p w:rsidRPr="005A7C48" w:rsidR="00EF2415" w:rsidP="00EF2415" w:rsidRDefault="00EF2415">
      <w:pPr>
        <w:tabs>
          <w:tab w:val="num" w:pos="720"/>
        </w:tabs>
        <w:rPr>
          <w:rFonts w:ascii="Times New Roman" w:hAnsi="Times New Roman" w:cs="Times New Roman"/>
        </w:rPr>
      </w:pPr>
      <w:r w:rsidRPr="005A7C48">
        <w:rPr>
          <w:rFonts w:ascii="Times New Roman" w:hAnsi="Times New Roman" w:cs="Times New Roman"/>
        </w:rPr>
        <w:t>Een derde trend is de sterke toename van immigratie</w:t>
      </w:r>
      <w:r>
        <w:rPr>
          <w:rFonts w:ascii="Times New Roman" w:hAnsi="Times New Roman" w:cs="Times New Roman"/>
        </w:rPr>
        <w:t xml:space="preserve"> van </w:t>
      </w:r>
      <w:r w:rsidRPr="00440B6B">
        <w:rPr>
          <w:rFonts w:ascii="Times New Roman" w:hAnsi="Times New Roman" w:cs="Times New Roman"/>
        </w:rPr>
        <w:t>hoger opgeleide</w:t>
      </w:r>
      <w:r>
        <w:rPr>
          <w:rFonts w:ascii="Times New Roman" w:hAnsi="Times New Roman" w:cs="Times New Roman"/>
        </w:rPr>
        <w:t>n</w:t>
      </w:r>
      <w:r w:rsidRPr="005A7C48">
        <w:rPr>
          <w:rFonts w:ascii="Times New Roman" w:hAnsi="Times New Roman" w:cs="Times New Roman"/>
        </w:rPr>
        <w:t xml:space="preserve">. Deze immigratie wordt verder gestimuleerd door immigratiebeleid dat hoogopgeleide immigranten aantrekt. Behalve </w:t>
      </w:r>
      <w:r>
        <w:rPr>
          <w:rFonts w:ascii="Times New Roman" w:hAnsi="Times New Roman" w:cs="Times New Roman"/>
        </w:rPr>
        <w:t xml:space="preserve">uit </w:t>
      </w:r>
      <w:r w:rsidRPr="005A7C48">
        <w:rPr>
          <w:rFonts w:ascii="Times New Roman" w:hAnsi="Times New Roman" w:cs="Times New Roman"/>
        </w:rPr>
        <w:t>Europese landen komen zij in toenemende mate uit Aziatische landen als China en India. Daarnaast is er ook een sterke toename van immigratie van buitenlandse studenten. Europese landen</w:t>
      </w:r>
      <w:r>
        <w:rPr>
          <w:rFonts w:ascii="Times New Roman" w:hAnsi="Times New Roman" w:cs="Times New Roman"/>
        </w:rPr>
        <w:t>,</w:t>
      </w:r>
      <w:r w:rsidRPr="005A7C48">
        <w:rPr>
          <w:rFonts w:ascii="Times New Roman" w:hAnsi="Times New Roman" w:cs="Times New Roman"/>
        </w:rPr>
        <w:t xml:space="preserve"> inclusief Nederland</w:t>
      </w:r>
      <w:r>
        <w:rPr>
          <w:rFonts w:ascii="Times New Roman" w:hAnsi="Times New Roman" w:cs="Times New Roman"/>
        </w:rPr>
        <w:t>,</w:t>
      </w:r>
      <w:r w:rsidRPr="005A7C48">
        <w:rPr>
          <w:rFonts w:ascii="Times New Roman" w:hAnsi="Times New Roman" w:cs="Times New Roman"/>
        </w:rPr>
        <w:t xml:space="preserve"> voer</w:t>
      </w:r>
      <w:r>
        <w:rPr>
          <w:rFonts w:ascii="Times New Roman" w:hAnsi="Times New Roman" w:cs="Times New Roman"/>
        </w:rPr>
        <w:t>en</w:t>
      </w:r>
      <w:r w:rsidRPr="005A7C48">
        <w:rPr>
          <w:rFonts w:ascii="Times New Roman" w:hAnsi="Times New Roman" w:cs="Times New Roman"/>
        </w:rPr>
        <w:t xml:space="preserve"> een beleid om deze studenten voor de nationale economie te behouden.</w:t>
      </w:r>
      <w:r w:rsidRPr="005A7C48">
        <w:rPr>
          <w:rStyle w:val="Eindnootmarkering"/>
          <w:rFonts w:ascii="Times New Roman" w:hAnsi="Times New Roman" w:cs="Times New Roman"/>
        </w:rPr>
        <w:endnoteReference w:id="12"/>
      </w:r>
      <w:r w:rsidRPr="005A7C48">
        <w:rPr>
          <w:rFonts w:ascii="Times New Roman" w:hAnsi="Times New Roman" w:cs="Times New Roman"/>
        </w:rPr>
        <w:t xml:space="preserve"> </w:t>
      </w:r>
    </w:p>
    <w:p w:rsidRPr="005A7C48" w:rsidR="00EF2415" w:rsidP="00EF2415" w:rsidRDefault="00EF2415">
      <w:pPr>
        <w:tabs>
          <w:tab w:val="num" w:pos="720"/>
        </w:tabs>
        <w:rPr>
          <w:rFonts w:ascii="Times New Roman" w:hAnsi="Times New Roman" w:cs="Times New Roman"/>
        </w:rPr>
      </w:pPr>
    </w:p>
    <w:p w:rsidRPr="005A7C48" w:rsidR="00EF2415" w:rsidP="00EF2415" w:rsidRDefault="00EF2415">
      <w:pPr>
        <w:tabs>
          <w:tab w:val="num" w:pos="720"/>
        </w:tabs>
        <w:rPr>
          <w:rFonts w:ascii="Times New Roman" w:hAnsi="Times New Roman" w:cs="Times New Roman"/>
        </w:rPr>
      </w:pPr>
      <w:r w:rsidRPr="005A7C48">
        <w:rPr>
          <w:rFonts w:ascii="Times New Roman" w:hAnsi="Times New Roman" w:cs="Times New Roman"/>
        </w:rPr>
        <w:t xml:space="preserve">Het is te vroeg om te speculeren over de gevolgen van </w:t>
      </w:r>
      <w:r>
        <w:rPr>
          <w:rFonts w:ascii="Times New Roman" w:hAnsi="Times New Roman" w:cs="Times New Roman"/>
        </w:rPr>
        <w:t xml:space="preserve">de </w:t>
      </w:r>
      <w:r w:rsidRPr="005A7C48">
        <w:rPr>
          <w:rFonts w:ascii="Times New Roman" w:hAnsi="Times New Roman" w:cs="Times New Roman"/>
        </w:rPr>
        <w:t xml:space="preserve">Brexit en de </w:t>
      </w:r>
      <w:r>
        <w:rPr>
          <w:rFonts w:ascii="Times New Roman" w:hAnsi="Times New Roman" w:cs="Times New Roman"/>
        </w:rPr>
        <w:t>c</w:t>
      </w:r>
      <w:r w:rsidRPr="005A7C48">
        <w:rPr>
          <w:rFonts w:ascii="Times New Roman" w:hAnsi="Times New Roman" w:cs="Times New Roman"/>
        </w:rPr>
        <w:t xml:space="preserve">oronacrisis op </w:t>
      </w:r>
      <w:r>
        <w:rPr>
          <w:rFonts w:ascii="Times New Roman" w:hAnsi="Times New Roman" w:cs="Times New Roman"/>
        </w:rPr>
        <w:t xml:space="preserve">de </w:t>
      </w:r>
      <w:r w:rsidRPr="005A7C48">
        <w:rPr>
          <w:rFonts w:ascii="Times New Roman" w:hAnsi="Times New Roman" w:cs="Times New Roman"/>
        </w:rPr>
        <w:t xml:space="preserve">langetermijnmigratietrends. In het verlengde van de ervaringen met eerdere crises is al wel duidelijk dat de economische recessie </w:t>
      </w:r>
      <w:r>
        <w:rPr>
          <w:rFonts w:ascii="Times New Roman" w:hAnsi="Times New Roman" w:cs="Times New Roman"/>
        </w:rPr>
        <w:t xml:space="preserve">zal leiden </w:t>
      </w:r>
      <w:r w:rsidRPr="005A7C48">
        <w:rPr>
          <w:rFonts w:ascii="Times New Roman" w:hAnsi="Times New Roman" w:cs="Times New Roman"/>
        </w:rPr>
        <w:t xml:space="preserve">tot een sterke afname van de arbeidsvraag en daarmee ook </w:t>
      </w:r>
      <w:r>
        <w:rPr>
          <w:rFonts w:ascii="Times New Roman" w:hAnsi="Times New Roman" w:cs="Times New Roman"/>
        </w:rPr>
        <w:t xml:space="preserve">van </w:t>
      </w:r>
      <w:r w:rsidRPr="005A7C48">
        <w:rPr>
          <w:rFonts w:ascii="Times New Roman" w:hAnsi="Times New Roman" w:cs="Times New Roman"/>
        </w:rPr>
        <w:t xml:space="preserve">de immigratie, </w:t>
      </w:r>
      <w:r>
        <w:rPr>
          <w:rFonts w:ascii="Times New Roman" w:hAnsi="Times New Roman" w:cs="Times New Roman"/>
        </w:rPr>
        <w:t xml:space="preserve">iets </w:t>
      </w:r>
      <w:r w:rsidRPr="005A7C48">
        <w:rPr>
          <w:rFonts w:ascii="Times New Roman" w:hAnsi="Times New Roman" w:cs="Times New Roman"/>
        </w:rPr>
        <w:t xml:space="preserve">wat de meest recente cijfers ook suggereren. </w:t>
      </w:r>
    </w:p>
    <w:p w:rsidRPr="005A7C48" w:rsidR="00EF2415" w:rsidP="00EF2415" w:rsidRDefault="00EF2415">
      <w:pPr>
        <w:tabs>
          <w:tab w:val="num" w:pos="720"/>
        </w:tabs>
        <w:rPr>
          <w:rFonts w:ascii="Times New Roman" w:hAnsi="Times New Roman" w:cs="Times New Roman"/>
        </w:rPr>
      </w:pPr>
      <w:r w:rsidRPr="005A7C48">
        <w:rPr>
          <w:rFonts w:ascii="Times New Roman" w:hAnsi="Times New Roman" w:cs="Times New Roman"/>
        </w:rPr>
        <w:t xml:space="preserve"> </w:t>
      </w:r>
    </w:p>
    <w:p w:rsidR="00CF5B91" w:rsidP="00CF5B91" w:rsidRDefault="00CF5B91">
      <w:pPr>
        <w:pStyle w:val="Tussenkopje"/>
        <w:ind w:left="0"/>
        <w:rPr>
          <w:i/>
        </w:rPr>
      </w:pPr>
    </w:p>
    <w:p w:rsidRPr="00CF5B91" w:rsidR="00EF2415" w:rsidP="00CF5B91" w:rsidRDefault="00EF2415">
      <w:pPr>
        <w:pStyle w:val="Tussenkopje"/>
        <w:ind w:left="0"/>
        <w:rPr>
          <w:i/>
        </w:rPr>
      </w:pPr>
      <w:r w:rsidRPr="00CF5B91">
        <w:rPr>
          <w:i/>
        </w:rPr>
        <w:lastRenderedPageBreak/>
        <w:t>Vluchtelingenmigratie</w:t>
      </w:r>
    </w:p>
    <w:p w:rsidRPr="005A7C48" w:rsidR="00EF2415" w:rsidP="00EF2415" w:rsidRDefault="00EF2415">
      <w:pPr>
        <w:tabs>
          <w:tab w:val="num" w:pos="720"/>
        </w:tabs>
        <w:rPr>
          <w:rFonts w:ascii="Times New Roman" w:hAnsi="Times New Roman" w:cs="Times New Roman"/>
        </w:rPr>
      </w:pPr>
      <w:r w:rsidRPr="005A7C48">
        <w:rPr>
          <w:rFonts w:ascii="Times New Roman" w:hAnsi="Times New Roman" w:cs="Times New Roman"/>
        </w:rPr>
        <w:t xml:space="preserve">Anders dan arbeidsmigratie en studentenmigratie, en de daaraan gedeeltelijk gerelateerde familiemigratie, volgt de migratie van asielzoekers en vluchtelingen een geheel eigen dynamiek. Vluchtelingenmigratie verloopt </w:t>
      </w:r>
      <w:r>
        <w:rPr>
          <w:rFonts w:ascii="Times New Roman" w:hAnsi="Times New Roman" w:cs="Times New Roman"/>
        </w:rPr>
        <w:t xml:space="preserve">volgens </w:t>
      </w:r>
      <w:r w:rsidRPr="005A7C48">
        <w:rPr>
          <w:rFonts w:ascii="Times New Roman" w:hAnsi="Times New Roman" w:cs="Times New Roman"/>
        </w:rPr>
        <w:t xml:space="preserve">een veel schoksgewijzer patroon, waarbij sterke fluctuaties vooral </w:t>
      </w:r>
      <w:r>
        <w:rPr>
          <w:rFonts w:ascii="Times New Roman" w:hAnsi="Times New Roman" w:cs="Times New Roman"/>
        </w:rPr>
        <w:t xml:space="preserve">worden </w:t>
      </w:r>
      <w:r w:rsidRPr="005A7C48">
        <w:rPr>
          <w:rFonts w:ascii="Times New Roman" w:hAnsi="Times New Roman" w:cs="Times New Roman"/>
        </w:rPr>
        <w:t xml:space="preserve">verklaard </w:t>
      </w:r>
      <w:r>
        <w:rPr>
          <w:rFonts w:ascii="Times New Roman" w:hAnsi="Times New Roman" w:cs="Times New Roman"/>
        </w:rPr>
        <w:t>door</w:t>
      </w:r>
      <w:r w:rsidRPr="005A7C48">
        <w:rPr>
          <w:rFonts w:ascii="Times New Roman" w:hAnsi="Times New Roman" w:cs="Times New Roman"/>
        </w:rPr>
        <w:t xml:space="preserve"> conflictniveaus in herkomstlanden, zoals de oorlogen </w:t>
      </w:r>
      <w:r>
        <w:rPr>
          <w:rFonts w:ascii="Times New Roman" w:hAnsi="Times New Roman" w:cs="Times New Roman"/>
        </w:rPr>
        <w:t xml:space="preserve">van de jaren negentig </w:t>
      </w:r>
      <w:r w:rsidRPr="005A7C48">
        <w:rPr>
          <w:rFonts w:ascii="Times New Roman" w:hAnsi="Times New Roman" w:cs="Times New Roman"/>
        </w:rPr>
        <w:t>in het voormalig Joegoslavië en de Hoorn van Afrika, de oorlogen in Afghanistan (sinds 2001) en Irak (sinds 2003) en de burgeroorlog in Syrië (sinds 2011).</w:t>
      </w:r>
      <w:r>
        <w:rPr>
          <w:rFonts w:ascii="Times New Roman" w:hAnsi="Times New Roman" w:cs="Times New Roman"/>
        </w:rPr>
        <w:t xml:space="preserve"> </w:t>
      </w:r>
    </w:p>
    <w:p w:rsidRPr="005A7C48" w:rsidR="00EF2415" w:rsidP="00EF2415" w:rsidRDefault="00EF2415">
      <w:pPr>
        <w:tabs>
          <w:tab w:val="num" w:pos="720"/>
        </w:tabs>
        <w:rPr>
          <w:rFonts w:ascii="Times New Roman" w:hAnsi="Times New Roman" w:cs="Times New Roman"/>
        </w:rPr>
      </w:pPr>
    </w:p>
    <w:p w:rsidRPr="005A7C48" w:rsidR="00EF2415" w:rsidP="00EF2415" w:rsidRDefault="00EF2415">
      <w:pPr>
        <w:tabs>
          <w:tab w:val="num" w:pos="720"/>
        </w:tabs>
        <w:rPr>
          <w:rFonts w:ascii="Times New Roman" w:hAnsi="Times New Roman" w:cs="Times New Roman"/>
        </w:rPr>
      </w:pPr>
      <w:r w:rsidRPr="005A7C48">
        <w:rPr>
          <w:rFonts w:ascii="Times New Roman" w:hAnsi="Times New Roman" w:cs="Times New Roman"/>
        </w:rPr>
        <w:t>Hoewel er in recente jaren een toename was van vluchtelingenmigratie (met name als gevolg van conflicten in Syrië en Venezuela), zijn er geen aanwijzingen voor een structurele toename van vluchtelingenmigratie op de langere termijn. Tussen 1951 en 2018 heeft het tota</w:t>
      </w:r>
      <w:r>
        <w:rPr>
          <w:rFonts w:ascii="Times New Roman" w:hAnsi="Times New Roman" w:cs="Times New Roman"/>
        </w:rPr>
        <w:t>le</w:t>
      </w:r>
      <w:r w:rsidRPr="005A7C48">
        <w:rPr>
          <w:rFonts w:ascii="Times New Roman" w:hAnsi="Times New Roman" w:cs="Times New Roman"/>
        </w:rPr>
        <w:t xml:space="preserve"> aantal vluchtelingen gefluctueerd op niveaus van tussen de 5 en 10 procent van alle internationale migranten.</w:t>
      </w:r>
      <w:r w:rsidRPr="005A7C48">
        <w:rPr>
          <w:rStyle w:val="Eindnootmarkering"/>
          <w:rFonts w:ascii="Times New Roman" w:hAnsi="Times New Roman" w:cs="Times New Roman"/>
        </w:rPr>
        <w:endnoteReference w:id="13"/>
      </w:r>
      <w:r>
        <w:rPr>
          <w:rFonts w:ascii="Times New Roman" w:hAnsi="Times New Roman" w:cs="Times New Roman"/>
        </w:rPr>
        <w:t xml:space="preserve"> </w:t>
      </w:r>
    </w:p>
    <w:p w:rsidRPr="005A7C48" w:rsidR="00EF2415" w:rsidP="00EF2415" w:rsidRDefault="00EF2415">
      <w:pPr>
        <w:tabs>
          <w:tab w:val="num" w:pos="720"/>
        </w:tabs>
        <w:rPr>
          <w:rFonts w:ascii="Times New Roman" w:hAnsi="Times New Roman" w:cs="Times New Roman"/>
        </w:rPr>
      </w:pPr>
    </w:p>
    <w:p w:rsidRPr="005A7C48" w:rsidR="00EF2415" w:rsidP="00EF2415" w:rsidRDefault="00EF2415">
      <w:pPr>
        <w:tabs>
          <w:tab w:val="num" w:pos="720"/>
        </w:tabs>
        <w:rPr>
          <w:rFonts w:ascii="Times New Roman" w:hAnsi="Times New Roman" w:cs="Times New Roman"/>
        </w:rPr>
      </w:pPr>
      <w:r w:rsidRPr="005A7C48">
        <w:rPr>
          <w:rFonts w:ascii="Times New Roman" w:hAnsi="Times New Roman" w:cs="Times New Roman"/>
        </w:rPr>
        <w:t>De overgrote meerderheid van de slachtoffers van geweld en onderdrukking blijft in eigen land (</w:t>
      </w:r>
      <w:r w:rsidRPr="005A7C48">
        <w:rPr>
          <w:rFonts w:ascii="Times New Roman" w:hAnsi="Times New Roman" w:cs="Times New Roman"/>
          <w:i/>
        </w:rPr>
        <w:t>internally displaced persons</w:t>
      </w:r>
      <w:r>
        <w:rPr>
          <w:rFonts w:ascii="Times New Roman" w:hAnsi="Times New Roman" w:cs="Times New Roman"/>
          <w:i/>
        </w:rPr>
        <w:t xml:space="preserve"> </w:t>
      </w:r>
      <w:r w:rsidRPr="00AC666C">
        <w:rPr>
          <w:rFonts w:ascii="Times New Roman" w:hAnsi="Times New Roman" w:cs="Times New Roman"/>
        </w:rPr>
        <w:t>of</w:t>
      </w:r>
      <w:r>
        <w:rPr>
          <w:rFonts w:ascii="Times New Roman" w:hAnsi="Times New Roman" w:cs="Times New Roman"/>
          <w:i/>
        </w:rPr>
        <w:t xml:space="preserve"> </w:t>
      </w:r>
      <w:r w:rsidRPr="00AC666C">
        <w:rPr>
          <w:rFonts w:ascii="Times New Roman" w:hAnsi="Times New Roman" w:cs="Times New Roman"/>
        </w:rPr>
        <w:t>IDP’s</w:t>
      </w:r>
      <w:r w:rsidRPr="005A7C48">
        <w:rPr>
          <w:rFonts w:ascii="Times New Roman" w:hAnsi="Times New Roman" w:cs="Times New Roman"/>
        </w:rPr>
        <w:t>) en van degene</w:t>
      </w:r>
      <w:r>
        <w:rPr>
          <w:rFonts w:ascii="Times New Roman" w:hAnsi="Times New Roman" w:cs="Times New Roman"/>
        </w:rPr>
        <w:t>n</w:t>
      </w:r>
      <w:r w:rsidRPr="005A7C48">
        <w:rPr>
          <w:rFonts w:ascii="Times New Roman" w:hAnsi="Times New Roman" w:cs="Times New Roman"/>
        </w:rPr>
        <w:t xml:space="preserve"> die hun eigen land </w:t>
      </w:r>
      <w:r>
        <w:rPr>
          <w:rFonts w:ascii="Times New Roman" w:hAnsi="Times New Roman" w:cs="Times New Roman"/>
        </w:rPr>
        <w:t>weten</w:t>
      </w:r>
      <w:r w:rsidRPr="005A7C48">
        <w:rPr>
          <w:rFonts w:ascii="Times New Roman" w:hAnsi="Times New Roman" w:cs="Times New Roman"/>
        </w:rPr>
        <w:t xml:space="preserve"> te ontvluchten verblijft ongeveer 80 procent in naburige landen. Ongeveer 85 procent van alle vluchtelingen verblijft in ontwikkelingslanden.</w:t>
      </w:r>
      <w:r w:rsidRPr="005A7C48">
        <w:rPr>
          <w:rStyle w:val="Eindnootmarkering"/>
          <w:rFonts w:ascii="Times New Roman" w:hAnsi="Times New Roman" w:cs="Times New Roman"/>
        </w:rPr>
        <w:endnoteReference w:id="14"/>
      </w:r>
      <w:r w:rsidRPr="005A7C48">
        <w:rPr>
          <w:rFonts w:ascii="Times New Roman" w:hAnsi="Times New Roman" w:cs="Times New Roman"/>
        </w:rPr>
        <w:t xml:space="preserve"> </w:t>
      </w:r>
    </w:p>
    <w:p w:rsidRPr="005A7C48" w:rsidR="00EF2415" w:rsidP="00EF2415" w:rsidRDefault="00EF2415">
      <w:pPr>
        <w:tabs>
          <w:tab w:val="num" w:pos="720"/>
        </w:tabs>
        <w:rPr>
          <w:rFonts w:ascii="Times New Roman" w:hAnsi="Times New Roman" w:cs="Times New Roman"/>
        </w:rPr>
      </w:pPr>
    </w:p>
    <w:p w:rsidRPr="005A7C48" w:rsidR="00EF2415" w:rsidP="00EF2415" w:rsidRDefault="00EF2415">
      <w:pPr>
        <w:tabs>
          <w:tab w:val="num" w:pos="720"/>
        </w:tabs>
        <w:rPr>
          <w:rFonts w:ascii="Times New Roman" w:hAnsi="Times New Roman" w:cs="Times New Roman"/>
        </w:rPr>
      </w:pPr>
      <w:r w:rsidRPr="005A7C48">
        <w:rPr>
          <w:rFonts w:ascii="Times New Roman" w:hAnsi="Times New Roman" w:cs="Times New Roman"/>
        </w:rPr>
        <w:t xml:space="preserve">Door structurele afname van mondiale conflictniveaus komen vluchtelingen </w:t>
      </w:r>
      <w:r>
        <w:rPr>
          <w:rFonts w:ascii="Times New Roman" w:hAnsi="Times New Roman" w:cs="Times New Roman"/>
        </w:rPr>
        <w:t>steeds vaker</w:t>
      </w:r>
      <w:r w:rsidRPr="005A7C48">
        <w:rPr>
          <w:rFonts w:ascii="Times New Roman" w:hAnsi="Times New Roman" w:cs="Times New Roman"/>
        </w:rPr>
        <w:t xml:space="preserve"> uit een </w:t>
      </w:r>
      <w:r>
        <w:rPr>
          <w:rFonts w:ascii="Times New Roman" w:hAnsi="Times New Roman" w:cs="Times New Roman"/>
        </w:rPr>
        <w:t xml:space="preserve">beperkt </w:t>
      </w:r>
      <w:r w:rsidRPr="005A7C48">
        <w:rPr>
          <w:rFonts w:ascii="Times New Roman" w:hAnsi="Times New Roman" w:cs="Times New Roman"/>
        </w:rPr>
        <w:t>aantal ‘failed states’ (zoals Afghanistan en Syrië) die in herhaalde cycli van geweld vervallen. Verbeterde infrastructuur, dalende reiskosten en toenemende welvaart hebben meer vluchtelingen in staat gesteld om verder gelegen landen te bereiken.</w:t>
      </w:r>
      <w:r w:rsidRPr="005A7C48">
        <w:rPr>
          <w:rStyle w:val="Eindnootmarkering"/>
          <w:rFonts w:ascii="Times New Roman" w:hAnsi="Times New Roman" w:cs="Times New Roman"/>
        </w:rPr>
        <w:endnoteReference w:id="15"/>
      </w:r>
      <w:r w:rsidRPr="005A7C48">
        <w:rPr>
          <w:rFonts w:ascii="Times New Roman" w:hAnsi="Times New Roman" w:cs="Times New Roman"/>
        </w:rPr>
        <w:t xml:space="preserve"> Mede hierdoor lijkt het aantal asielaanvragen in Europa </w:t>
      </w:r>
      <w:r>
        <w:rPr>
          <w:rFonts w:ascii="Times New Roman" w:hAnsi="Times New Roman" w:cs="Times New Roman"/>
        </w:rPr>
        <w:t xml:space="preserve">op lange termijn </w:t>
      </w:r>
      <w:r w:rsidRPr="005A7C48">
        <w:rPr>
          <w:rFonts w:ascii="Times New Roman" w:hAnsi="Times New Roman" w:cs="Times New Roman"/>
        </w:rPr>
        <w:t>een stijgende trend te vertonen</w:t>
      </w:r>
      <w:r>
        <w:rPr>
          <w:rFonts w:ascii="Times New Roman" w:hAnsi="Times New Roman" w:cs="Times New Roman"/>
        </w:rPr>
        <w:t>, al heeft dat ook te maken het uitbreken van conflicten in de relatieve nabijheid van Europa, met name Syrië</w:t>
      </w:r>
      <w:r w:rsidRPr="005A7C48">
        <w:rPr>
          <w:rFonts w:ascii="Times New Roman" w:hAnsi="Times New Roman" w:cs="Times New Roman"/>
        </w:rPr>
        <w:t xml:space="preserve">. </w:t>
      </w:r>
    </w:p>
    <w:p w:rsidRPr="005A7C48" w:rsidR="00EF2415" w:rsidP="00EF2415" w:rsidRDefault="00EF2415">
      <w:pPr>
        <w:tabs>
          <w:tab w:val="num" w:pos="720"/>
        </w:tabs>
        <w:rPr>
          <w:rFonts w:ascii="Times New Roman" w:hAnsi="Times New Roman" w:cs="Times New Roman"/>
          <w:b/>
          <w:i/>
        </w:rPr>
      </w:pPr>
    </w:p>
    <w:p w:rsidRPr="00CF5B91" w:rsidR="00EF2415" w:rsidP="00CF5B91" w:rsidRDefault="00EF2415">
      <w:pPr>
        <w:pStyle w:val="Tussenkopje"/>
        <w:ind w:left="0"/>
        <w:rPr>
          <w:i/>
        </w:rPr>
      </w:pPr>
      <w:r w:rsidRPr="00CF5B91">
        <w:rPr>
          <w:i/>
        </w:rPr>
        <w:t>Irreguliere migratie en mensensmokkel</w:t>
      </w:r>
    </w:p>
    <w:p w:rsidRPr="005A7C48" w:rsidR="00EF2415" w:rsidP="00EF2415" w:rsidRDefault="00EF2415">
      <w:pPr>
        <w:tabs>
          <w:tab w:val="num" w:pos="720"/>
        </w:tabs>
        <w:rPr>
          <w:rFonts w:ascii="Times New Roman" w:hAnsi="Times New Roman" w:cs="Times New Roman"/>
        </w:rPr>
      </w:pPr>
      <w:r w:rsidRPr="005A7C48">
        <w:rPr>
          <w:rFonts w:ascii="Times New Roman" w:hAnsi="Times New Roman" w:cs="Times New Roman"/>
        </w:rPr>
        <w:t xml:space="preserve">Irreguliere migratie en mensensmokkel zijn een gevolg van een discrepantie tussen grensbeleid en de oorzaken van migratie. Dit is het meest evident bij de arbeidsmigratie </w:t>
      </w:r>
      <w:r>
        <w:rPr>
          <w:rFonts w:ascii="Times New Roman" w:hAnsi="Times New Roman" w:cs="Times New Roman"/>
        </w:rPr>
        <w:t xml:space="preserve">van lager geschoolden die </w:t>
      </w:r>
      <w:r w:rsidRPr="005A7C48">
        <w:rPr>
          <w:rFonts w:ascii="Times New Roman" w:hAnsi="Times New Roman" w:cs="Times New Roman"/>
        </w:rPr>
        <w:t xml:space="preserve">wordt aangestuurd door een arbeidsvraag in specifieke sectoren als de landbouw, de zorg, schoonmaak, horeca en andere vormen van dienstverlening. Deze arbeidsvraag wordt in de onderzoeksliteratuur omschreven als ‘chronisch’ omdat er in deze sectoren onvoldoende lokaal aanbod is vanwege vergrijzing, een sterk toegenomen opleidingsniveau en statusmotieven. Mede vanwege beperkte mogelijkheden en/of politieke wil </w:t>
      </w:r>
      <w:r>
        <w:rPr>
          <w:rFonts w:ascii="Times New Roman" w:hAnsi="Times New Roman" w:cs="Times New Roman"/>
        </w:rPr>
        <w:t xml:space="preserve">om </w:t>
      </w:r>
      <w:r w:rsidRPr="005A7C48">
        <w:rPr>
          <w:rFonts w:ascii="Times New Roman" w:hAnsi="Times New Roman" w:cs="Times New Roman"/>
        </w:rPr>
        <w:t>de tewerkstelling van ongedocumenteerde migranten daadwerkelijk aan te pakken is deze arbeidsvraag structureel gebleken.</w:t>
      </w:r>
    </w:p>
    <w:p w:rsidRPr="005A7C48" w:rsidR="00EF2415" w:rsidP="00EF2415" w:rsidRDefault="00EF2415">
      <w:pPr>
        <w:tabs>
          <w:tab w:val="num" w:pos="720"/>
        </w:tabs>
        <w:rPr>
          <w:rFonts w:ascii="Times New Roman" w:hAnsi="Times New Roman" w:cs="Times New Roman"/>
        </w:rPr>
      </w:pPr>
    </w:p>
    <w:p w:rsidRPr="005A7C48" w:rsidR="00EF2415" w:rsidP="00EF2415" w:rsidRDefault="00EF2415">
      <w:pPr>
        <w:tabs>
          <w:tab w:val="num" w:pos="720"/>
        </w:tabs>
        <w:rPr>
          <w:rFonts w:ascii="Times New Roman" w:hAnsi="Times New Roman" w:cs="Times New Roman"/>
        </w:rPr>
      </w:pPr>
      <w:r w:rsidRPr="005A7C48">
        <w:rPr>
          <w:rFonts w:ascii="Times New Roman" w:hAnsi="Times New Roman" w:cs="Times New Roman"/>
        </w:rPr>
        <w:t xml:space="preserve">Een andere bron van irreguliere migratie is asielmigratie. Het toenemend gebruik van irreguliere migratie en mensensmokkelaars door asielzoekers houdt rechtstreeks verband met het invoeren van visumplicht voor vrijwel alle niet-Westerse derdelanders in de jaren 90 en de daaraan gepaarde ‘carrier sanctions’ die moesten voorkomen dat mensen zonder geldige visa konden inreizen, waardoor asielzoekers niet meer op reguliere wijze konden inreizen en bijvoorbeeld op de luchthaven een asielverzoek </w:t>
      </w:r>
      <w:r>
        <w:rPr>
          <w:rFonts w:ascii="Times New Roman" w:hAnsi="Times New Roman" w:cs="Times New Roman"/>
        </w:rPr>
        <w:t>konden in</w:t>
      </w:r>
      <w:r w:rsidRPr="005A7C48">
        <w:rPr>
          <w:rFonts w:ascii="Times New Roman" w:hAnsi="Times New Roman" w:cs="Times New Roman"/>
        </w:rPr>
        <w:t xml:space="preserve">dienen. </w:t>
      </w:r>
    </w:p>
    <w:p w:rsidRPr="005A7C48" w:rsidR="00EF2415" w:rsidP="00EF2415" w:rsidRDefault="00EF2415">
      <w:pPr>
        <w:tabs>
          <w:tab w:val="num" w:pos="720"/>
        </w:tabs>
        <w:rPr>
          <w:rFonts w:ascii="Times New Roman" w:hAnsi="Times New Roman" w:cs="Times New Roman"/>
        </w:rPr>
      </w:pPr>
    </w:p>
    <w:p w:rsidRPr="005A7C48" w:rsidR="00EF2415" w:rsidP="00EF2415" w:rsidRDefault="00EF2415">
      <w:pPr>
        <w:tabs>
          <w:tab w:val="num" w:pos="720"/>
        </w:tabs>
        <w:rPr>
          <w:rFonts w:ascii="Times New Roman" w:hAnsi="Times New Roman" w:cs="Times New Roman"/>
        </w:rPr>
      </w:pPr>
      <w:r w:rsidRPr="005A7C48">
        <w:rPr>
          <w:rFonts w:ascii="Times New Roman" w:hAnsi="Times New Roman" w:cs="Times New Roman"/>
        </w:rPr>
        <w:t>Onderzoek heeft nuances gezet bij het algemene beeld van smokkelaars als criminelen. Mensensmokkel is een direct gevolg va toenemende grenscontroles. Voor kwetsbare migranten en vluchtelingen zijn smokkelaars in de eerste plaats dienstverleners die hen helpen de andere kant van de grens te bereiken.</w:t>
      </w:r>
      <w:r w:rsidRPr="005A7C48">
        <w:rPr>
          <w:rStyle w:val="Eindnootmarkering"/>
          <w:rFonts w:ascii="Times New Roman" w:hAnsi="Times New Roman" w:cs="Times New Roman"/>
        </w:rPr>
        <w:endnoteReference w:id="16"/>
      </w:r>
      <w:r w:rsidRPr="005A7C48">
        <w:rPr>
          <w:rFonts w:ascii="Times New Roman" w:hAnsi="Times New Roman" w:cs="Times New Roman"/>
        </w:rPr>
        <w:t xml:space="preserve"> Strengere grenscontroles hebben geleid tot het gebruik van langere en gevaarlijkere routes en een </w:t>
      </w:r>
      <w:r w:rsidRPr="005A7C48">
        <w:rPr>
          <w:rFonts w:ascii="Times New Roman" w:hAnsi="Times New Roman" w:cs="Times New Roman"/>
        </w:rPr>
        <w:lastRenderedPageBreak/>
        <w:t>verhoogde kans om te overlijden. Meer in het algemeen hebben complexe toelatingsprocedures het belang van tussenpersonen in het faciliteren van migratie doen toenemen.</w:t>
      </w:r>
      <w:r w:rsidRPr="005A7C48">
        <w:rPr>
          <w:rStyle w:val="Eindnootmarkering"/>
          <w:rFonts w:ascii="Times New Roman" w:hAnsi="Times New Roman" w:cs="Times New Roman"/>
        </w:rPr>
        <w:endnoteReference w:id="17"/>
      </w:r>
    </w:p>
    <w:p w:rsidRPr="005A7C48" w:rsidR="00EF2415" w:rsidP="00EF2415" w:rsidRDefault="00EF2415">
      <w:pPr>
        <w:tabs>
          <w:tab w:val="num" w:pos="720"/>
        </w:tabs>
        <w:rPr>
          <w:rFonts w:ascii="Times New Roman" w:hAnsi="Times New Roman" w:cs="Times New Roman"/>
        </w:rPr>
      </w:pPr>
    </w:p>
    <w:p w:rsidR="00EF2415" w:rsidP="00EF2415" w:rsidRDefault="00EF2415">
      <w:pPr>
        <w:tabs>
          <w:tab w:val="num" w:pos="720"/>
        </w:tabs>
        <w:rPr>
          <w:rFonts w:ascii="Times New Roman" w:hAnsi="Times New Roman" w:cs="Times New Roman"/>
        </w:rPr>
      </w:pPr>
      <w:r w:rsidRPr="005A7C48">
        <w:rPr>
          <w:rFonts w:ascii="Times New Roman" w:hAnsi="Times New Roman" w:cs="Times New Roman"/>
        </w:rPr>
        <w:t>Terwijl irreguliere migratie vanwege de daarmee gepaard gaande kwetsbaarheid en humanitaire problematiek terecht veel aandacht trekt, kan hierdoor wel een vertekend beeld ontstaan van de omvang van deze migratie. Verreweg de meeste migranten komen op legale wijze naar Europa (circa 2</w:t>
      </w:r>
      <w:r>
        <w:rPr>
          <w:rFonts w:ascii="Times New Roman" w:hAnsi="Times New Roman" w:cs="Times New Roman"/>
        </w:rPr>
        <w:t>,</w:t>
      </w:r>
      <w:r w:rsidRPr="005A7C48">
        <w:rPr>
          <w:rFonts w:ascii="Times New Roman" w:hAnsi="Times New Roman" w:cs="Times New Roman"/>
        </w:rPr>
        <w:t xml:space="preserve">5-3 miljoen per jaar). Naar schatting 9 op </w:t>
      </w:r>
      <w:r>
        <w:rPr>
          <w:rFonts w:ascii="Times New Roman" w:hAnsi="Times New Roman" w:cs="Times New Roman"/>
        </w:rPr>
        <w:t xml:space="preserve">de </w:t>
      </w:r>
      <w:r w:rsidRPr="005A7C48">
        <w:rPr>
          <w:rFonts w:ascii="Times New Roman" w:hAnsi="Times New Roman" w:cs="Times New Roman"/>
        </w:rPr>
        <w:t>10 Afrikaanse migranten naar Europa beschikt over geldige verblijfspapieren.</w:t>
      </w:r>
      <w:r w:rsidRPr="005A7C48">
        <w:rPr>
          <w:rStyle w:val="Eindnootmarkering"/>
          <w:rFonts w:ascii="Times New Roman" w:hAnsi="Times New Roman" w:cs="Times New Roman"/>
        </w:rPr>
        <w:endnoteReference w:id="18"/>
      </w:r>
      <w:r w:rsidRPr="005A7C48">
        <w:rPr>
          <w:rFonts w:ascii="Times New Roman" w:hAnsi="Times New Roman" w:cs="Times New Roman"/>
        </w:rPr>
        <w:t xml:space="preserve"> </w:t>
      </w:r>
    </w:p>
    <w:p w:rsidRPr="00AC666C" w:rsidR="00EF2415" w:rsidP="00EF2415" w:rsidRDefault="00EF2415">
      <w:pPr>
        <w:tabs>
          <w:tab w:val="num" w:pos="720"/>
        </w:tabs>
        <w:rPr>
          <w:rFonts w:ascii="Times New Roman" w:hAnsi="Times New Roman" w:cs="Times New Roman"/>
        </w:rPr>
      </w:pPr>
    </w:p>
    <w:p w:rsidRPr="00794ECB" w:rsidR="00EF2415" w:rsidP="00CF5B91" w:rsidRDefault="00EF2415">
      <w:pPr>
        <w:pStyle w:val="Tussenkopje"/>
        <w:ind w:left="0"/>
      </w:pPr>
      <w:r w:rsidRPr="00794ECB">
        <w:t>Oorzaken van migratie</w:t>
      </w:r>
    </w:p>
    <w:p w:rsidR="00EF2415" w:rsidP="00EF2415" w:rsidRDefault="00EF2415">
      <w:pPr>
        <w:tabs>
          <w:tab w:val="num" w:pos="720"/>
        </w:tabs>
        <w:rPr>
          <w:rFonts w:ascii="Times New Roman" w:hAnsi="Times New Roman" w:cs="Times New Roman"/>
        </w:rPr>
      </w:pPr>
    </w:p>
    <w:p w:rsidR="00EF2415" w:rsidP="00EF2415" w:rsidRDefault="00EF2415">
      <w:pPr>
        <w:tabs>
          <w:tab w:val="num" w:pos="720"/>
        </w:tabs>
        <w:rPr>
          <w:rFonts w:ascii="Times New Roman" w:hAnsi="Times New Roman" w:cs="Times New Roman"/>
        </w:rPr>
      </w:pPr>
      <w:r w:rsidRPr="005A7C48">
        <w:rPr>
          <w:rFonts w:ascii="Times New Roman" w:hAnsi="Times New Roman" w:cs="Times New Roman"/>
        </w:rPr>
        <w:t xml:space="preserve">De analyse van migratietrends </w:t>
      </w:r>
      <w:r>
        <w:rPr>
          <w:rFonts w:ascii="Times New Roman" w:hAnsi="Times New Roman" w:cs="Times New Roman"/>
        </w:rPr>
        <w:t>bracht</w:t>
      </w:r>
      <w:r w:rsidRPr="005A7C48">
        <w:rPr>
          <w:rFonts w:ascii="Times New Roman" w:hAnsi="Times New Roman" w:cs="Times New Roman"/>
        </w:rPr>
        <w:t xml:space="preserve"> de belangrijkste </w:t>
      </w:r>
      <w:r w:rsidRPr="005A7C48">
        <w:rPr>
          <w:rFonts w:ascii="Times New Roman" w:hAnsi="Times New Roman" w:cs="Times New Roman"/>
          <w:i/>
        </w:rPr>
        <w:t>directe oorzaken</w:t>
      </w:r>
      <w:r w:rsidRPr="005A7C48">
        <w:rPr>
          <w:rFonts w:ascii="Times New Roman" w:hAnsi="Times New Roman" w:cs="Times New Roman"/>
        </w:rPr>
        <w:t xml:space="preserve"> van migratie al aan het licht</w:t>
      </w:r>
      <w:r>
        <w:rPr>
          <w:rFonts w:ascii="Times New Roman" w:hAnsi="Times New Roman" w:cs="Times New Roman"/>
        </w:rPr>
        <w:t>; oorzaken</w:t>
      </w:r>
      <w:r w:rsidRPr="005A7C48">
        <w:rPr>
          <w:rFonts w:ascii="Times New Roman" w:hAnsi="Times New Roman" w:cs="Times New Roman"/>
        </w:rPr>
        <w:t xml:space="preserve"> </w:t>
      </w:r>
      <w:r>
        <w:rPr>
          <w:rFonts w:ascii="Times New Roman" w:hAnsi="Times New Roman" w:cs="Times New Roman"/>
        </w:rPr>
        <w:t>die</w:t>
      </w:r>
      <w:r w:rsidRPr="005A7C48">
        <w:rPr>
          <w:rFonts w:ascii="Times New Roman" w:hAnsi="Times New Roman" w:cs="Times New Roman"/>
        </w:rPr>
        <w:t xml:space="preserve"> vooral zijn gelegen in de structuur en ontwikkeling van de arbeidsvraag in bestemmingslanden </w:t>
      </w:r>
      <w:r>
        <w:rPr>
          <w:rFonts w:ascii="Times New Roman" w:hAnsi="Times New Roman" w:cs="Times New Roman"/>
        </w:rPr>
        <w:t>en</w:t>
      </w:r>
      <w:r w:rsidRPr="005A7C48">
        <w:rPr>
          <w:rFonts w:ascii="Times New Roman" w:hAnsi="Times New Roman" w:cs="Times New Roman"/>
        </w:rPr>
        <w:t xml:space="preserve"> familiemigratie. Voor vluchtelingsmigratie zijn vooral onderdrukking, vervolging en geweld in herkomstlanden de voornaamste determinanten van migratieniveaus</w:t>
      </w:r>
      <w:r>
        <w:rPr>
          <w:rFonts w:ascii="Times New Roman" w:hAnsi="Times New Roman" w:cs="Times New Roman"/>
        </w:rPr>
        <w:t>.</w:t>
      </w:r>
      <w:r w:rsidRPr="005A7C48">
        <w:rPr>
          <w:rStyle w:val="Eindnootmarkering"/>
          <w:rFonts w:ascii="Times New Roman" w:hAnsi="Times New Roman" w:cs="Times New Roman"/>
        </w:rPr>
        <w:endnoteReference w:id="19"/>
      </w:r>
      <w:r w:rsidRPr="005A7C48">
        <w:rPr>
          <w:rFonts w:ascii="Times New Roman" w:hAnsi="Times New Roman" w:cs="Times New Roman"/>
        </w:rPr>
        <w:t xml:space="preserve"> </w:t>
      </w:r>
      <w:r w:rsidRPr="005A7C48">
        <w:rPr>
          <w:rFonts w:ascii="Times New Roman" w:hAnsi="Times New Roman" w:cs="Times New Roman"/>
          <w:i/>
        </w:rPr>
        <w:t xml:space="preserve">Indirecte oorzaken </w:t>
      </w:r>
      <w:r w:rsidRPr="005A7C48">
        <w:rPr>
          <w:rFonts w:ascii="Times New Roman" w:hAnsi="Times New Roman" w:cs="Times New Roman"/>
        </w:rPr>
        <w:t xml:space="preserve">van migratie zijn primair gerelateerd </w:t>
      </w:r>
      <w:r>
        <w:rPr>
          <w:rFonts w:ascii="Times New Roman" w:hAnsi="Times New Roman" w:cs="Times New Roman"/>
        </w:rPr>
        <w:t xml:space="preserve">aan </w:t>
      </w:r>
      <w:r w:rsidRPr="005A7C48">
        <w:rPr>
          <w:rFonts w:ascii="Times New Roman" w:hAnsi="Times New Roman" w:cs="Times New Roman"/>
        </w:rPr>
        <w:t>de wijze waarop het ontwikkelingsniveau en andere omstandigheden het emigratiepotentieel van herkomstlanden beïnvloed</w:t>
      </w:r>
      <w:r>
        <w:rPr>
          <w:rFonts w:ascii="Times New Roman" w:hAnsi="Times New Roman" w:cs="Times New Roman"/>
        </w:rPr>
        <w:t>t</w:t>
      </w:r>
      <w:r w:rsidRPr="005A7C48">
        <w:rPr>
          <w:rFonts w:ascii="Times New Roman" w:hAnsi="Times New Roman" w:cs="Times New Roman"/>
        </w:rPr>
        <w:t>.</w:t>
      </w:r>
      <w:r>
        <w:rPr>
          <w:rFonts w:ascii="Times New Roman" w:hAnsi="Times New Roman" w:cs="Times New Roman"/>
        </w:rPr>
        <w:t xml:space="preserve"> </w:t>
      </w:r>
      <w:r w:rsidRPr="005A7C48">
        <w:rPr>
          <w:rFonts w:ascii="Times New Roman" w:hAnsi="Times New Roman" w:cs="Times New Roman"/>
        </w:rPr>
        <w:t xml:space="preserve">Tenslotte zijn er </w:t>
      </w:r>
      <w:r w:rsidRPr="005A7C48">
        <w:rPr>
          <w:rFonts w:ascii="Times New Roman" w:hAnsi="Times New Roman" w:cs="Times New Roman"/>
          <w:i/>
        </w:rPr>
        <w:t>migratiefaciliterende</w:t>
      </w:r>
      <w:r w:rsidRPr="005A7C48">
        <w:rPr>
          <w:rFonts w:ascii="Times New Roman" w:hAnsi="Times New Roman" w:cs="Times New Roman"/>
        </w:rPr>
        <w:t xml:space="preserve"> </w:t>
      </w:r>
      <w:r w:rsidRPr="00AC666C">
        <w:rPr>
          <w:rFonts w:ascii="Times New Roman" w:hAnsi="Times New Roman" w:cs="Times New Roman"/>
          <w:i/>
        </w:rPr>
        <w:t>factoren</w:t>
      </w:r>
      <w:r w:rsidRPr="005A7C48">
        <w:rPr>
          <w:rFonts w:ascii="Times New Roman" w:hAnsi="Times New Roman" w:cs="Times New Roman"/>
        </w:rPr>
        <w:t xml:space="preserve">, zoals sociale netwerken met familie en vrienden, historisch-culturele banden en </w:t>
      </w:r>
    </w:p>
    <w:p w:rsidRPr="005A7C48" w:rsidR="00EF2415" w:rsidP="00EF2415" w:rsidRDefault="00EF2415">
      <w:pPr>
        <w:tabs>
          <w:tab w:val="num" w:pos="720"/>
        </w:tabs>
        <w:rPr>
          <w:rFonts w:ascii="Times New Roman" w:hAnsi="Times New Roman" w:cs="Times New Roman"/>
        </w:rPr>
      </w:pPr>
      <w:r w:rsidRPr="005A7C48">
        <w:rPr>
          <w:rFonts w:ascii="Times New Roman" w:hAnsi="Times New Roman" w:cs="Times New Roman"/>
        </w:rPr>
        <w:t xml:space="preserve">geografische nabijheid. Met de door sociale netwerken gefaciliteerde kettingmigratie van familieleden kunnen eenmaal op gang gebrachte migratieprocessen een vliegwielfunctie </w:t>
      </w:r>
      <w:r>
        <w:rPr>
          <w:rFonts w:ascii="Times New Roman" w:hAnsi="Times New Roman" w:cs="Times New Roman"/>
        </w:rPr>
        <w:t>krijgen</w:t>
      </w:r>
      <w:r w:rsidRPr="005A7C48">
        <w:rPr>
          <w:rFonts w:ascii="Times New Roman" w:hAnsi="Times New Roman" w:cs="Times New Roman"/>
        </w:rPr>
        <w:t xml:space="preserve"> en daardoor vaak tot een notoir moeilijk door overheden te controleren proces </w:t>
      </w:r>
      <w:r>
        <w:rPr>
          <w:rFonts w:ascii="Times New Roman" w:hAnsi="Times New Roman" w:cs="Times New Roman"/>
        </w:rPr>
        <w:t>worden.</w:t>
      </w:r>
      <w:r w:rsidRPr="005A7C48">
        <w:rPr>
          <w:rStyle w:val="Eindnootmarkering"/>
          <w:rFonts w:ascii="Times New Roman" w:hAnsi="Times New Roman" w:cs="Times New Roman"/>
        </w:rPr>
        <w:endnoteReference w:id="20"/>
      </w:r>
      <w:r w:rsidRPr="005A7C48">
        <w:rPr>
          <w:rFonts w:ascii="Times New Roman" w:hAnsi="Times New Roman" w:cs="Times New Roman"/>
        </w:rPr>
        <w:t xml:space="preserve"> Familiemigratie is een van de belangrijkste oorzaken van internationale migratie. In Nederland was 40 procent van de immigranten in 2016 een familiemigrant</w:t>
      </w:r>
      <w:r>
        <w:rPr>
          <w:rFonts w:ascii="Times New Roman" w:hAnsi="Times New Roman" w:cs="Times New Roman"/>
        </w:rPr>
        <w:t xml:space="preserve">. </w:t>
      </w:r>
      <w:r w:rsidRPr="005A7C48">
        <w:rPr>
          <w:rFonts w:ascii="Times New Roman" w:hAnsi="Times New Roman" w:cs="Times New Roman"/>
        </w:rPr>
        <w:t xml:space="preserve">Ten behoeve van de beknoptheid </w:t>
      </w:r>
      <w:r>
        <w:rPr>
          <w:rFonts w:ascii="Times New Roman" w:hAnsi="Times New Roman" w:cs="Times New Roman"/>
        </w:rPr>
        <w:t>richt</w:t>
      </w:r>
      <w:r w:rsidRPr="005A7C48">
        <w:rPr>
          <w:rFonts w:ascii="Times New Roman" w:hAnsi="Times New Roman" w:cs="Times New Roman"/>
        </w:rPr>
        <w:t xml:space="preserve"> deze analyse zich </w:t>
      </w:r>
      <w:r>
        <w:rPr>
          <w:rFonts w:ascii="Times New Roman" w:hAnsi="Times New Roman" w:cs="Times New Roman"/>
        </w:rPr>
        <w:t xml:space="preserve">verder </w:t>
      </w:r>
      <w:r w:rsidRPr="005A7C48">
        <w:rPr>
          <w:rFonts w:ascii="Times New Roman" w:hAnsi="Times New Roman" w:cs="Times New Roman"/>
        </w:rPr>
        <w:t>op de directe en indirecte oorzaken van migratie.</w:t>
      </w:r>
    </w:p>
    <w:p w:rsidRPr="005A7C48" w:rsidR="00EF2415" w:rsidP="00EF2415" w:rsidRDefault="00EF2415">
      <w:pPr>
        <w:rPr>
          <w:rFonts w:ascii="Times New Roman" w:hAnsi="Times New Roman" w:cs="Times New Roman"/>
          <w:b/>
          <w:i/>
        </w:rPr>
      </w:pPr>
    </w:p>
    <w:p w:rsidRPr="00CF5B91" w:rsidR="00EF2415" w:rsidP="00CF5B91" w:rsidRDefault="00EF2415">
      <w:pPr>
        <w:pStyle w:val="Tussenkopje"/>
        <w:ind w:left="0"/>
        <w:rPr>
          <w:i/>
        </w:rPr>
      </w:pPr>
      <w:r w:rsidRPr="00CF5B91">
        <w:rPr>
          <w:i/>
        </w:rPr>
        <w:t xml:space="preserve">Arbeidsvraag </w:t>
      </w:r>
    </w:p>
    <w:p w:rsidRPr="005A7C48" w:rsidR="00EF2415" w:rsidP="00EF2415" w:rsidRDefault="00EF2415">
      <w:pPr>
        <w:tabs>
          <w:tab w:val="num" w:pos="720"/>
        </w:tabs>
        <w:rPr>
          <w:rFonts w:ascii="Times New Roman" w:hAnsi="Times New Roman" w:cs="Times New Roman"/>
        </w:rPr>
      </w:pPr>
      <w:r w:rsidRPr="005A7C48">
        <w:rPr>
          <w:rFonts w:ascii="Times New Roman" w:hAnsi="Times New Roman" w:cs="Times New Roman"/>
        </w:rPr>
        <w:t xml:space="preserve">Arbeidsvraag is de belangrijkste grondoorzaak van internationale migratie, zeker wanneer wij ons realiseren dat gezinsmigratie dikwijls het indirecte gevolg is van arbeidsmigratie. Actieve werving van arbeidskrachten </w:t>
      </w:r>
      <w:r>
        <w:rPr>
          <w:rFonts w:ascii="Times New Roman" w:hAnsi="Times New Roman" w:cs="Times New Roman"/>
        </w:rPr>
        <w:t xml:space="preserve">heeft historisch </w:t>
      </w:r>
      <w:r w:rsidRPr="005A7C48">
        <w:rPr>
          <w:rFonts w:ascii="Times New Roman" w:hAnsi="Times New Roman" w:cs="Times New Roman"/>
        </w:rPr>
        <w:t xml:space="preserve">vaak </w:t>
      </w:r>
      <w:r>
        <w:rPr>
          <w:rFonts w:ascii="Times New Roman" w:hAnsi="Times New Roman" w:cs="Times New Roman"/>
        </w:rPr>
        <w:t>ten grondslag geleden a</w:t>
      </w:r>
      <w:r w:rsidRPr="005A7C48">
        <w:rPr>
          <w:rFonts w:ascii="Times New Roman" w:hAnsi="Times New Roman" w:cs="Times New Roman"/>
        </w:rPr>
        <w:t>an omvangrijke migraties (zoals tussen Turkije en Marokko en West-Europa</w:t>
      </w:r>
      <w:r>
        <w:rPr>
          <w:rFonts w:ascii="Times New Roman" w:hAnsi="Times New Roman" w:cs="Times New Roman"/>
        </w:rPr>
        <w:t xml:space="preserve">, en </w:t>
      </w:r>
      <w:r w:rsidRPr="00E6749B">
        <w:rPr>
          <w:rFonts w:ascii="Times New Roman" w:hAnsi="Times New Roman" w:cs="Times New Roman"/>
        </w:rPr>
        <w:t>tussen Mexico en de VS</w:t>
      </w:r>
      <w:r w:rsidRPr="005A7C48">
        <w:rPr>
          <w:rFonts w:ascii="Times New Roman" w:hAnsi="Times New Roman" w:cs="Times New Roman"/>
        </w:rPr>
        <w:t xml:space="preserve">) ook al hebben die later hun eigen dynamiek gekregen. Welvarende economieën hebben dan ook structureel hogere immigratieniveaus dan armere economieën. Er is dan ook sprake van een duidelijk lineair verband </w:t>
      </w:r>
      <w:r>
        <w:rPr>
          <w:rFonts w:ascii="Times New Roman" w:hAnsi="Times New Roman" w:cs="Times New Roman"/>
        </w:rPr>
        <w:t>(zie grafiek).</w:t>
      </w:r>
    </w:p>
    <w:p w:rsidR="00EF2415" w:rsidP="00EF2415" w:rsidRDefault="00EF2415">
      <w:pPr>
        <w:tabs>
          <w:tab w:val="num" w:pos="720"/>
        </w:tabs>
        <w:rPr>
          <w:rFonts w:ascii="Times New Roman" w:hAnsi="Times New Roman" w:cs="Times New Roman"/>
        </w:rPr>
      </w:pPr>
    </w:p>
    <w:p w:rsidR="00CF5B91" w:rsidP="00EF2415" w:rsidRDefault="00CF5B91">
      <w:pPr>
        <w:tabs>
          <w:tab w:val="num" w:pos="720"/>
        </w:tabs>
        <w:rPr>
          <w:rFonts w:ascii="Times New Roman" w:hAnsi="Times New Roman" w:cs="Times New Roman"/>
          <w:b/>
          <w:sz w:val="22"/>
        </w:rPr>
      </w:pPr>
    </w:p>
    <w:p w:rsidR="00CF5B91" w:rsidP="00EF2415" w:rsidRDefault="00CF5B91">
      <w:pPr>
        <w:tabs>
          <w:tab w:val="num" w:pos="720"/>
        </w:tabs>
        <w:rPr>
          <w:rFonts w:ascii="Times New Roman" w:hAnsi="Times New Roman" w:cs="Times New Roman"/>
          <w:b/>
          <w:sz w:val="22"/>
        </w:rPr>
      </w:pPr>
    </w:p>
    <w:p w:rsidR="00CF5B91" w:rsidP="00EF2415" w:rsidRDefault="00CF5B91">
      <w:pPr>
        <w:tabs>
          <w:tab w:val="num" w:pos="720"/>
        </w:tabs>
        <w:rPr>
          <w:rFonts w:ascii="Times New Roman" w:hAnsi="Times New Roman" w:cs="Times New Roman"/>
          <w:b/>
          <w:sz w:val="22"/>
        </w:rPr>
      </w:pPr>
    </w:p>
    <w:p w:rsidR="00CF5B91" w:rsidP="00EF2415" w:rsidRDefault="00CF5B91">
      <w:pPr>
        <w:tabs>
          <w:tab w:val="num" w:pos="720"/>
        </w:tabs>
        <w:rPr>
          <w:rFonts w:ascii="Times New Roman" w:hAnsi="Times New Roman" w:cs="Times New Roman"/>
          <w:b/>
          <w:sz w:val="22"/>
        </w:rPr>
      </w:pPr>
    </w:p>
    <w:p w:rsidR="00CF5B91" w:rsidP="00EF2415" w:rsidRDefault="00CF5B91">
      <w:pPr>
        <w:tabs>
          <w:tab w:val="num" w:pos="720"/>
        </w:tabs>
        <w:rPr>
          <w:rFonts w:ascii="Times New Roman" w:hAnsi="Times New Roman" w:cs="Times New Roman"/>
          <w:b/>
          <w:sz w:val="22"/>
        </w:rPr>
      </w:pPr>
    </w:p>
    <w:p w:rsidR="00CF5B91" w:rsidP="00EF2415" w:rsidRDefault="00CF5B91">
      <w:pPr>
        <w:tabs>
          <w:tab w:val="num" w:pos="720"/>
        </w:tabs>
        <w:rPr>
          <w:rFonts w:ascii="Times New Roman" w:hAnsi="Times New Roman" w:cs="Times New Roman"/>
          <w:b/>
          <w:sz w:val="22"/>
        </w:rPr>
      </w:pPr>
    </w:p>
    <w:p w:rsidR="00CF5B91" w:rsidP="00EF2415" w:rsidRDefault="00CF5B91">
      <w:pPr>
        <w:tabs>
          <w:tab w:val="num" w:pos="720"/>
        </w:tabs>
        <w:rPr>
          <w:rFonts w:ascii="Times New Roman" w:hAnsi="Times New Roman" w:cs="Times New Roman"/>
          <w:b/>
          <w:sz w:val="22"/>
        </w:rPr>
      </w:pPr>
    </w:p>
    <w:p w:rsidR="00CF5B91" w:rsidP="00EF2415" w:rsidRDefault="00CF5B91">
      <w:pPr>
        <w:tabs>
          <w:tab w:val="num" w:pos="720"/>
        </w:tabs>
        <w:rPr>
          <w:rFonts w:ascii="Times New Roman" w:hAnsi="Times New Roman" w:cs="Times New Roman"/>
          <w:b/>
          <w:sz w:val="22"/>
        </w:rPr>
      </w:pPr>
    </w:p>
    <w:p w:rsidR="00CF5B91" w:rsidP="00EF2415" w:rsidRDefault="00CF5B91">
      <w:pPr>
        <w:tabs>
          <w:tab w:val="num" w:pos="720"/>
        </w:tabs>
        <w:rPr>
          <w:rFonts w:ascii="Times New Roman" w:hAnsi="Times New Roman" w:cs="Times New Roman"/>
          <w:b/>
          <w:sz w:val="22"/>
        </w:rPr>
      </w:pPr>
    </w:p>
    <w:p w:rsidR="00CF5B91" w:rsidP="00EF2415" w:rsidRDefault="00CF5B91">
      <w:pPr>
        <w:tabs>
          <w:tab w:val="num" w:pos="720"/>
        </w:tabs>
        <w:rPr>
          <w:rFonts w:ascii="Times New Roman" w:hAnsi="Times New Roman" w:cs="Times New Roman"/>
          <w:b/>
          <w:sz w:val="22"/>
        </w:rPr>
      </w:pPr>
    </w:p>
    <w:p w:rsidR="00CF5B91" w:rsidP="00EF2415" w:rsidRDefault="00CF5B91">
      <w:pPr>
        <w:tabs>
          <w:tab w:val="num" w:pos="720"/>
        </w:tabs>
        <w:rPr>
          <w:rFonts w:ascii="Times New Roman" w:hAnsi="Times New Roman" w:cs="Times New Roman"/>
          <w:b/>
          <w:sz w:val="22"/>
        </w:rPr>
      </w:pPr>
    </w:p>
    <w:p w:rsidRPr="00CF1380" w:rsidR="00EF2415" w:rsidP="00EF2415" w:rsidRDefault="00EF2415">
      <w:pPr>
        <w:tabs>
          <w:tab w:val="num" w:pos="720"/>
        </w:tabs>
        <w:rPr>
          <w:rFonts w:ascii="Times New Roman" w:hAnsi="Times New Roman" w:cs="Times New Roman"/>
          <w:sz w:val="22"/>
        </w:rPr>
      </w:pPr>
      <w:r w:rsidRPr="00CF1380">
        <w:rPr>
          <w:rFonts w:ascii="Times New Roman" w:hAnsi="Times New Roman" w:cs="Times New Roman"/>
          <w:b/>
          <w:sz w:val="22"/>
        </w:rPr>
        <w:lastRenderedPageBreak/>
        <w:t xml:space="preserve">Grafiek 2. </w:t>
      </w:r>
      <w:r w:rsidRPr="00CF1380">
        <w:rPr>
          <w:rFonts w:ascii="Times New Roman" w:hAnsi="Times New Roman" w:cs="Times New Roman"/>
          <w:b/>
          <w:i/>
          <w:sz w:val="22"/>
        </w:rPr>
        <w:t>Economische groei en migratiesaldo in Nederland</w:t>
      </w:r>
      <w:r>
        <w:rPr>
          <w:rStyle w:val="Eindnootmarkering"/>
          <w:rFonts w:ascii="Times New Roman" w:hAnsi="Times New Roman" w:cs="Times New Roman"/>
          <w:b/>
          <w:i/>
          <w:sz w:val="22"/>
        </w:rPr>
        <w:endnoteReference w:id="21"/>
      </w:r>
    </w:p>
    <w:p w:rsidRPr="005A7C48" w:rsidR="00EF2415" w:rsidP="00EF2415" w:rsidRDefault="00EF2415">
      <w:pPr>
        <w:tabs>
          <w:tab w:val="num" w:pos="720"/>
        </w:tabs>
        <w:rPr>
          <w:rFonts w:ascii="Times New Roman" w:hAnsi="Times New Roman" w:cs="Times New Roman"/>
        </w:rPr>
      </w:pPr>
      <w:r>
        <w:rPr>
          <w:noProof/>
          <w:lang w:eastAsia="nl-NL"/>
        </w:rPr>
        <w:drawing>
          <wp:inline distT="0" distB="0" distL="0" distR="0" wp14:anchorId="3470BB10" wp14:editId="63C52549">
            <wp:extent cx="4614531" cy="2636875"/>
            <wp:effectExtent l="0" t="0" r="8890" b="17780"/>
            <wp:docPr id="1" name="Chart 5">
              <a:extLst xmlns:a="http://schemas.openxmlformats.org/drawingml/2006/main">
                <a:ext uri="{FF2B5EF4-FFF2-40B4-BE49-F238E27FC236}">
                  <a16:creationId xmlns:a16="http://schemas.microsoft.com/office/drawing/2014/main" id="{B7306CBE-7206-6E4C-8202-F3B9B2F79B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F2415" w:rsidP="00EF2415" w:rsidRDefault="00EF2415">
      <w:pPr>
        <w:tabs>
          <w:tab w:val="num" w:pos="720"/>
        </w:tabs>
        <w:rPr>
          <w:rFonts w:ascii="Times New Roman" w:hAnsi="Times New Roman" w:cs="Times New Roman"/>
        </w:rPr>
      </w:pPr>
    </w:p>
    <w:p w:rsidRPr="005A7C48" w:rsidR="00EF2415" w:rsidP="00EF2415" w:rsidRDefault="00EF2415">
      <w:pPr>
        <w:tabs>
          <w:tab w:val="num" w:pos="720"/>
        </w:tabs>
        <w:rPr>
          <w:rFonts w:ascii="Times New Roman" w:hAnsi="Times New Roman" w:cs="Times New Roman"/>
        </w:rPr>
      </w:pPr>
      <w:r w:rsidRPr="005A7C48">
        <w:rPr>
          <w:rFonts w:ascii="Times New Roman" w:hAnsi="Times New Roman" w:cs="Times New Roman"/>
        </w:rPr>
        <w:t xml:space="preserve">Daarnaast lijken open economieën en flexibele arbeidsmarkten (zoals in de VS, VK en ook Nederland) meer immigranten aan te trekken dan meer gesloten economieën en strakker gereguleerde arbeidsmarkten (zoals in Japan en Korea). Deregulering geeft meer slagkracht aan wervers en uitzendbureaus om zowel lager </w:t>
      </w:r>
      <w:r>
        <w:rPr>
          <w:rFonts w:ascii="Times New Roman" w:hAnsi="Times New Roman" w:cs="Times New Roman"/>
        </w:rPr>
        <w:t>als</w:t>
      </w:r>
      <w:r w:rsidRPr="005A7C48">
        <w:rPr>
          <w:rFonts w:ascii="Times New Roman" w:hAnsi="Times New Roman" w:cs="Times New Roman"/>
        </w:rPr>
        <w:t xml:space="preserve"> hoger geschoold personeel te werven. Daarnaast bestaat er in veel landen met een zwakke verzorgingsstaat en relatief grote informele sectoren</w:t>
      </w:r>
      <w:r>
        <w:rPr>
          <w:rFonts w:ascii="Times New Roman" w:hAnsi="Times New Roman" w:cs="Times New Roman"/>
        </w:rPr>
        <w:t>,</w:t>
      </w:r>
      <w:r w:rsidRPr="00F35769">
        <w:rPr>
          <w:rFonts w:ascii="Times New Roman" w:hAnsi="Times New Roman" w:cs="Times New Roman"/>
        </w:rPr>
        <w:t xml:space="preserve"> </w:t>
      </w:r>
      <w:r w:rsidRPr="00440B6B">
        <w:rPr>
          <w:rFonts w:ascii="Times New Roman" w:hAnsi="Times New Roman" w:cs="Times New Roman"/>
        </w:rPr>
        <w:t>zoals in Zuid-Europa</w:t>
      </w:r>
      <w:r>
        <w:rPr>
          <w:rFonts w:ascii="Times New Roman" w:hAnsi="Times New Roman" w:cs="Times New Roman"/>
        </w:rPr>
        <w:t xml:space="preserve">, </w:t>
      </w:r>
      <w:r w:rsidRPr="005A7C48">
        <w:rPr>
          <w:rFonts w:ascii="Times New Roman" w:hAnsi="Times New Roman" w:cs="Times New Roman"/>
        </w:rPr>
        <w:t xml:space="preserve">een hogere acceptatie en </w:t>
      </w:r>
      <w:r>
        <w:rPr>
          <w:rFonts w:ascii="Times New Roman" w:hAnsi="Times New Roman" w:cs="Times New Roman"/>
        </w:rPr>
        <w:t xml:space="preserve">meer </w:t>
      </w:r>
      <w:r w:rsidRPr="005A7C48">
        <w:rPr>
          <w:rFonts w:ascii="Times New Roman" w:hAnsi="Times New Roman" w:cs="Times New Roman"/>
        </w:rPr>
        <w:t>begrip voor de tewerkstelling van reguliere en irreguliere migranten in zorg- en huishoudelijke beroepen als ouderen-, kinder- en ziekenzorg.</w:t>
      </w:r>
      <w:r w:rsidRPr="005A7C48">
        <w:rPr>
          <w:rStyle w:val="Eindnootmarkering"/>
          <w:rFonts w:ascii="Times New Roman" w:hAnsi="Times New Roman" w:cs="Times New Roman"/>
        </w:rPr>
        <w:endnoteReference w:id="22"/>
      </w:r>
      <w:r w:rsidRPr="005A7C48">
        <w:rPr>
          <w:rFonts w:ascii="Times New Roman" w:hAnsi="Times New Roman" w:cs="Times New Roman"/>
        </w:rPr>
        <w:t xml:space="preserve"> </w:t>
      </w:r>
    </w:p>
    <w:p w:rsidRPr="005A7C48" w:rsidR="00EF2415" w:rsidP="00EF2415" w:rsidRDefault="00EF2415">
      <w:pPr>
        <w:tabs>
          <w:tab w:val="num" w:pos="720"/>
        </w:tabs>
        <w:rPr>
          <w:rFonts w:ascii="Times New Roman" w:hAnsi="Times New Roman" w:cs="Times New Roman"/>
        </w:rPr>
      </w:pPr>
    </w:p>
    <w:p w:rsidR="00EF2415" w:rsidP="00EF2415" w:rsidRDefault="00EF2415">
      <w:pPr>
        <w:tabs>
          <w:tab w:val="num" w:pos="720"/>
        </w:tabs>
        <w:rPr>
          <w:rFonts w:ascii="Times New Roman" w:hAnsi="Times New Roman" w:cs="Times New Roman"/>
        </w:rPr>
      </w:pPr>
      <w:r w:rsidRPr="005A7C48">
        <w:rPr>
          <w:rFonts w:ascii="Times New Roman" w:hAnsi="Times New Roman" w:cs="Times New Roman"/>
        </w:rPr>
        <w:t>De centrale rol van arbeidsvraag in het aansturen van migratie wordt ook duidelijk uit het zeer nauwe statistische verband tussen fluctuaties in immigratieniveaus en de economische conjunctuur.</w:t>
      </w:r>
      <w:r w:rsidRPr="005A7C48">
        <w:rPr>
          <w:rStyle w:val="Eindnootmarkering"/>
          <w:rFonts w:ascii="Times New Roman" w:hAnsi="Times New Roman" w:cs="Times New Roman"/>
        </w:rPr>
        <w:endnoteReference w:id="23"/>
      </w:r>
      <w:r w:rsidRPr="005A7C48">
        <w:rPr>
          <w:rStyle w:val="Eindnootmarkering"/>
          <w:rFonts w:ascii="Times New Roman" w:hAnsi="Times New Roman" w:cs="Times New Roman"/>
        </w:rPr>
        <w:t>.</w:t>
      </w:r>
      <w:r w:rsidRPr="005A7C48">
        <w:rPr>
          <w:rFonts w:ascii="Times New Roman" w:hAnsi="Times New Roman" w:cs="Times New Roman"/>
        </w:rPr>
        <w:t xml:space="preserve"> Dit nauwe verband doet zich vooral voor onder liberale immigratieregimes waar migranten vrij in en uit kunnen reizen, waarbij meer migranten binnenkomen als de economie goed draait, en ze vaak weer teruggaan als ze hun baan kwijtraken.</w:t>
      </w:r>
      <w:r w:rsidRPr="005A7C48">
        <w:rPr>
          <w:rStyle w:val="Eindnootmarkering"/>
          <w:rFonts w:ascii="Times New Roman" w:hAnsi="Times New Roman" w:cs="Times New Roman"/>
        </w:rPr>
        <w:endnoteReference w:id="24"/>
      </w:r>
      <w:r w:rsidRPr="005A7C48">
        <w:rPr>
          <w:rFonts w:ascii="Times New Roman" w:hAnsi="Times New Roman" w:cs="Times New Roman"/>
        </w:rPr>
        <w:t xml:space="preserve"> </w:t>
      </w:r>
    </w:p>
    <w:p w:rsidR="00CF5B91" w:rsidP="00CF5B91" w:rsidRDefault="00CF5B91">
      <w:pPr>
        <w:pStyle w:val="Tussenkopje"/>
        <w:ind w:left="0"/>
        <w:rPr>
          <w:rFonts w:ascii="Times New Roman" w:hAnsi="Times New Roman" w:cs="Times New Roman"/>
          <w:b w:val="0"/>
          <w:color w:val="auto"/>
          <w:sz w:val="24"/>
          <w:szCs w:val="24"/>
        </w:rPr>
      </w:pPr>
    </w:p>
    <w:p w:rsidRPr="00CF5B91" w:rsidR="00EF2415" w:rsidP="00CF5B91" w:rsidRDefault="00EF2415">
      <w:pPr>
        <w:pStyle w:val="Tussenkopje"/>
        <w:ind w:left="0"/>
        <w:rPr>
          <w:rFonts w:ascii="Times New Roman" w:hAnsi="Times New Roman" w:cs="Times New Roman"/>
          <w:b w:val="0"/>
          <w:i/>
        </w:rPr>
      </w:pPr>
      <w:r w:rsidRPr="00CF5B91">
        <w:rPr>
          <w:i/>
        </w:rPr>
        <w:t>Ontwikkeling in herkomstlanden en de theorie van de ‘migratietransitie’</w:t>
      </w:r>
    </w:p>
    <w:p w:rsidRPr="005A7C48" w:rsidR="00EF2415" w:rsidP="00EF2415" w:rsidRDefault="00EF2415">
      <w:pPr>
        <w:tabs>
          <w:tab w:val="num" w:pos="720"/>
        </w:tabs>
        <w:rPr>
          <w:rFonts w:ascii="Times New Roman" w:hAnsi="Times New Roman" w:cs="Times New Roman"/>
        </w:rPr>
      </w:pPr>
      <w:r w:rsidRPr="005A7C48">
        <w:rPr>
          <w:rFonts w:ascii="Times New Roman" w:hAnsi="Times New Roman" w:cs="Times New Roman"/>
        </w:rPr>
        <w:t>In tegenstelling tot wat vaak wordt verondersteld leidt sociaaleconomische</w:t>
      </w:r>
      <w:r>
        <w:rPr>
          <w:rFonts w:ascii="Times New Roman" w:hAnsi="Times New Roman" w:cs="Times New Roman"/>
        </w:rPr>
        <w:t xml:space="preserve"> ontwikkeling </w:t>
      </w:r>
      <w:r w:rsidRPr="005A7C48">
        <w:rPr>
          <w:rFonts w:ascii="Times New Roman" w:hAnsi="Times New Roman" w:cs="Times New Roman"/>
        </w:rPr>
        <w:t>aanvankelijk tot meer emigratie</w:t>
      </w:r>
      <w:r>
        <w:rPr>
          <w:rFonts w:ascii="Times New Roman" w:hAnsi="Times New Roman" w:cs="Times New Roman"/>
        </w:rPr>
        <w:t>.</w:t>
      </w:r>
      <w:r w:rsidRPr="005A7C48">
        <w:rPr>
          <w:rStyle w:val="Eindnootmarkering"/>
          <w:rFonts w:ascii="Times New Roman" w:hAnsi="Times New Roman" w:cs="Times New Roman"/>
        </w:rPr>
        <w:endnoteReference w:id="25"/>
      </w:r>
      <w:r w:rsidRPr="005A7C48">
        <w:rPr>
          <w:rFonts w:ascii="Times New Roman" w:hAnsi="Times New Roman" w:cs="Times New Roman"/>
        </w:rPr>
        <w:t xml:space="preserve"> Wanneer arme landen rijker worden gaan meer mensen migreren. Dat uit zich vooral in stijgende migratie vanuit plattelandsgebieden naar steden, maar ook in toenemende emigratie. Het verband tussen ontwikkelingsniveaus en emigratie is daarom niet-rechtlijnig. Emigratie blijkt juist het sterkst vanuit middeninkomenslanden als Marokko, Turkije, Mexico en de Filippijnen. </w:t>
      </w:r>
    </w:p>
    <w:p w:rsidR="00EF2415" w:rsidP="00EF2415" w:rsidRDefault="00EF2415">
      <w:pPr>
        <w:tabs>
          <w:tab w:val="num" w:pos="720"/>
        </w:tabs>
        <w:rPr>
          <w:rFonts w:ascii="Times New Roman" w:hAnsi="Times New Roman" w:cs="Times New Roman"/>
        </w:rPr>
      </w:pPr>
    </w:p>
    <w:p w:rsidR="00CF5B91" w:rsidP="00EF2415" w:rsidRDefault="00CF5B91">
      <w:pPr>
        <w:tabs>
          <w:tab w:val="num" w:pos="720"/>
        </w:tabs>
        <w:rPr>
          <w:rFonts w:ascii="Times New Roman" w:hAnsi="Times New Roman" w:cs="Times New Roman"/>
          <w:b/>
          <w:sz w:val="22"/>
        </w:rPr>
      </w:pPr>
    </w:p>
    <w:p w:rsidR="00CF5B91" w:rsidP="00EF2415" w:rsidRDefault="00CF5B91">
      <w:pPr>
        <w:tabs>
          <w:tab w:val="num" w:pos="720"/>
        </w:tabs>
        <w:rPr>
          <w:rFonts w:ascii="Times New Roman" w:hAnsi="Times New Roman" w:cs="Times New Roman"/>
          <w:b/>
          <w:sz w:val="22"/>
        </w:rPr>
      </w:pPr>
    </w:p>
    <w:p w:rsidR="00CF5B91" w:rsidP="00EF2415" w:rsidRDefault="00CF5B91">
      <w:pPr>
        <w:tabs>
          <w:tab w:val="num" w:pos="720"/>
        </w:tabs>
        <w:rPr>
          <w:rFonts w:ascii="Times New Roman" w:hAnsi="Times New Roman" w:cs="Times New Roman"/>
          <w:b/>
          <w:sz w:val="22"/>
        </w:rPr>
      </w:pPr>
    </w:p>
    <w:p w:rsidR="00CF5B91" w:rsidP="00EF2415" w:rsidRDefault="00CF5B91">
      <w:pPr>
        <w:tabs>
          <w:tab w:val="num" w:pos="720"/>
        </w:tabs>
        <w:rPr>
          <w:rFonts w:ascii="Times New Roman" w:hAnsi="Times New Roman" w:cs="Times New Roman"/>
          <w:b/>
          <w:sz w:val="22"/>
        </w:rPr>
      </w:pPr>
    </w:p>
    <w:p w:rsidR="00CF5B91" w:rsidP="00EF2415" w:rsidRDefault="00CF5B91">
      <w:pPr>
        <w:tabs>
          <w:tab w:val="num" w:pos="720"/>
        </w:tabs>
        <w:rPr>
          <w:rFonts w:ascii="Times New Roman" w:hAnsi="Times New Roman" w:cs="Times New Roman"/>
          <w:b/>
          <w:sz w:val="22"/>
        </w:rPr>
      </w:pPr>
    </w:p>
    <w:p w:rsidR="00CF5B91" w:rsidP="00EF2415" w:rsidRDefault="00CF5B91">
      <w:pPr>
        <w:tabs>
          <w:tab w:val="num" w:pos="720"/>
        </w:tabs>
        <w:rPr>
          <w:rFonts w:ascii="Times New Roman" w:hAnsi="Times New Roman" w:cs="Times New Roman"/>
          <w:b/>
          <w:sz w:val="22"/>
        </w:rPr>
      </w:pPr>
    </w:p>
    <w:p w:rsidRPr="00A43861" w:rsidR="00EF2415" w:rsidP="00EF2415" w:rsidRDefault="00EF2415">
      <w:pPr>
        <w:tabs>
          <w:tab w:val="num" w:pos="720"/>
        </w:tabs>
        <w:rPr>
          <w:rFonts w:ascii="Times New Roman" w:hAnsi="Times New Roman" w:cs="Times New Roman"/>
          <w:sz w:val="22"/>
        </w:rPr>
      </w:pPr>
      <w:r w:rsidRPr="00CF1380">
        <w:rPr>
          <w:rFonts w:ascii="Times New Roman" w:hAnsi="Times New Roman" w:cs="Times New Roman"/>
          <w:b/>
          <w:sz w:val="22"/>
        </w:rPr>
        <w:lastRenderedPageBreak/>
        <w:t xml:space="preserve">Grafiek </w:t>
      </w:r>
      <w:r>
        <w:rPr>
          <w:rFonts w:ascii="Times New Roman" w:hAnsi="Times New Roman" w:cs="Times New Roman"/>
          <w:b/>
          <w:sz w:val="22"/>
        </w:rPr>
        <w:t>3</w:t>
      </w:r>
      <w:r w:rsidRPr="00CF1380">
        <w:rPr>
          <w:rFonts w:ascii="Times New Roman" w:hAnsi="Times New Roman" w:cs="Times New Roman"/>
          <w:b/>
          <w:sz w:val="22"/>
        </w:rPr>
        <w:t xml:space="preserve">. </w:t>
      </w:r>
      <w:r>
        <w:rPr>
          <w:rFonts w:ascii="Times New Roman" w:hAnsi="Times New Roman" w:cs="Times New Roman"/>
          <w:b/>
          <w:i/>
          <w:sz w:val="22"/>
        </w:rPr>
        <w:t>De migratietransitie: het verband tussen ontwikkelings- en migratieniveaus</w:t>
      </w:r>
      <w:r>
        <w:rPr>
          <w:rStyle w:val="Eindnootmarkering"/>
          <w:rFonts w:ascii="Times New Roman" w:hAnsi="Times New Roman" w:cs="Times New Roman"/>
          <w:b/>
          <w:i/>
          <w:sz w:val="22"/>
        </w:rPr>
        <w:endnoteReference w:id="26"/>
      </w:r>
    </w:p>
    <w:p w:rsidRPr="005A7C48" w:rsidR="00EF2415" w:rsidP="00EF2415" w:rsidRDefault="00EF2415">
      <w:pPr>
        <w:tabs>
          <w:tab w:val="num" w:pos="720"/>
        </w:tabs>
        <w:rPr>
          <w:rFonts w:ascii="Times New Roman" w:hAnsi="Times New Roman" w:cs="Times New Roman"/>
        </w:rPr>
      </w:pPr>
      <w:r w:rsidRPr="005A7C48">
        <w:rPr>
          <w:rFonts w:ascii="Times New Roman" w:hAnsi="Times New Roman" w:cs="Times New Roman"/>
          <w:noProof/>
          <w:lang w:eastAsia="nl-NL"/>
        </w:rPr>
        <w:drawing>
          <wp:inline distT="0" distB="0" distL="0" distR="0" wp14:anchorId="1D343E82" wp14:editId="784EC4A9">
            <wp:extent cx="4402652" cy="2509284"/>
            <wp:effectExtent l="12700" t="12700" r="17145" b="18415"/>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7163" cy="2534653"/>
                    </a:xfrm>
                    <a:prstGeom prst="rect">
                      <a:avLst/>
                    </a:prstGeom>
                    <a:noFill/>
                    <a:ln>
                      <a:solidFill>
                        <a:schemeClr val="accent1"/>
                      </a:solidFill>
                    </a:ln>
                  </pic:spPr>
                </pic:pic>
              </a:graphicData>
            </a:graphic>
          </wp:inline>
        </w:drawing>
      </w:r>
    </w:p>
    <w:p w:rsidRPr="005A7C48" w:rsidR="00EF2415" w:rsidP="00EF2415" w:rsidRDefault="00EF2415">
      <w:pPr>
        <w:tabs>
          <w:tab w:val="num" w:pos="720"/>
        </w:tabs>
        <w:rPr>
          <w:rFonts w:ascii="Times New Roman" w:hAnsi="Times New Roman" w:cs="Times New Roman"/>
        </w:rPr>
      </w:pPr>
    </w:p>
    <w:p w:rsidRPr="005A7C48" w:rsidR="00EF2415" w:rsidP="00EF2415" w:rsidRDefault="00EF2415">
      <w:pPr>
        <w:tabs>
          <w:tab w:val="num" w:pos="720"/>
        </w:tabs>
        <w:rPr>
          <w:rFonts w:ascii="Times New Roman" w:hAnsi="Times New Roman" w:cs="Times New Roman"/>
        </w:rPr>
      </w:pPr>
      <w:r w:rsidRPr="005A7C48">
        <w:rPr>
          <w:rFonts w:ascii="Times New Roman" w:hAnsi="Times New Roman" w:cs="Times New Roman"/>
        </w:rPr>
        <w:t>Dit kromlijnige verband laat zich tamelijk eenvoudig uitleggen. In de eerste plaats gaat migratie gepaard met aanzienlijke kosten en risico’s. Hierdoor is migratie veelal niet weggelegd voor de allerarmsten. Naast deze zogeheten migratie</w:t>
      </w:r>
      <w:r w:rsidRPr="005A7C48">
        <w:rPr>
          <w:rFonts w:ascii="Times New Roman" w:hAnsi="Times New Roman" w:cs="Times New Roman"/>
          <w:i/>
        </w:rPr>
        <w:t>capaciteiten</w:t>
      </w:r>
      <w:r w:rsidRPr="005A7C48">
        <w:rPr>
          <w:rFonts w:ascii="Times New Roman" w:hAnsi="Times New Roman" w:cs="Times New Roman"/>
        </w:rPr>
        <w:t xml:space="preserve"> zijn voor migratie ook migratie</w:t>
      </w:r>
      <w:r w:rsidRPr="005A7C48">
        <w:rPr>
          <w:rFonts w:ascii="Times New Roman" w:hAnsi="Times New Roman" w:cs="Times New Roman"/>
          <w:i/>
        </w:rPr>
        <w:t>aspiraties</w:t>
      </w:r>
      <w:r w:rsidRPr="005A7C48">
        <w:rPr>
          <w:rFonts w:ascii="Times New Roman" w:hAnsi="Times New Roman" w:cs="Times New Roman"/>
        </w:rPr>
        <w:t xml:space="preserve"> nodig. Ook aspiraties hebben de neiging toe te nemen met </w:t>
      </w:r>
      <w:r>
        <w:rPr>
          <w:rFonts w:ascii="Times New Roman" w:hAnsi="Times New Roman" w:cs="Times New Roman"/>
        </w:rPr>
        <w:t xml:space="preserve">de </w:t>
      </w:r>
      <w:r w:rsidRPr="005A7C48">
        <w:rPr>
          <w:rFonts w:ascii="Times New Roman" w:hAnsi="Times New Roman" w:cs="Times New Roman"/>
        </w:rPr>
        <w:t xml:space="preserve">ontwikkeling </w:t>
      </w:r>
      <w:r>
        <w:rPr>
          <w:rFonts w:ascii="Times New Roman" w:hAnsi="Times New Roman" w:cs="Times New Roman"/>
        </w:rPr>
        <w:t xml:space="preserve">van een land </w:t>
      </w:r>
      <w:r w:rsidRPr="005A7C48">
        <w:rPr>
          <w:rFonts w:ascii="Times New Roman" w:hAnsi="Times New Roman" w:cs="Times New Roman"/>
        </w:rPr>
        <w:t xml:space="preserve">en de daarmee gepaarde </w:t>
      </w:r>
      <w:r>
        <w:rPr>
          <w:rFonts w:ascii="Times New Roman" w:hAnsi="Times New Roman" w:cs="Times New Roman"/>
        </w:rPr>
        <w:t>stijgende</w:t>
      </w:r>
      <w:r w:rsidRPr="005A7C48">
        <w:rPr>
          <w:rFonts w:ascii="Times New Roman" w:hAnsi="Times New Roman" w:cs="Times New Roman"/>
        </w:rPr>
        <w:t xml:space="preserve"> onderwijsniveaus, toegang tot media en individualisering. Met name onderwijs heeft een sterk aspiratie- en migratieverhogend effect.</w:t>
      </w:r>
      <w:r w:rsidRPr="005A7C48">
        <w:rPr>
          <w:rStyle w:val="Eindnootmarkering"/>
          <w:rFonts w:ascii="Times New Roman" w:hAnsi="Times New Roman" w:cs="Times New Roman"/>
        </w:rPr>
        <w:endnoteReference w:id="27"/>
      </w:r>
      <w:r w:rsidRPr="005A7C48">
        <w:rPr>
          <w:rFonts w:ascii="Times New Roman" w:hAnsi="Times New Roman" w:cs="Times New Roman"/>
        </w:rPr>
        <w:t xml:space="preserve"> Daarnaast leidt mechanisering van landbouw en schaalvergroting tot een uitstoot van arbeidskrachten van</w:t>
      </w:r>
      <w:r>
        <w:rPr>
          <w:rFonts w:ascii="Times New Roman" w:hAnsi="Times New Roman" w:cs="Times New Roman"/>
        </w:rPr>
        <w:t>af</w:t>
      </w:r>
      <w:r w:rsidRPr="005A7C48">
        <w:rPr>
          <w:rFonts w:ascii="Times New Roman" w:hAnsi="Times New Roman" w:cs="Times New Roman"/>
        </w:rPr>
        <w:t xml:space="preserve"> het platteland</w:t>
      </w:r>
    </w:p>
    <w:p w:rsidRPr="005A7C48" w:rsidR="00EF2415" w:rsidP="00EF2415" w:rsidRDefault="00EF2415">
      <w:pPr>
        <w:tabs>
          <w:tab w:val="num" w:pos="720"/>
        </w:tabs>
        <w:rPr>
          <w:rFonts w:ascii="Times New Roman" w:hAnsi="Times New Roman" w:cs="Times New Roman"/>
        </w:rPr>
      </w:pPr>
    </w:p>
    <w:p w:rsidRPr="005A7C48" w:rsidR="00EF2415" w:rsidP="00EF2415" w:rsidRDefault="00EF2415">
      <w:pPr>
        <w:tabs>
          <w:tab w:val="num" w:pos="720"/>
        </w:tabs>
        <w:rPr>
          <w:rFonts w:ascii="Times New Roman" w:hAnsi="Times New Roman" w:cs="Times New Roman"/>
        </w:rPr>
      </w:pPr>
      <w:r w:rsidRPr="005A7C48">
        <w:rPr>
          <w:rFonts w:ascii="Times New Roman" w:hAnsi="Times New Roman" w:cs="Times New Roman"/>
        </w:rPr>
        <w:t xml:space="preserve">Omdat migratie alleen een optie </w:t>
      </w:r>
      <w:r>
        <w:rPr>
          <w:rFonts w:ascii="Times New Roman" w:hAnsi="Times New Roman" w:cs="Times New Roman"/>
        </w:rPr>
        <w:t xml:space="preserve">is </w:t>
      </w:r>
      <w:r w:rsidRPr="005A7C48">
        <w:rPr>
          <w:rFonts w:ascii="Times New Roman" w:hAnsi="Times New Roman" w:cs="Times New Roman"/>
        </w:rPr>
        <w:t xml:space="preserve">voor mensen </w:t>
      </w:r>
      <w:r>
        <w:rPr>
          <w:rFonts w:ascii="Times New Roman" w:hAnsi="Times New Roman" w:cs="Times New Roman"/>
        </w:rPr>
        <w:t xml:space="preserve">die </w:t>
      </w:r>
      <w:r w:rsidRPr="005A7C48">
        <w:rPr>
          <w:rFonts w:ascii="Times New Roman" w:hAnsi="Times New Roman" w:cs="Times New Roman"/>
        </w:rPr>
        <w:t xml:space="preserve">over voldoende financiële middelen, diploma’s, kennis en contacten beschikken, is </w:t>
      </w:r>
      <w:r>
        <w:rPr>
          <w:rFonts w:ascii="Times New Roman" w:hAnsi="Times New Roman" w:cs="Times New Roman"/>
        </w:rPr>
        <w:t>het</w:t>
      </w:r>
      <w:r w:rsidRPr="005A7C48">
        <w:rPr>
          <w:rFonts w:ascii="Times New Roman" w:hAnsi="Times New Roman" w:cs="Times New Roman"/>
        </w:rPr>
        <w:t xml:space="preserve"> geen toeval dat juist middeninkomenslanden prominente emigratielanden zijn. Pas als landen nog rijker worden heeft emigratie de neiging af te nemen – dit lijkt nu aan de hand in </w:t>
      </w:r>
      <w:r>
        <w:rPr>
          <w:rFonts w:ascii="Times New Roman" w:hAnsi="Times New Roman" w:cs="Times New Roman"/>
        </w:rPr>
        <w:t xml:space="preserve">bijvoorbeeld </w:t>
      </w:r>
      <w:r w:rsidRPr="005A7C48">
        <w:rPr>
          <w:rFonts w:ascii="Times New Roman" w:hAnsi="Times New Roman" w:cs="Times New Roman"/>
        </w:rPr>
        <w:t>Mexico en Turkije. Dergelijke migratietransities hebben zich de afgelopen eeuw in Europa voltrokken en zijn nu in volle gang in veel ontwikkelingslanden</w:t>
      </w:r>
      <w:r>
        <w:rPr>
          <w:rFonts w:ascii="Times New Roman" w:hAnsi="Times New Roman" w:cs="Times New Roman"/>
        </w:rPr>
        <w:t>.</w:t>
      </w:r>
      <w:r w:rsidRPr="005A7C48">
        <w:rPr>
          <w:rStyle w:val="Eindnootmarkering"/>
          <w:rFonts w:ascii="Times New Roman" w:hAnsi="Times New Roman" w:cs="Times New Roman"/>
        </w:rPr>
        <w:endnoteReference w:id="28"/>
      </w:r>
      <w:r w:rsidRPr="005A7C48">
        <w:rPr>
          <w:rFonts w:ascii="Times New Roman" w:hAnsi="Times New Roman" w:cs="Times New Roman"/>
        </w:rPr>
        <w:t xml:space="preserve"> Migratietransities zijn langetermijnprocessen die zich minimaal over meerdere generaties voltrek</w:t>
      </w:r>
      <w:r>
        <w:rPr>
          <w:rFonts w:ascii="Times New Roman" w:hAnsi="Times New Roman" w:cs="Times New Roman"/>
        </w:rPr>
        <w:t>ken</w:t>
      </w:r>
      <w:r w:rsidRPr="005A7C48">
        <w:rPr>
          <w:rFonts w:ascii="Times New Roman" w:hAnsi="Times New Roman" w:cs="Times New Roman"/>
        </w:rPr>
        <w:t xml:space="preserve">. Het transitiemodel is inmiddels door verschillende </w:t>
      </w:r>
      <w:r>
        <w:rPr>
          <w:rFonts w:ascii="Times New Roman" w:hAnsi="Times New Roman" w:cs="Times New Roman"/>
        </w:rPr>
        <w:t>multivariate</w:t>
      </w:r>
      <w:r>
        <w:rPr>
          <w:rStyle w:val="Eindnootmarkering"/>
          <w:rFonts w:ascii="Times New Roman" w:hAnsi="Times New Roman" w:cs="Times New Roman"/>
        </w:rPr>
        <w:endnoteReference w:id="29"/>
      </w:r>
      <w:r w:rsidRPr="005A7C48">
        <w:rPr>
          <w:rFonts w:ascii="Times New Roman" w:hAnsi="Times New Roman" w:cs="Times New Roman"/>
        </w:rPr>
        <w:t xml:space="preserve"> studies aangetoond.</w:t>
      </w:r>
      <w:r w:rsidRPr="005A7C48">
        <w:rPr>
          <w:rStyle w:val="Eindnootmarkering"/>
          <w:rFonts w:ascii="Times New Roman" w:hAnsi="Times New Roman" w:cs="Times New Roman"/>
        </w:rPr>
        <w:endnoteReference w:id="30"/>
      </w:r>
      <w:r w:rsidRPr="005A7C48">
        <w:rPr>
          <w:rFonts w:ascii="Times New Roman" w:hAnsi="Times New Roman" w:cs="Times New Roman"/>
        </w:rPr>
        <w:t xml:space="preserve"> </w:t>
      </w:r>
    </w:p>
    <w:p w:rsidRPr="005A7C48" w:rsidR="00EF2415" w:rsidP="00EF2415" w:rsidRDefault="00EF2415">
      <w:pPr>
        <w:tabs>
          <w:tab w:val="num" w:pos="720"/>
        </w:tabs>
        <w:rPr>
          <w:rFonts w:ascii="Times New Roman" w:hAnsi="Times New Roman" w:cs="Times New Roman"/>
        </w:rPr>
      </w:pPr>
    </w:p>
    <w:p w:rsidRPr="005A7C48" w:rsidR="00EF2415" w:rsidP="00EF2415" w:rsidRDefault="00EF2415">
      <w:pPr>
        <w:tabs>
          <w:tab w:val="num" w:pos="720"/>
        </w:tabs>
        <w:rPr>
          <w:rFonts w:ascii="Times New Roman" w:hAnsi="Times New Roman" w:cs="Times New Roman"/>
        </w:rPr>
      </w:pPr>
      <w:r w:rsidRPr="005A7C48">
        <w:rPr>
          <w:rFonts w:ascii="Times New Roman" w:hAnsi="Times New Roman" w:cs="Times New Roman"/>
        </w:rPr>
        <w:t>Uiteraard zijn er verschillen in emigratiepatronen tussen landen met vergelijkbare ontwikkelingsniveaus. Zo gene</w:t>
      </w:r>
      <w:r>
        <w:rPr>
          <w:rFonts w:ascii="Times New Roman" w:hAnsi="Times New Roman" w:cs="Times New Roman"/>
        </w:rPr>
        <w:t>re</w:t>
      </w:r>
      <w:r w:rsidRPr="005A7C48">
        <w:rPr>
          <w:rFonts w:ascii="Times New Roman" w:hAnsi="Times New Roman" w:cs="Times New Roman"/>
        </w:rPr>
        <w:t>ren kleine landen relatief meer emigratie dan grotere</w:t>
      </w:r>
      <w:r>
        <w:rPr>
          <w:rFonts w:ascii="Times New Roman" w:hAnsi="Times New Roman" w:cs="Times New Roman"/>
        </w:rPr>
        <w:t>,</w:t>
      </w:r>
      <w:r w:rsidRPr="005A7C48">
        <w:rPr>
          <w:rFonts w:ascii="Times New Roman" w:hAnsi="Times New Roman" w:cs="Times New Roman"/>
        </w:rPr>
        <w:t xml:space="preserve"> en </w:t>
      </w:r>
      <w:r>
        <w:rPr>
          <w:rFonts w:ascii="Times New Roman" w:hAnsi="Times New Roman" w:cs="Times New Roman"/>
        </w:rPr>
        <w:t xml:space="preserve">wordt in </w:t>
      </w:r>
      <w:r w:rsidRPr="005A7C48">
        <w:rPr>
          <w:rFonts w:ascii="Times New Roman" w:hAnsi="Times New Roman" w:cs="Times New Roman"/>
        </w:rPr>
        <w:t xml:space="preserve">meer op zichzelf gerichte landen meer naar de grote steden gemigreerd. In tegenstelling tot wat vaak gedacht wordt lijkt er geen direct verband tussen </w:t>
      </w:r>
      <w:r>
        <w:rPr>
          <w:rFonts w:ascii="Times New Roman" w:hAnsi="Times New Roman" w:cs="Times New Roman"/>
        </w:rPr>
        <w:t xml:space="preserve">emigratieniveaus en </w:t>
      </w:r>
      <w:r w:rsidRPr="005A7C48">
        <w:rPr>
          <w:rFonts w:ascii="Times New Roman" w:hAnsi="Times New Roman" w:cs="Times New Roman"/>
        </w:rPr>
        <w:t>bevolkingsgroei of een ‘youth bulge’</w:t>
      </w:r>
      <w:r>
        <w:rPr>
          <w:rFonts w:ascii="Times New Roman" w:hAnsi="Times New Roman" w:cs="Times New Roman"/>
        </w:rPr>
        <w:t>.</w:t>
      </w:r>
      <w:r>
        <w:rPr>
          <w:rStyle w:val="Eindnootmarkering"/>
          <w:rFonts w:ascii="Times New Roman" w:hAnsi="Times New Roman" w:cs="Times New Roman"/>
        </w:rPr>
        <w:endnoteReference w:id="31"/>
      </w:r>
      <w:r w:rsidRPr="005A7C48">
        <w:rPr>
          <w:rFonts w:ascii="Times New Roman" w:hAnsi="Times New Roman" w:cs="Times New Roman"/>
        </w:rPr>
        <w:t xml:space="preserve"> Sterke groei in binnenlandse werkgelegenheid kan binnenlandse ruraal-urbane migratie versnellen en daarom emigratie enigszins afremmen, maar niet in die mate dat dit het transitiemodel logenstraft. </w:t>
      </w:r>
    </w:p>
    <w:p w:rsidRPr="005A7C48" w:rsidR="00EF2415" w:rsidP="00EF2415" w:rsidRDefault="00EF2415">
      <w:pPr>
        <w:tabs>
          <w:tab w:val="num" w:pos="720"/>
        </w:tabs>
        <w:rPr>
          <w:rFonts w:ascii="Times New Roman" w:hAnsi="Times New Roman" w:cs="Times New Roman"/>
        </w:rPr>
      </w:pPr>
    </w:p>
    <w:p w:rsidRPr="005A7C48" w:rsidR="00EF2415" w:rsidP="00EF2415" w:rsidRDefault="00EF2415">
      <w:pPr>
        <w:tabs>
          <w:tab w:val="num" w:pos="720"/>
        </w:tabs>
        <w:rPr>
          <w:rFonts w:ascii="Times New Roman" w:hAnsi="Times New Roman" w:cs="Times New Roman"/>
        </w:rPr>
      </w:pPr>
      <w:r w:rsidRPr="005A7C48">
        <w:rPr>
          <w:rFonts w:ascii="Times New Roman" w:hAnsi="Times New Roman" w:cs="Times New Roman"/>
        </w:rPr>
        <w:t xml:space="preserve">Dit </w:t>
      </w:r>
      <w:r>
        <w:rPr>
          <w:rFonts w:ascii="Times New Roman" w:hAnsi="Times New Roman" w:cs="Times New Roman"/>
        </w:rPr>
        <w:t xml:space="preserve">gegeven </w:t>
      </w:r>
      <w:r w:rsidRPr="005A7C48">
        <w:rPr>
          <w:rFonts w:ascii="Times New Roman" w:hAnsi="Times New Roman" w:cs="Times New Roman"/>
        </w:rPr>
        <w:t>ondergraaft de courante veronderstelling dat migratie met toenemende welvaart zal afnemen. Volgens de voorspellingen van de migratietransitietheorie zal ontwikkeling in lage-inkomenslanden, zoals in sub-Sahara Afrika en Zuid-Azië, waarschijnlijk alleen maar tot meer binnenlandse en buitenlandse migratie leiden. Terwijl de meeste migranten binnen de eigen regio zullen migreren, kan dit ook tot toenemende migratie vanuit die landen naar Europ</w:t>
      </w:r>
      <w:r>
        <w:rPr>
          <w:rFonts w:ascii="Times New Roman" w:hAnsi="Times New Roman" w:cs="Times New Roman"/>
        </w:rPr>
        <w:t>a</w:t>
      </w:r>
      <w:r w:rsidRPr="005A7C48">
        <w:rPr>
          <w:rFonts w:ascii="Times New Roman" w:hAnsi="Times New Roman" w:cs="Times New Roman"/>
        </w:rPr>
        <w:t xml:space="preserve"> leiden</w:t>
      </w:r>
      <w:r>
        <w:rPr>
          <w:rFonts w:ascii="Times New Roman" w:hAnsi="Times New Roman" w:cs="Times New Roman"/>
        </w:rPr>
        <w:t>. I</w:t>
      </w:r>
      <w:r w:rsidRPr="005A7C48">
        <w:rPr>
          <w:rFonts w:ascii="Times New Roman" w:hAnsi="Times New Roman" w:cs="Times New Roman"/>
        </w:rPr>
        <w:t xml:space="preserve">n hoeverre dat gebeurt zal sterk afhangen van </w:t>
      </w:r>
      <w:r>
        <w:rPr>
          <w:rFonts w:ascii="Times New Roman" w:hAnsi="Times New Roman" w:cs="Times New Roman"/>
        </w:rPr>
        <w:t xml:space="preserve">de </w:t>
      </w:r>
      <w:r w:rsidRPr="005A7C48">
        <w:rPr>
          <w:rFonts w:ascii="Times New Roman" w:hAnsi="Times New Roman" w:cs="Times New Roman"/>
        </w:rPr>
        <w:t xml:space="preserve">economische groei en </w:t>
      </w:r>
      <w:r>
        <w:rPr>
          <w:rFonts w:ascii="Times New Roman" w:hAnsi="Times New Roman" w:cs="Times New Roman"/>
        </w:rPr>
        <w:t xml:space="preserve">de </w:t>
      </w:r>
      <w:r w:rsidRPr="005A7C48">
        <w:rPr>
          <w:rFonts w:ascii="Times New Roman" w:hAnsi="Times New Roman" w:cs="Times New Roman"/>
        </w:rPr>
        <w:t>sectorale arbeidsvraag in Europese landen.</w:t>
      </w:r>
    </w:p>
    <w:p w:rsidRPr="00CF5B91" w:rsidR="00EF2415" w:rsidP="00CF5B91" w:rsidRDefault="00EF2415">
      <w:pPr>
        <w:pStyle w:val="Tussenkopje"/>
        <w:ind w:left="0"/>
        <w:rPr>
          <w:i/>
        </w:rPr>
      </w:pPr>
      <w:r w:rsidRPr="00CF5B91">
        <w:rPr>
          <w:i/>
        </w:rPr>
        <w:lastRenderedPageBreak/>
        <w:t>Ongelijkheid, armoede en sociale zekerheid</w:t>
      </w:r>
    </w:p>
    <w:p w:rsidRPr="005A7C48" w:rsidR="00EF2415" w:rsidP="00EF2415" w:rsidRDefault="00EF2415">
      <w:pPr>
        <w:tabs>
          <w:tab w:val="num" w:pos="720"/>
        </w:tabs>
        <w:rPr>
          <w:rFonts w:ascii="Times New Roman" w:hAnsi="Times New Roman" w:cs="Times New Roman"/>
        </w:rPr>
      </w:pPr>
      <w:r w:rsidRPr="005A7C48">
        <w:rPr>
          <w:rFonts w:ascii="Times New Roman" w:hAnsi="Times New Roman" w:cs="Times New Roman"/>
        </w:rPr>
        <w:t>De relatie tussen ongelijkheid, armoede en sociale zekerheid is complexer dan vaak wordt gedacht. Onderzoek toont aan dat inkomensongelijkheid tussen landen op zichzelf geen voldoende of noodzakelijke voorwaarde voor migratie is.</w:t>
      </w:r>
      <w:r w:rsidRPr="005A7C48">
        <w:rPr>
          <w:rStyle w:val="Eindnootmarkering"/>
          <w:rFonts w:ascii="Times New Roman" w:hAnsi="Times New Roman" w:cs="Times New Roman"/>
        </w:rPr>
        <w:endnoteReference w:id="32"/>
      </w:r>
      <w:r w:rsidRPr="005A7C48">
        <w:rPr>
          <w:rFonts w:ascii="Times New Roman" w:hAnsi="Times New Roman" w:cs="Times New Roman"/>
        </w:rPr>
        <w:t xml:space="preserve"> Veel meer dan ongelijkheid tussen landen blijkt ongelijkheid binnen herkomstgemeenschappen een belangrijke migratieoorzaak. Migratie is namelijk vaak onderdeel van familiestrategieën gericht op het verbeteren van het welzijn op langere termijn. Migratie is </w:t>
      </w:r>
      <w:r>
        <w:rPr>
          <w:rFonts w:ascii="Times New Roman" w:hAnsi="Times New Roman" w:cs="Times New Roman"/>
        </w:rPr>
        <w:t>dan</w:t>
      </w:r>
      <w:r w:rsidRPr="005A7C48">
        <w:rPr>
          <w:rFonts w:ascii="Times New Roman" w:hAnsi="Times New Roman" w:cs="Times New Roman"/>
        </w:rPr>
        <w:t xml:space="preserve"> een investering in een betere toekomst, die families in staat stelt hun inkomen te verhogen (via geldzendingen oftewel ‘remittances’), risico’s te spreiden en geld vrij te maken voor investeringen in onderwijs, gezondheidszorg, huisvesting of familieondernemingen.</w:t>
      </w:r>
    </w:p>
    <w:p w:rsidRPr="005A7C48" w:rsidR="00EF2415" w:rsidP="00EF2415" w:rsidRDefault="00EF2415">
      <w:pPr>
        <w:tabs>
          <w:tab w:val="num" w:pos="720"/>
        </w:tabs>
        <w:rPr>
          <w:rFonts w:ascii="Times New Roman" w:hAnsi="Times New Roman" w:cs="Times New Roman"/>
        </w:rPr>
      </w:pPr>
    </w:p>
    <w:p w:rsidRPr="005A7C48" w:rsidR="00EF2415" w:rsidP="00EF2415" w:rsidRDefault="00EF2415">
      <w:pPr>
        <w:tabs>
          <w:tab w:val="num" w:pos="720"/>
        </w:tabs>
        <w:rPr>
          <w:rFonts w:ascii="Times New Roman" w:hAnsi="Times New Roman" w:cs="Times New Roman"/>
        </w:rPr>
      </w:pPr>
      <w:r w:rsidRPr="005A7C48">
        <w:rPr>
          <w:rFonts w:ascii="Times New Roman" w:hAnsi="Times New Roman" w:cs="Times New Roman"/>
        </w:rPr>
        <w:t>In veel opzichten speelt migratie binnen en vanuit ontwikkelingslanden daarom de rol van een sociale</w:t>
      </w:r>
      <w:r>
        <w:rPr>
          <w:rFonts w:ascii="Times New Roman" w:hAnsi="Times New Roman" w:cs="Times New Roman"/>
        </w:rPr>
        <w:t>-</w:t>
      </w:r>
      <w:r w:rsidRPr="005A7C48">
        <w:rPr>
          <w:rFonts w:ascii="Times New Roman" w:hAnsi="Times New Roman" w:cs="Times New Roman"/>
        </w:rPr>
        <w:t xml:space="preserve">verzekeringsstrategie. Er zijn uit empirisch onderzoek aanwijzingen dat uitkeringen en inkomenssteun voor arme gezinnen, goede sociale voorzieningen en een goede publieke gezondheidszorg en </w:t>
      </w:r>
      <w:r>
        <w:rPr>
          <w:rFonts w:ascii="Times New Roman" w:hAnsi="Times New Roman" w:cs="Times New Roman"/>
        </w:rPr>
        <w:t xml:space="preserve">goed </w:t>
      </w:r>
      <w:r w:rsidRPr="005A7C48">
        <w:rPr>
          <w:rFonts w:ascii="Times New Roman" w:hAnsi="Times New Roman" w:cs="Times New Roman"/>
        </w:rPr>
        <w:t>onderwijs de migratieaspiraties van armere gezinnen onder bepaalde omstandigheden kunnen verminderen.</w:t>
      </w:r>
      <w:r w:rsidRPr="005A7C48">
        <w:rPr>
          <w:rStyle w:val="Eindnootmarkering"/>
          <w:rFonts w:ascii="Times New Roman" w:hAnsi="Times New Roman" w:cs="Times New Roman"/>
        </w:rPr>
        <w:endnoteReference w:id="33"/>
      </w:r>
      <w:r w:rsidRPr="005A7C48">
        <w:rPr>
          <w:rFonts w:ascii="Times New Roman" w:hAnsi="Times New Roman" w:cs="Times New Roman"/>
        </w:rPr>
        <w:t xml:space="preserve"> Hierbij moet worden aangetekend dat een betere inkomenspositie en </w:t>
      </w:r>
      <w:r>
        <w:rPr>
          <w:rFonts w:ascii="Times New Roman" w:hAnsi="Times New Roman" w:cs="Times New Roman"/>
        </w:rPr>
        <w:t xml:space="preserve">een </w:t>
      </w:r>
      <w:r w:rsidRPr="005A7C48">
        <w:rPr>
          <w:rFonts w:ascii="Times New Roman" w:hAnsi="Times New Roman" w:cs="Times New Roman"/>
        </w:rPr>
        <w:t xml:space="preserve">hoger onderwijsniveau op langere termijn juist weer tot meer emigratie kunnen leiden. Het gaat dus om een complexe relatie, waarbij effecten op korte- en lange-afstandsmigratie, en de kortere en langere termijn, nogal kunnen verschillen. Terwijl ontwikkeling onherroepelijk tot meer migratie zal leiden, lijken structurele sociaaleconomische hervormingen wel een invloed op de aard en specifieke patronen van migratie hebben. </w:t>
      </w:r>
      <w:r>
        <w:rPr>
          <w:rFonts w:ascii="Times New Roman" w:hAnsi="Times New Roman" w:cs="Times New Roman"/>
        </w:rPr>
        <w:t>O</w:t>
      </w:r>
      <w:r w:rsidRPr="005A7C48">
        <w:rPr>
          <w:rFonts w:ascii="Times New Roman" w:hAnsi="Times New Roman" w:cs="Times New Roman"/>
        </w:rPr>
        <w:t>nderzoek is nodig om de hypothese te testen of landen met lagere niveaus van ongelijkheid en betere sociale voorzieningen lagere niveaus van emigratie gene</w:t>
      </w:r>
      <w:r>
        <w:rPr>
          <w:rFonts w:ascii="Times New Roman" w:hAnsi="Times New Roman" w:cs="Times New Roman"/>
        </w:rPr>
        <w:t>re</w:t>
      </w:r>
      <w:r w:rsidRPr="005A7C48">
        <w:rPr>
          <w:rFonts w:ascii="Times New Roman" w:hAnsi="Times New Roman" w:cs="Times New Roman"/>
        </w:rPr>
        <w:t xml:space="preserve">ren. </w:t>
      </w:r>
    </w:p>
    <w:p w:rsidRPr="005A7C48" w:rsidR="00EF2415" w:rsidP="00EF2415" w:rsidRDefault="00EF2415">
      <w:pPr>
        <w:tabs>
          <w:tab w:val="num" w:pos="720"/>
        </w:tabs>
        <w:rPr>
          <w:rFonts w:ascii="Times New Roman" w:hAnsi="Times New Roman" w:cs="Times New Roman"/>
        </w:rPr>
      </w:pPr>
    </w:p>
    <w:p w:rsidRPr="00CF5B91" w:rsidR="00EF2415" w:rsidP="00CF5B91" w:rsidRDefault="00EF2415">
      <w:pPr>
        <w:pStyle w:val="Tussenkopje"/>
        <w:ind w:left="0"/>
        <w:rPr>
          <w:i/>
        </w:rPr>
      </w:pPr>
      <w:r w:rsidRPr="00CF5B91">
        <w:rPr>
          <w:i/>
        </w:rPr>
        <w:t>Milieu- en klimaatfactoren</w:t>
      </w:r>
    </w:p>
    <w:p w:rsidRPr="005A7C48" w:rsidR="00EF2415" w:rsidP="00EF2415" w:rsidRDefault="00EF2415">
      <w:pPr>
        <w:tabs>
          <w:tab w:val="num" w:pos="720"/>
        </w:tabs>
        <w:rPr>
          <w:rFonts w:ascii="Times New Roman" w:hAnsi="Times New Roman" w:cs="Times New Roman"/>
        </w:rPr>
      </w:pPr>
      <w:r w:rsidRPr="005A7C48">
        <w:rPr>
          <w:rFonts w:ascii="Times New Roman" w:hAnsi="Times New Roman" w:cs="Times New Roman"/>
        </w:rPr>
        <w:t>Voorspellingen over massamigratie van het mondiale ‘</w:t>
      </w:r>
      <w:r>
        <w:rPr>
          <w:rFonts w:ascii="Times New Roman" w:hAnsi="Times New Roman" w:cs="Times New Roman"/>
        </w:rPr>
        <w:t>z</w:t>
      </w:r>
      <w:r w:rsidRPr="005A7C48">
        <w:rPr>
          <w:rFonts w:ascii="Times New Roman" w:hAnsi="Times New Roman" w:cs="Times New Roman"/>
        </w:rPr>
        <w:t>uiden’ naar het mondiale ‘</w:t>
      </w:r>
      <w:r>
        <w:rPr>
          <w:rFonts w:ascii="Times New Roman" w:hAnsi="Times New Roman" w:cs="Times New Roman"/>
        </w:rPr>
        <w:t>n</w:t>
      </w:r>
      <w:r w:rsidRPr="005A7C48">
        <w:rPr>
          <w:rFonts w:ascii="Times New Roman" w:hAnsi="Times New Roman" w:cs="Times New Roman"/>
        </w:rPr>
        <w:t>oorden’ als gevolg</w:t>
      </w:r>
      <w:r>
        <w:rPr>
          <w:rFonts w:ascii="Times New Roman" w:hAnsi="Times New Roman" w:cs="Times New Roman"/>
        </w:rPr>
        <w:t xml:space="preserve"> </w:t>
      </w:r>
      <w:r w:rsidRPr="005A7C48">
        <w:rPr>
          <w:rFonts w:ascii="Times New Roman" w:hAnsi="Times New Roman" w:cs="Times New Roman"/>
        </w:rPr>
        <w:t xml:space="preserve">van klimaatverandering hebben geen wetenschappelijke basis. Milieufactoren kunnen </w:t>
      </w:r>
      <w:r>
        <w:rPr>
          <w:rFonts w:ascii="Times New Roman" w:hAnsi="Times New Roman" w:cs="Times New Roman"/>
        </w:rPr>
        <w:t xml:space="preserve">wel </w:t>
      </w:r>
      <w:r w:rsidRPr="005A7C48">
        <w:rPr>
          <w:rFonts w:ascii="Times New Roman" w:hAnsi="Times New Roman" w:cs="Times New Roman"/>
        </w:rPr>
        <w:t>een belangrijke rol spelen in migratiebeslissingen. Dit geldt in het bijzonder voor pre-industriële, zelfvoorzienende boerengemeenschappen waar een directe afhankelijkheid van weer</w:t>
      </w:r>
      <w:r>
        <w:rPr>
          <w:rFonts w:ascii="Times New Roman" w:hAnsi="Times New Roman" w:cs="Times New Roman"/>
        </w:rPr>
        <w:t>s</w:t>
      </w:r>
      <w:r w:rsidRPr="005A7C48">
        <w:rPr>
          <w:rFonts w:ascii="Times New Roman" w:hAnsi="Times New Roman" w:cs="Times New Roman"/>
        </w:rPr>
        <w:t xml:space="preserve">- en andere milieufactoren bestaat. Migratie in ontwikkelingslanden is juist </w:t>
      </w:r>
      <w:r>
        <w:rPr>
          <w:rFonts w:ascii="Times New Roman" w:hAnsi="Times New Roman" w:cs="Times New Roman"/>
        </w:rPr>
        <w:t xml:space="preserve">om die eenzijdige afhankelijkheid </w:t>
      </w:r>
      <w:r w:rsidRPr="005A7C48">
        <w:rPr>
          <w:rFonts w:ascii="Times New Roman" w:hAnsi="Times New Roman" w:cs="Times New Roman"/>
        </w:rPr>
        <w:t xml:space="preserve">vaak een centrale bestaansstrategie van families. Migratie en mobiliteit </w:t>
      </w:r>
      <w:r>
        <w:rPr>
          <w:rFonts w:ascii="Times New Roman" w:hAnsi="Times New Roman" w:cs="Times New Roman"/>
        </w:rPr>
        <w:t>zijn</w:t>
      </w:r>
      <w:r w:rsidRPr="005A7C48">
        <w:rPr>
          <w:rFonts w:ascii="Times New Roman" w:hAnsi="Times New Roman" w:cs="Times New Roman"/>
        </w:rPr>
        <w:t xml:space="preserve"> bijvoorbeeld sinds lange tijd aanpassingsmechanisme</w:t>
      </w:r>
      <w:r>
        <w:rPr>
          <w:rFonts w:ascii="Times New Roman" w:hAnsi="Times New Roman" w:cs="Times New Roman"/>
        </w:rPr>
        <w:t>s</w:t>
      </w:r>
      <w:r w:rsidRPr="005A7C48">
        <w:rPr>
          <w:rFonts w:ascii="Times New Roman" w:hAnsi="Times New Roman" w:cs="Times New Roman"/>
        </w:rPr>
        <w:t xml:space="preserve"> geweest in contexten van schaarste en risico in droge gebieden in Afrika.</w:t>
      </w:r>
      <w:r w:rsidRPr="005A7C48">
        <w:rPr>
          <w:rStyle w:val="Eindnootmarkering"/>
          <w:rFonts w:ascii="Times New Roman" w:hAnsi="Times New Roman" w:cs="Times New Roman"/>
        </w:rPr>
        <w:endnoteReference w:id="34"/>
      </w:r>
      <w:r w:rsidRPr="005A7C48">
        <w:rPr>
          <w:rFonts w:ascii="Times New Roman" w:hAnsi="Times New Roman" w:cs="Times New Roman"/>
        </w:rPr>
        <w:t xml:space="preserve"> Een cruciaal inzicht is dat armoede tot minder migratie kan leiden omdat de allerarmsten vaak niet </w:t>
      </w:r>
      <w:r>
        <w:rPr>
          <w:rFonts w:ascii="Times New Roman" w:hAnsi="Times New Roman" w:cs="Times New Roman"/>
        </w:rPr>
        <w:t xml:space="preserve">over </w:t>
      </w:r>
      <w:r w:rsidRPr="005A7C48">
        <w:rPr>
          <w:rFonts w:ascii="Times New Roman" w:hAnsi="Times New Roman" w:cs="Times New Roman"/>
        </w:rPr>
        <w:t xml:space="preserve">de </w:t>
      </w:r>
      <w:r>
        <w:rPr>
          <w:rFonts w:ascii="Times New Roman" w:hAnsi="Times New Roman" w:cs="Times New Roman"/>
        </w:rPr>
        <w:t>voor migratie</w:t>
      </w:r>
      <w:r w:rsidRPr="005A7C48">
        <w:rPr>
          <w:rFonts w:ascii="Times New Roman" w:hAnsi="Times New Roman" w:cs="Times New Roman"/>
        </w:rPr>
        <w:t xml:space="preserve"> vereiste middelen beschikken. </w:t>
      </w:r>
    </w:p>
    <w:p w:rsidRPr="005A7C48" w:rsidR="00EF2415" w:rsidP="00EF2415" w:rsidRDefault="00EF2415">
      <w:pPr>
        <w:tabs>
          <w:tab w:val="num" w:pos="720"/>
        </w:tabs>
        <w:rPr>
          <w:rFonts w:ascii="Times New Roman" w:hAnsi="Times New Roman" w:cs="Times New Roman"/>
        </w:rPr>
      </w:pPr>
    </w:p>
    <w:p w:rsidRPr="005A7C48" w:rsidR="00EF2415" w:rsidP="00EF2415" w:rsidRDefault="00EF2415">
      <w:pPr>
        <w:tabs>
          <w:tab w:val="num" w:pos="720"/>
        </w:tabs>
        <w:rPr>
          <w:rFonts w:ascii="Times New Roman" w:hAnsi="Times New Roman" w:cs="Times New Roman"/>
        </w:rPr>
      </w:pPr>
      <w:r w:rsidRPr="005A7C48">
        <w:rPr>
          <w:rFonts w:ascii="Times New Roman" w:hAnsi="Times New Roman" w:cs="Times New Roman"/>
        </w:rPr>
        <w:t>Verarming, bijvoorbeeld door milieudegradatie in rurale gebieden (al dan niet onder invloed van klimaatverandering) kan mensen juist van de mogelijkheid beroven om te migreren, zeker over langere afstanden (binnen landen) of naar buitenlandse bestemmingen.</w:t>
      </w:r>
      <w:r w:rsidRPr="005A7C48">
        <w:rPr>
          <w:rStyle w:val="Eindnootmarkering"/>
          <w:rFonts w:ascii="Times New Roman" w:hAnsi="Times New Roman" w:cs="Times New Roman"/>
        </w:rPr>
        <w:endnoteReference w:id="35"/>
      </w:r>
      <w:r w:rsidRPr="005A7C48">
        <w:rPr>
          <w:rFonts w:ascii="Times New Roman" w:hAnsi="Times New Roman" w:cs="Times New Roman"/>
        </w:rPr>
        <w:t xml:space="preserve"> Onderzoek naar de effecten van droogte op plattelandsmigratie in Afrika laat bijvoorbeeld zien dat misoogsten migratie naar steden juist kan afremmen.</w:t>
      </w:r>
      <w:r w:rsidRPr="005A7C48">
        <w:rPr>
          <w:rStyle w:val="Eindnootmarkering"/>
          <w:rFonts w:ascii="Times New Roman" w:hAnsi="Times New Roman" w:cs="Times New Roman"/>
        </w:rPr>
        <w:endnoteReference w:id="36"/>
      </w:r>
      <w:r w:rsidRPr="005A7C48">
        <w:rPr>
          <w:rFonts w:ascii="Times New Roman" w:hAnsi="Times New Roman" w:cs="Times New Roman"/>
        </w:rPr>
        <w:t xml:space="preserve"> Verder laat onderzoek zien dat de meeste migratie als gevolg van natuurrampen als overstromingen en orkanen meestal tijdelijk is en over korte afstanden plaatsvindt. </w:t>
      </w:r>
    </w:p>
    <w:p w:rsidRPr="005A7C48" w:rsidR="00EF2415" w:rsidP="00EF2415" w:rsidRDefault="00EF2415">
      <w:pPr>
        <w:tabs>
          <w:tab w:val="num" w:pos="720"/>
        </w:tabs>
        <w:rPr>
          <w:rFonts w:ascii="Times New Roman" w:hAnsi="Times New Roman" w:cs="Times New Roman"/>
          <w:b/>
        </w:rPr>
      </w:pPr>
    </w:p>
    <w:p w:rsidR="00CF5B91" w:rsidP="00CF5B91" w:rsidRDefault="00CF5B91">
      <w:pPr>
        <w:pStyle w:val="Tussenkopje"/>
        <w:ind w:left="0"/>
      </w:pPr>
    </w:p>
    <w:p w:rsidR="00CF5B91" w:rsidP="00CF5B91" w:rsidRDefault="00CF5B91">
      <w:pPr>
        <w:pStyle w:val="Tussenkopje"/>
        <w:ind w:left="0"/>
      </w:pPr>
    </w:p>
    <w:p w:rsidR="00CF5B91" w:rsidP="00CF5B91" w:rsidRDefault="00CF5B91">
      <w:pPr>
        <w:pStyle w:val="Tussenkopje"/>
        <w:ind w:left="0"/>
      </w:pPr>
    </w:p>
    <w:p w:rsidRPr="00794ECB" w:rsidR="00EF2415" w:rsidP="00CF5B91" w:rsidRDefault="00EF2415">
      <w:pPr>
        <w:pStyle w:val="Tussenkopje"/>
        <w:ind w:left="0"/>
      </w:pPr>
      <w:r w:rsidRPr="00794ECB">
        <w:lastRenderedPageBreak/>
        <w:t>Conclusie: naar een effectiever migratiebeleid</w:t>
      </w:r>
    </w:p>
    <w:p w:rsidRPr="005A7C48" w:rsidR="00EF2415" w:rsidP="00EF2415" w:rsidRDefault="00EF2415">
      <w:pPr>
        <w:tabs>
          <w:tab w:val="num" w:pos="720"/>
        </w:tabs>
        <w:rPr>
          <w:rFonts w:ascii="Times New Roman" w:hAnsi="Times New Roman" w:cs="Times New Roman"/>
        </w:rPr>
      </w:pPr>
    </w:p>
    <w:p w:rsidRPr="005A7C48" w:rsidR="00EF2415" w:rsidP="00EF2415" w:rsidRDefault="00EF2415">
      <w:pPr>
        <w:tabs>
          <w:tab w:val="num" w:pos="720"/>
        </w:tabs>
        <w:rPr>
          <w:rFonts w:ascii="Times New Roman" w:hAnsi="Times New Roman" w:cs="Times New Roman"/>
        </w:rPr>
      </w:pPr>
      <w:r w:rsidRPr="005A7C48">
        <w:rPr>
          <w:rFonts w:ascii="Times New Roman" w:hAnsi="Times New Roman" w:cs="Times New Roman"/>
        </w:rPr>
        <w:t xml:space="preserve">Onderzoek naar de oorzaken van migratie toont aan dat migratie een integraal – en daarom in zekere zin onvermijdelijk – onderdeel is van economische ontwikkeling en arbeidsmarktdynamiek in bestemmings- en herkomstlanden. Dat betekent niet dat migratie geen problemen kan opleveren, maar dat bij het voorkomen of aanpakken daarvan naar andere dan gebruikelijke oplossingen en beleidsinstrumenten gekeken moet worden. De centrale rol van </w:t>
      </w:r>
      <w:r>
        <w:rPr>
          <w:rFonts w:ascii="Times New Roman" w:hAnsi="Times New Roman" w:cs="Times New Roman"/>
        </w:rPr>
        <w:t xml:space="preserve">de </w:t>
      </w:r>
      <w:r w:rsidRPr="005A7C48">
        <w:rPr>
          <w:rFonts w:ascii="Times New Roman" w:hAnsi="Times New Roman" w:cs="Times New Roman"/>
        </w:rPr>
        <w:t xml:space="preserve">arbeidsvraag in bestemmingslanden en </w:t>
      </w:r>
      <w:r>
        <w:rPr>
          <w:rFonts w:ascii="Times New Roman" w:hAnsi="Times New Roman" w:cs="Times New Roman"/>
        </w:rPr>
        <w:t xml:space="preserve">van </w:t>
      </w:r>
      <w:r w:rsidRPr="005A7C48">
        <w:rPr>
          <w:rFonts w:ascii="Times New Roman" w:hAnsi="Times New Roman" w:cs="Times New Roman"/>
        </w:rPr>
        <w:t xml:space="preserve">ontwikkelingsniveaus en sociaaleconomische omstandigheden in herkomstlanden (alsmede onderdrukking en geweld in het geval van vluchtelingenmigratie) tonen het belang aan van verder kijken dan migratiebeleid alleen. Het is ook belangrijk om de problematiek in het juiste perspectief te plaatsen. De overgrote meerderheid van de migranten – ook zij die van buiten Europa komen – migreert op legale wijze naar en verblijft op legale wijze in bestemmingslanden. De wettelijke mogelijkheden om familiemigratie te sturen zijn beperkt; des te meer omdat een groot deel van de familiemigranten uit de EU komt. </w:t>
      </w:r>
    </w:p>
    <w:p w:rsidRPr="005A7C48" w:rsidR="00EF2415" w:rsidP="00EF2415" w:rsidRDefault="00EF2415">
      <w:pPr>
        <w:tabs>
          <w:tab w:val="num" w:pos="720"/>
        </w:tabs>
        <w:rPr>
          <w:rFonts w:ascii="Times New Roman" w:hAnsi="Times New Roman" w:cs="Times New Roman"/>
        </w:rPr>
      </w:pPr>
    </w:p>
    <w:p w:rsidRPr="005A7C48" w:rsidR="00EF2415" w:rsidP="00EF2415" w:rsidRDefault="00EF2415">
      <w:pPr>
        <w:tabs>
          <w:tab w:val="num" w:pos="720"/>
        </w:tabs>
        <w:rPr>
          <w:rFonts w:ascii="Times New Roman" w:hAnsi="Times New Roman" w:cs="Times New Roman"/>
        </w:rPr>
      </w:pPr>
      <w:r w:rsidRPr="005A7C48">
        <w:rPr>
          <w:rFonts w:ascii="Times New Roman" w:hAnsi="Times New Roman" w:cs="Times New Roman"/>
        </w:rPr>
        <w:t>Om maatschappelijke en humanitaire redenen ongewenste vormen van migratie – zoals irreguliere migratie – zijn het gevolg van een discrepantie tussen migratiebeleid en de fundamentele oorzaken van migratie. Migratiebeleid kan ineffectief zijn of wordt zelfs contraproductief wanneer het indruist tegen de diepere oorzaken van migratie en deze negeert. Slecht doordachte immigratierestricties kunnen het circulaire karakter van migratie doorbreken</w:t>
      </w:r>
      <w:r>
        <w:rPr>
          <w:rFonts w:ascii="Times New Roman" w:hAnsi="Times New Roman" w:cs="Times New Roman"/>
        </w:rPr>
        <w:t xml:space="preserve">, </w:t>
      </w:r>
      <w:r w:rsidRPr="005A7C48">
        <w:rPr>
          <w:rFonts w:ascii="Times New Roman" w:hAnsi="Times New Roman" w:cs="Times New Roman"/>
        </w:rPr>
        <w:t>permanente vestiging en ketting- or volgmigratie juist stimuleren en daardoor contraproductief werken. Het opvoeren van grensbewaking alleen, dus zonder de arbeidsvraag of conflicten in herkomstregio’s te adresseren</w:t>
      </w:r>
      <w:r>
        <w:rPr>
          <w:rFonts w:ascii="Times New Roman" w:hAnsi="Times New Roman" w:cs="Times New Roman"/>
        </w:rPr>
        <w:t>,</w:t>
      </w:r>
      <w:r w:rsidRPr="005A7C48">
        <w:rPr>
          <w:rFonts w:ascii="Times New Roman" w:hAnsi="Times New Roman" w:cs="Times New Roman"/>
        </w:rPr>
        <w:t xml:space="preserve"> leidt in de regel tot meer irreguliere migratie en werkt humanitaire noodsituaties aan de grens in de hand. </w:t>
      </w:r>
    </w:p>
    <w:p w:rsidRPr="005A7C48" w:rsidR="00EF2415" w:rsidP="00EF2415" w:rsidRDefault="00EF2415">
      <w:pPr>
        <w:tabs>
          <w:tab w:val="num" w:pos="720"/>
        </w:tabs>
        <w:rPr>
          <w:rFonts w:ascii="Times New Roman" w:hAnsi="Times New Roman" w:cs="Times New Roman"/>
        </w:rPr>
      </w:pPr>
    </w:p>
    <w:p w:rsidRPr="005A7C48" w:rsidR="00EF2415" w:rsidP="00EF2415" w:rsidRDefault="00EF2415">
      <w:pPr>
        <w:tabs>
          <w:tab w:val="num" w:pos="720"/>
        </w:tabs>
        <w:rPr>
          <w:rFonts w:ascii="Times New Roman" w:hAnsi="Times New Roman" w:cs="Times New Roman"/>
        </w:rPr>
      </w:pPr>
      <w:r w:rsidRPr="005A7C48">
        <w:rPr>
          <w:rFonts w:ascii="Times New Roman" w:hAnsi="Times New Roman" w:cs="Times New Roman"/>
        </w:rPr>
        <w:t xml:space="preserve">Beleidsfalen is daarom </w:t>
      </w:r>
      <w:r>
        <w:rPr>
          <w:rFonts w:ascii="Times New Roman" w:hAnsi="Times New Roman" w:cs="Times New Roman"/>
        </w:rPr>
        <w:t>geworteld</w:t>
      </w:r>
      <w:r w:rsidRPr="005A7C48">
        <w:rPr>
          <w:rFonts w:ascii="Times New Roman" w:hAnsi="Times New Roman" w:cs="Times New Roman"/>
        </w:rPr>
        <w:t xml:space="preserve"> in </w:t>
      </w:r>
      <w:r>
        <w:rPr>
          <w:rFonts w:ascii="Times New Roman" w:hAnsi="Times New Roman" w:cs="Times New Roman"/>
        </w:rPr>
        <w:t>het</w:t>
      </w:r>
      <w:r w:rsidRPr="005A7C48">
        <w:rPr>
          <w:rFonts w:ascii="Times New Roman" w:hAnsi="Times New Roman" w:cs="Times New Roman"/>
        </w:rPr>
        <w:t xml:space="preserve"> onvoldoende onderkenn</w:t>
      </w:r>
      <w:r>
        <w:rPr>
          <w:rFonts w:ascii="Times New Roman" w:hAnsi="Times New Roman" w:cs="Times New Roman"/>
        </w:rPr>
        <w:t>en</w:t>
      </w:r>
      <w:r w:rsidRPr="005A7C48">
        <w:rPr>
          <w:rFonts w:ascii="Times New Roman" w:hAnsi="Times New Roman" w:cs="Times New Roman"/>
        </w:rPr>
        <w:t xml:space="preserve"> van de complexe en soms onverwachte wijze waarop sociaaleconomische en culturele veranderingsprocessen migratie beïnvloeden. Voor het effectie</w:t>
      </w:r>
      <w:r>
        <w:rPr>
          <w:rFonts w:ascii="Times New Roman" w:hAnsi="Times New Roman" w:cs="Times New Roman"/>
        </w:rPr>
        <w:t>ver</w:t>
      </w:r>
      <w:r w:rsidRPr="005A7C48">
        <w:rPr>
          <w:rFonts w:ascii="Times New Roman" w:hAnsi="Times New Roman" w:cs="Times New Roman"/>
        </w:rPr>
        <w:t xml:space="preserve"> beïnvloeden van migratiepatronen (in termen van omvang en selectie) zouden overheden in bestemmings- en herkomstlanden er daarom goed aan doen zich expliciet </w:t>
      </w:r>
      <w:r>
        <w:rPr>
          <w:rFonts w:ascii="Times New Roman" w:hAnsi="Times New Roman" w:cs="Times New Roman"/>
        </w:rPr>
        <w:t xml:space="preserve">te </w:t>
      </w:r>
      <w:r w:rsidRPr="005A7C48">
        <w:rPr>
          <w:rFonts w:ascii="Times New Roman" w:hAnsi="Times New Roman" w:cs="Times New Roman"/>
        </w:rPr>
        <w:t xml:space="preserve">richten op zogeheten niet-migratiebeleid op </w:t>
      </w:r>
      <w:r>
        <w:rPr>
          <w:rFonts w:ascii="Times New Roman" w:hAnsi="Times New Roman" w:cs="Times New Roman"/>
        </w:rPr>
        <w:t>gebieden</w:t>
      </w:r>
      <w:r w:rsidRPr="005A7C48">
        <w:rPr>
          <w:rFonts w:ascii="Times New Roman" w:hAnsi="Times New Roman" w:cs="Times New Roman"/>
        </w:rPr>
        <w:t xml:space="preserve"> als arbeidsmarkt, onderwijs, gezondheidszorg, herverdeling en meer algemene ongelijkheidsvraagstukken. </w:t>
      </w:r>
    </w:p>
    <w:p w:rsidRPr="005A7C48" w:rsidR="00EF2415" w:rsidP="00EF2415" w:rsidRDefault="00EF2415">
      <w:pPr>
        <w:tabs>
          <w:tab w:val="num" w:pos="720"/>
        </w:tabs>
        <w:rPr>
          <w:rFonts w:ascii="Times New Roman" w:hAnsi="Times New Roman" w:cs="Times New Roman"/>
        </w:rPr>
      </w:pPr>
    </w:p>
    <w:p w:rsidRPr="005A7C48" w:rsidR="00EF2415" w:rsidP="00EF2415" w:rsidRDefault="00EF2415">
      <w:pPr>
        <w:tabs>
          <w:tab w:val="num" w:pos="720"/>
        </w:tabs>
        <w:rPr>
          <w:rFonts w:ascii="Times New Roman" w:hAnsi="Times New Roman" w:cs="Times New Roman"/>
        </w:rPr>
      </w:pPr>
    </w:p>
    <w:p w:rsidR="00272513" w:rsidP="00272513" w:rsidRDefault="00272513">
      <w:pPr>
        <w:rPr>
          <w:rFonts w:ascii="Times New Roman" w:hAnsi="Times New Roman" w:eastAsia="Calibri" w:cs="Times New Roman"/>
          <w:b/>
        </w:rPr>
      </w:pPr>
    </w:p>
    <w:p w:rsidR="00272513" w:rsidP="00272513" w:rsidRDefault="00272513">
      <w:pPr>
        <w:rPr>
          <w:rFonts w:ascii="Times New Roman" w:hAnsi="Times New Roman" w:eastAsia="Calibri" w:cs="Times New Roman"/>
          <w:b/>
        </w:rPr>
      </w:pPr>
    </w:p>
    <w:p w:rsidR="00272513" w:rsidP="00272513" w:rsidRDefault="00272513">
      <w:pPr>
        <w:rPr>
          <w:rFonts w:ascii="Times New Roman" w:hAnsi="Times New Roman" w:eastAsia="Calibri" w:cs="Times New Roman"/>
          <w:b/>
        </w:rPr>
      </w:pPr>
    </w:p>
    <w:p w:rsidR="00272513" w:rsidP="00272513" w:rsidRDefault="00272513">
      <w:pPr>
        <w:rPr>
          <w:rFonts w:ascii="Times New Roman" w:hAnsi="Times New Roman" w:eastAsia="Calibri" w:cs="Times New Roman"/>
          <w:b/>
        </w:rPr>
      </w:pPr>
    </w:p>
    <w:p w:rsidR="00272513" w:rsidP="00272513" w:rsidRDefault="00272513">
      <w:pPr>
        <w:rPr>
          <w:rFonts w:ascii="Times New Roman" w:hAnsi="Times New Roman" w:eastAsia="Calibri" w:cs="Times New Roman"/>
          <w:b/>
        </w:rPr>
      </w:pPr>
    </w:p>
    <w:p w:rsidR="00272513" w:rsidP="00272513" w:rsidRDefault="00272513">
      <w:pPr>
        <w:rPr>
          <w:rFonts w:ascii="Times New Roman" w:hAnsi="Times New Roman" w:eastAsia="Calibri" w:cs="Times New Roman"/>
          <w:b/>
        </w:rPr>
      </w:pPr>
    </w:p>
    <w:p w:rsidR="00272513" w:rsidP="00272513" w:rsidRDefault="00272513">
      <w:pPr>
        <w:rPr>
          <w:rFonts w:ascii="Times New Roman" w:hAnsi="Times New Roman" w:eastAsia="Calibri" w:cs="Times New Roman"/>
          <w:b/>
        </w:rPr>
      </w:pPr>
    </w:p>
    <w:p w:rsidR="00272513" w:rsidP="00272513" w:rsidRDefault="00272513">
      <w:pPr>
        <w:rPr>
          <w:rFonts w:ascii="Times New Roman" w:hAnsi="Times New Roman" w:eastAsia="Calibri" w:cs="Times New Roman"/>
          <w:b/>
        </w:rPr>
      </w:pPr>
    </w:p>
    <w:p w:rsidR="00272513" w:rsidP="00272513" w:rsidRDefault="00272513">
      <w:pPr>
        <w:rPr>
          <w:rFonts w:ascii="Times New Roman" w:hAnsi="Times New Roman" w:eastAsia="Calibri" w:cs="Times New Roman"/>
          <w:b/>
        </w:rPr>
      </w:pPr>
    </w:p>
    <w:p w:rsidR="00272513" w:rsidP="00272513" w:rsidRDefault="00272513">
      <w:pPr>
        <w:rPr>
          <w:rFonts w:ascii="Times New Roman" w:hAnsi="Times New Roman" w:eastAsia="Calibri" w:cs="Times New Roman"/>
          <w:b/>
        </w:rPr>
      </w:pPr>
    </w:p>
    <w:p w:rsidR="00272513" w:rsidP="00272513" w:rsidRDefault="00272513">
      <w:pPr>
        <w:rPr>
          <w:rFonts w:ascii="Times New Roman" w:hAnsi="Times New Roman" w:eastAsia="Calibri" w:cs="Times New Roman"/>
          <w:b/>
        </w:rPr>
      </w:pPr>
    </w:p>
    <w:p w:rsidR="00272513" w:rsidP="00272513" w:rsidRDefault="00272513">
      <w:pPr>
        <w:rPr>
          <w:rFonts w:ascii="Times New Roman" w:hAnsi="Times New Roman" w:eastAsia="Calibri" w:cs="Times New Roman"/>
          <w:b/>
        </w:rPr>
      </w:pPr>
    </w:p>
    <w:p w:rsidR="00272513" w:rsidP="00272513" w:rsidRDefault="00272513">
      <w:pPr>
        <w:rPr>
          <w:rFonts w:ascii="Times New Roman" w:hAnsi="Times New Roman" w:eastAsia="Calibri" w:cs="Times New Roman"/>
          <w:b/>
        </w:rPr>
      </w:pPr>
    </w:p>
    <w:p w:rsidR="00272513" w:rsidP="00272513" w:rsidRDefault="00272513">
      <w:pPr>
        <w:rPr>
          <w:rFonts w:ascii="Times New Roman" w:hAnsi="Times New Roman" w:eastAsia="Calibri" w:cs="Times New Roman"/>
          <w:b/>
        </w:rPr>
      </w:pPr>
    </w:p>
    <w:p w:rsidRPr="00272513" w:rsidR="00272513" w:rsidP="00C30696" w:rsidRDefault="00272513">
      <w:pPr>
        <w:pStyle w:val="Tussenkopje"/>
        <w:ind w:left="0"/>
      </w:pPr>
      <w:r w:rsidRPr="00272513">
        <w:lastRenderedPageBreak/>
        <w:t xml:space="preserve">Woord van dank </w:t>
      </w:r>
    </w:p>
    <w:p w:rsidRPr="00272513" w:rsidR="00272513" w:rsidP="00C30696" w:rsidRDefault="00272513">
      <w:pPr>
        <w:pStyle w:val="Tussenkopje"/>
        <w:ind w:left="0"/>
      </w:pPr>
    </w:p>
    <w:p w:rsidRPr="00272513" w:rsidR="00272513" w:rsidP="00272513" w:rsidRDefault="00272513">
      <w:pPr>
        <w:rPr>
          <w:rFonts w:ascii="Times New Roman" w:hAnsi="Times New Roman" w:eastAsia="Times New Roman" w:cs="Times New Roman"/>
          <w:color w:val="000000"/>
          <w:lang w:eastAsia="en-GB"/>
        </w:rPr>
      </w:pPr>
      <w:r w:rsidRPr="00272513">
        <w:rPr>
          <w:rFonts w:ascii="Times New Roman" w:hAnsi="Times New Roman" w:eastAsia="Times New Roman" w:cs="Times New Roman"/>
          <w:color w:val="000000"/>
          <w:lang w:eastAsia="en-GB"/>
        </w:rPr>
        <w:t xml:space="preserve">Deze factsheet is een samenvatting van inzichten voortkomend uit fundamenteel theoretisch en empirisch onderzoek naar trends en oorzaken van migratie die de auteur tussen 2006 en 2020 aan het International Migration Institute (IMI) heeft verricht. Dit gebeurde in bijzonder in het kader van twee onderzoeksprojecten die gefinancierd werden door de European Research Council (ERC): </w:t>
      </w:r>
      <w:r w:rsidRPr="00272513">
        <w:rPr>
          <w:rFonts w:ascii="Times New Roman" w:hAnsi="Times New Roman" w:eastAsia="Times New Roman" w:cs="Times New Roman"/>
          <w:i/>
          <w:color w:val="000000"/>
          <w:lang w:eastAsia="en-GB"/>
        </w:rPr>
        <w:t>The Determinants of International Migration</w:t>
      </w:r>
      <w:r w:rsidRPr="00272513">
        <w:rPr>
          <w:rFonts w:ascii="Times New Roman" w:hAnsi="Times New Roman" w:eastAsia="Times New Roman" w:cs="Times New Roman"/>
          <w:color w:val="000000"/>
          <w:lang w:eastAsia="en-GB"/>
        </w:rPr>
        <w:t xml:space="preserve"> (DEMIG; ERC Grant Agreement 240940, 2009-2014, Universiteit van Oxford) en MADE (</w:t>
      </w:r>
      <w:r w:rsidRPr="00272513">
        <w:rPr>
          <w:rFonts w:ascii="Times New Roman" w:hAnsi="Times New Roman" w:eastAsia="Times New Roman" w:cs="Times New Roman"/>
          <w:i/>
          <w:color w:val="000000"/>
          <w:lang w:eastAsia="en-GB"/>
        </w:rPr>
        <w:t>Migration as Development</w:t>
      </w:r>
      <w:r w:rsidRPr="00272513">
        <w:rPr>
          <w:rFonts w:ascii="Times New Roman" w:hAnsi="Times New Roman" w:eastAsia="Times New Roman" w:cs="Times New Roman"/>
          <w:color w:val="000000"/>
          <w:lang w:eastAsia="en-GB"/>
        </w:rPr>
        <w:t>) (ERC Grant Agreement 648496, 2015-2000, Universiteit van Amsterdam). Additionele financiële ondersteuning werd verleend door Dr James Martin (1933</w:t>
      </w:r>
      <w:r w:rsidRPr="00272513">
        <w:rPr>
          <w:rFonts w:ascii="Cambria Math" w:hAnsi="Cambria Math" w:eastAsia="Times New Roman" w:cs="Cambria Math"/>
          <w:color w:val="000000"/>
          <w:lang w:eastAsia="en-GB"/>
        </w:rPr>
        <w:t>‐</w:t>
      </w:r>
      <w:r w:rsidRPr="00272513">
        <w:rPr>
          <w:rFonts w:ascii="Times New Roman" w:hAnsi="Times New Roman" w:eastAsia="Times New Roman" w:cs="Times New Roman"/>
          <w:color w:val="000000"/>
          <w:lang w:eastAsia="en-GB"/>
        </w:rPr>
        <w:t>2013) van de Oxford Martin School (OMS) aan de Universiteit van Oxford. De auteur bedankt verder Mathias Czaika, Marie</w:t>
      </w:r>
      <w:r w:rsidRPr="00272513">
        <w:rPr>
          <w:rFonts w:ascii="Cambria Math" w:hAnsi="Cambria Math" w:eastAsia="Times New Roman" w:cs="Cambria Math"/>
          <w:color w:val="000000"/>
          <w:lang w:eastAsia="en-GB"/>
        </w:rPr>
        <w:t>‐</w:t>
      </w:r>
      <w:r w:rsidRPr="00272513">
        <w:rPr>
          <w:rFonts w:ascii="Times New Roman" w:hAnsi="Times New Roman" w:eastAsia="Times New Roman" w:cs="Times New Roman"/>
          <w:color w:val="000000"/>
          <w:lang w:eastAsia="en-GB"/>
        </w:rPr>
        <w:t>Laurence Flahaux, Sonja Fransen, Edo Mahendra, Lea Müller-Funk, Katharina Natter, Mathis Osburg, Naiara Rodriguez-Pena, Sarah Salehi, Kerilyn Schewel, Simona Vezzoli, María Villares</w:t>
      </w:r>
      <w:r w:rsidRPr="00272513">
        <w:rPr>
          <w:rFonts w:ascii="Cambria Math" w:hAnsi="Cambria Math" w:eastAsia="Times New Roman" w:cs="Cambria Math"/>
          <w:color w:val="000000"/>
          <w:lang w:eastAsia="en-GB"/>
        </w:rPr>
        <w:t>‐</w:t>
      </w:r>
      <w:r w:rsidRPr="00272513">
        <w:rPr>
          <w:rFonts w:ascii="Times New Roman" w:hAnsi="Times New Roman" w:eastAsia="Times New Roman" w:cs="Times New Roman"/>
          <w:color w:val="000000"/>
          <w:lang w:eastAsia="en-GB"/>
        </w:rPr>
        <w:t xml:space="preserve">Varela, Siebert Wielstra voor hun bijdrage aan deze onderzoeksprojecten. Verdere dank gaat uit naar Saskia Bonjour voor het leveren van nuttige feedback op een conceptversie van deze factsheet. </w:t>
      </w:r>
    </w:p>
    <w:p w:rsidRPr="00272513" w:rsidR="00272513" w:rsidP="00272513" w:rsidRDefault="00272513">
      <w:pPr>
        <w:rPr>
          <w:rFonts w:ascii="Times New Roman" w:hAnsi="Times New Roman" w:eastAsia="Times New Roman" w:cs="Times New Roman"/>
          <w:color w:val="000000"/>
          <w:lang w:eastAsia="en-GB"/>
        </w:rPr>
      </w:pPr>
    </w:p>
    <w:p w:rsidRPr="00272513" w:rsidR="00272513" w:rsidP="00272513" w:rsidRDefault="00272513">
      <w:pPr>
        <w:rPr>
          <w:rFonts w:ascii="Times New Roman" w:hAnsi="Times New Roman" w:eastAsia="Times New Roman" w:cs="Times New Roman"/>
          <w:color w:val="000000"/>
          <w:lang w:eastAsia="en-GB"/>
        </w:rPr>
      </w:pPr>
      <w:r w:rsidRPr="00272513">
        <w:rPr>
          <w:rFonts w:ascii="Times New Roman" w:hAnsi="Times New Roman" w:eastAsia="Times New Roman" w:cs="Times New Roman"/>
          <w:color w:val="000000"/>
          <w:lang w:eastAsia="en-GB"/>
        </w:rPr>
        <w:t xml:space="preserve">Voor verdere informatie over het IMI-onderzoeksprogramma aan de Universiteit van Oxford en de Universiteit van Amsterdam zie </w:t>
      </w:r>
      <w:hyperlink w:history="1" r:id="rId11">
        <w:r w:rsidRPr="00272513">
          <w:rPr>
            <w:rFonts w:ascii="Times New Roman" w:hAnsi="Times New Roman" w:eastAsia="Times New Roman" w:cs="Times New Roman"/>
            <w:color w:val="0000FF"/>
            <w:u w:val="single"/>
            <w:lang w:eastAsia="en-GB"/>
          </w:rPr>
          <w:t>www.migrationinstitute.org</w:t>
        </w:r>
      </w:hyperlink>
      <w:r w:rsidRPr="00272513">
        <w:rPr>
          <w:rFonts w:ascii="Times New Roman" w:hAnsi="Times New Roman" w:eastAsia="Times New Roman" w:cs="Times New Roman"/>
          <w:color w:val="000000"/>
          <w:lang w:eastAsia="en-GB"/>
        </w:rPr>
        <w:t xml:space="preserve">. </w:t>
      </w:r>
    </w:p>
    <w:p w:rsidR="00813BD3" w:rsidP="00272513" w:rsidRDefault="00813BD3">
      <w:pPr>
        <w:pStyle w:val="Tekst"/>
        <w:ind w:left="0"/>
      </w:pPr>
    </w:p>
    <w:p w:rsidR="006F14DB" w:rsidP="00C06C8C" w:rsidRDefault="006F14DB">
      <w:pPr>
        <w:pStyle w:val="Tekst"/>
        <w:ind w:left="1276"/>
      </w:pPr>
    </w:p>
    <w:p w:rsidR="006F14DB" w:rsidP="00C06C8C" w:rsidRDefault="006F14DB">
      <w:pPr>
        <w:pStyle w:val="Tekst"/>
        <w:ind w:left="1276"/>
      </w:pPr>
    </w:p>
    <w:p w:rsidR="006F14DB" w:rsidP="00C06C8C" w:rsidRDefault="006F14DB">
      <w:pPr>
        <w:pStyle w:val="Tekst"/>
        <w:ind w:left="1276"/>
      </w:pPr>
    </w:p>
    <w:p w:rsidR="006F14DB" w:rsidP="00C06C8C" w:rsidRDefault="006F14DB">
      <w:pPr>
        <w:pStyle w:val="Tekst"/>
        <w:ind w:left="1276"/>
      </w:pPr>
    </w:p>
    <w:p w:rsidR="006F14DB" w:rsidP="00C06C8C" w:rsidRDefault="006F14DB">
      <w:pPr>
        <w:pStyle w:val="Tekst"/>
        <w:ind w:left="1276"/>
      </w:pPr>
    </w:p>
    <w:p w:rsidR="006F14DB" w:rsidP="00C06C8C" w:rsidRDefault="006F14DB">
      <w:pPr>
        <w:pStyle w:val="Tekst"/>
        <w:ind w:left="1276"/>
      </w:pPr>
    </w:p>
    <w:p w:rsidR="00186E52" w:rsidP="00186E52" w:rsidRDefault="00186E52">
      <w:pPr>
        <w:pStyle w:val="Tekst"/>
        <w:ind w:left="0"/>
      </w:pPr>
    </w:p>
    <w:p w:rsidR="00186E52" w:rsidP="00186E52" w:rsidRDefault="00186E52">
      <w:pPr>
        <w:pStyle w:val="Tekst"/>
        <w:ind w:left="0"/>
      </w:pPr>
    </w:p>
    <w:p w:rsidR="00186E52" w:rsidP="00186E52" w:rsidRDefault="00186E52">
      <w:pPr>
        <w:pStyle w:val="Tekst"/>
        <w:ind w:left="0"/>
      </w:pPr>
    </w:p>
    <w:p w:rsidR="00186E52" w:rsidP="00186E52" w:rsidRDefault="00186E52">
      <w:pPr>
        <w:pStyle w:val="Tekst"/>
        <w:ind w:left="0"/>
      </w:pPr>
    </w:p>
    <w:p w:rsidR="00186E52" w:rsidP="00186E52" w:rsidRDefault="00186E52">
      <w:pPr>
        <w:pStyle w:val="Tekst"/>
        <w:ind w:left="0"/>
      </w:pPr>
    </w:p>
    <w:p w:rsidR="00186E52" w:rsidP="00186E52" w:rsidRDefault="00186E52">
      <w:pPr>
        <w:pStyle w:val="Tekst"/>
        <w:ind w:left="0"/>
      </w:pPr>
    </w:p>
    <w:p w:rsidR="00186E52" w:rsidP="00186E52" w:rsidRDefault="00186E52">
      <w:pPr>
        <w:pStyle w:val="Tekst"/>
        <w:ind w:left="0"/>
      </w:pPr>
    </w:p>
    <w:p w:rsidR="00186E52" w:rsidP="00186E52" w:rsidRDefault="00186E52">
      <w:pPr>
        <w:pStyle w:val="Tekst"/>
        <w:ind w:left="0"/>
      </w:pPr>
    </w:p>
    <w:p w:rsidR="00186E52" w:rsidP="00186E52" w:rsidRDefault="00186E52">
      <w:pPr>
        <w:pStyle w:val="Tekst"/>
        <w:ind w:left="0"/>
      </w:pPr>
    </w:p>
    <w:p w:rsidR="00C30696" w:rsidP="00186E52" w:rsidRDefault="00C30696">
      <w:pPr>
        <w:pStyle w:val="Tekst"/>
        <w:ind w:left="0"/>
      </w:pPr>
    </w:p>
    <w:p w:rsidR="00C30696" w:rsidP="00186E52" w:rsidRDefault="00C30696">
      <w:pPr>
        <w:pStyle w:val="Tekst"/>
        <w:ind w:left="0"/>
      </w:pPr>
    </w:p>
    <w:p w:rsidRPr="00C06C8C" w:rsidR="00C06C8C" w:rsidP="00186E52" w:rsidRDefault="00C06C8C">
      <w:pPr>
        <w:pStyle w:val="Tekst"/>
        <w:ind w:left="0"/>
      </w:pPr>
      <w:r>
        <w:rPr>
          <w:noProof/>
          <w:lang w:eastAsia="nl-NL"/>
        </w:rPr>
        <w:drawing>
          <wp:anchor distT="0" distB="0" distL="114300" distR="114300" simplePos="0" relativeHeight="251658240" behindDoc="0" locked="0" layoutInCell="1" allowOverlap="1">
            <wp:simplePos x="0" y="0"/>
            <wp:positionH relativeFrom="column">
              <wp:posOffset>-527050</wp:posOffset>
            </wp:positionH>
            <wp:positionV relativeFrom="paragraph">
              <wp:posOffset>1905</wp:posOffset>
            </wp:positionV>
            <wp:extent cx="7538400" cy="2073600"/>
            <wp:effectExtent l="0" t="0" r="5715" b="3175"/>
            <wp:wrapTopAndBottom/>
            <wp:docPr id="58" name="Afbeelding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footer.jpg"/>
                    <pic:cNvPicPr/>
                  </pic:nvPicPr>
                  <pic:blipFill>
                    <a:blip r:embed="rId12">
                      <a:extLst>
                        <a:ext uri="{28A0092B-C50C-407E-A947-70E740481C1C}">
                          <a14:useLocalDpi xmlns:a14="http://schemas.microsoft.com/office/drawing/2010/main" val="0"/>
                        </a:ext>
                      </a:extLst>
                    </a:blip>
                    <a:stretch>
                      <a:fillRect/>
                    </a:stretch>
                  </pic:blipFill>
                  <pic:spPr>
                    <a:xfrm>
                      <a:off x="0" y="0"/>
                      <a:ext cx="7538400" cy="2073600"/>
                    </a:xfrm>
                    <a:prstGeom prst="rect">
                      <a:avLst/>
                    </a:prstGeom>
                  </pic:spPr>
                </pic:pic>
              </a:graphicData>
            </a:graphic>
            <wp14:sizeRelH relativeFrom="margin">
              <wp14:pctWidth>0</wp14:pctWidth>
            </wp14:sizeRelH>
            <wp14:sizeRelV relativeFrom="margin">
              <wp14:pctHeight>0</wp14:pctHeight>
            </wp14:sizeRelV>
          </wp:anchor>
        </w:drawing>
      </w:r>
    </w:p>
    <w:sectPr w:rsidRPr="00C06C8C" w:rsidR="00C06C8C" w:rsidSect="0047771B">
      <w:headerReference w:type="even" r:id="rId13"/>
      <w:headerReference w:type="default" r:id="rId14"/>
      <w:footerReference w:type="even" r:id="rId15"/>
      <w:footerReference w:type="default" r:id="rId16"/>
      <w:headerReference w:type="first" r:id="rId17"/>
      <w:footerReference w:type="first" r:id="rId18"/>
      <w:pgSz w:w="11900" w:h="16840"/>
      <w:pgMar w:top="3403" w:right="844" w:bottom="0" w:left="850" w:header="107" w:footer="302"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E5E" w:rsidRDefault="006E4E5E" w:rsidP="00C0042B">
      <w:r>
        <w:separator/>
      </w:r>
    </w:p>
  </w:endnote>
  <w:endnote w:type="continuationSeparator" w:id="0">
    <w:p w:rsidR="006E4E5E" w:rsidRDefault="006E4E5E" w:rsidP="00C0042B">
      <w:r>
        <w:continuationSeparator/>
      </w:r>
    </w:p>
  </w:endnote>
  <w:endnote w:id="1">
    <w:p w:rsidR="00186E52" w:rsidRDefault="00186E52" w:rsidP="00EF2415">
      <w:pPr>
        <w:pStyle w:val="Eindnoottekst"/>
        <w:rPr>
          <w:lang w:val="nl-NL"/>
        </w:rPr>
      </w:pPr>
    </w:p>
    <w:p w:rsidR="00186E52" w:rsidRDefault="00186E52" w:rsidP="00EF2415">
      <w:pPr>
        <w:pStyle w:val="Eindnoottekst"/>
        <w:rPr>
          <w:lang w:val="nl-NL"/>
        </w:rPr>
      </w:pPr>
    </w:p>
    <w:p w:rsidR="00186E52" w:rsidRDefault="00186E52" w:rsidP="00EF2415">
      <w:pPr>
        <w:pStyle w:val="Eindnoottekst"/>
        <w:rPr>
          <w:lang w:val="nl-NL"/>
        </w:rPr>
      </w:pPr>
    </w:p>
    <w:p w:rsidR="00186E52" w:rsidRDefault="00C30696" w:rsidP="00C30696">
      <w:pPr>
        <w:pStyle w:val="Tussenkopje"/>
        <w:ind w:left="0"/>
      </w:pPr>
      <w:r>
        <w:t>Bronnenlijst / eindnoten</w:t>
      </w:r>
    </w:p>
    <w:p w:rsidR="00186E52" w:rsidRDefault="00186E52" w:rsidP="00EF2415">
      <w:pPr>
        <w:pStyle w:val="Eindnoottekst"/>
        <w:rPr>
          <w:lang w:val="nl-NL"/>
        </w:rPr>
      </w:pPr>
    </w:p>
    <w:p w:rsidR="00186E52" w:rsidRDefault="00186E52" w:rsidP="00EF2415">
      <w:pPr>
        <w:pStyle w:val="Eindnoottekst"/>
        <w:rPr>
          <w:lang w:val="nl-NL"/>
        </w:rPr>
      </w:pPr>
    </w:p>
    <w:p w:rsidR="00EF2415" w:rsidRPr="00554586" w:rsidRDefault="00EF2415" w:rsidP="00EF2415">
      <w:pPr>
        <w:pStyle w:val="Eindnoottekst"/>
        <w:rPr>
          <w:lang w:val="nl-NL"/>
        </w:rPr>
      </w:pPr>
      <w:r>
        <w:rPr>
          <w:rStyle w:val="Eindnootmarkering"/>
        </w:rPr>
        <w:endnoteRef/>
      </w:r>
      <w:r w:rsidRPr="009632E8">
        <w:rPr>
          <w:lang w:val="nl-NL"/>
        </w:rPr>
        <w:t xml:space="preserve"> </w:t>
      </w:r>
      <w:r w:rsidRPr="00281EF4">
        <w:rPr>
          <w:lang w:val="nl-NL"/>
        </w:rPr>
        <w:t xml:space="preserve">Een kort woord over terminologie: Aangezien migratie een sociaal </w:t>
      </w:r>
      <w:r w:rsidRPr="00281EF4">
        <w:rPr>
          <w:i/>
          <w:iCs/>
          <w:lang w:val="nl-NL"/>
        </w:rPr>
        <w:t>proces</w:t>
      </w:r>
      <w:r w:rsidRPr="00281EF4">
        <w:rPr>
          <w:lang w:val="nl-NL"/>
        </w:rPr>
        <w:t xml:space="preserve"> is en een integraal onderdeel van bredere maatschappelijke veranderingsprocessen is het passender om over de oorzaken en drijvende krachten van migratie te praten dan over de ‘grondoorzaken’. De laatste term wordt in dominante vertogen namelijk gekoppeld aan de suggestie dat die oorzaken weggenomen of ‘bestreden’ kunnen worden</w:t>
      </w:r>
      <w:r>
        <w:rPr>
          <w:lang w:val="nl-NL"/>
        </w:rPr>
        <w:t xml:space="preserve">, wat een vanuit wetenschappelijk perspectief een onrealistische stellingname is. </w:t>
      </w:r>
    </w:p>
  </w:endnote>
  <w:endnote w:id="2">
    <w:p w:rsidR="00EF2415" w:rsidRPr="003C2788" w:rsidRDefault="00EF2415" w:rsidP="00EF2415">
      <w:pPr>
        <w:pStyle w:val="Eindnoottekst"/>
      </w:pPr>
      <w:r>
        <w:rPr>
          <w:rStyle w:val="Eindnootmarkering"/>
        </w:rPr>
        <w:endnoteRef/>
      </w:r>
      <w:r w:rsidRPr="009632E8">
        <w:rPr>
          <w:lang w:val="nl-NL"/>
        </w:rPr>
        <w:t xml:space="preserve"> Czaika, Mathis. and Hein de Haas 2014. </w:t>
      </w:r>
      <w:r w:rsidRPr="003C2788">
        <w:t>“</w:t>
      </w:r>
      <w:hyperlink r:id="rId1" w:history="1">
        <w:r w:rsidRPr="000D71F8">
          <w:rPr>
            <w:rStyle w:val="Hyperlink"/>
          </w:rPr>
          <w:t>The Globalisation of Migration: Has the world become more migratory?”</w:t>
        </w:r>
      </w:hyperlink>
      <w:r w:rsidRPr="003C2788">
        <w:t xml:space="preserve"> International Migration Review 48(2): 283–323</w:t>
      </w:r>
      <w:r>
        <w:t xml:space="preserve">; </w:t>
      </w:r>
      <w:r w:rsidRPr="003C2788">
        <w:t>de Haas, Hein</w:t>
      </w:r>
      <w:r>
        <w:t xml:space="preserve">, </w:t>
      </w:r>
      <w:r w:rsidRPr="003C2788">
        <w:t>S</w:t>
      </w:r>
      <w:r>
        <w:t>tephen</w:t>
      </w:r>
      <w:r w:rsidRPr="003C2788">
        <w:t xml:space="preserve"> Castles and M</w:t>
      </w:r>
      <w:r>
        <w:t>ark</w:t>
      </w:r>
      <w:r w:rsidRPr="003C2788">
        <w:t xml:space="preserve"> J. Miller (2020). The Age of Migration: International Population Movements in the Modern World. Fully revised sixth edition. Red Globe Press.</w:t>
      </w:r>
    </w:p>
  </w:endnote>
  <w:endnote w:id="3">
    <w:p w:rsidR="00EF2415" w:rsidRDefault="00EF2415" w:rsidP="00EF2415">
      <w:pPr>
        <w:pStyle w:val="Eindnoottekst"/>
      </w:pPr>
      <w:r>
        <w:rPr>
          <w:rStyle w:val="Eindnootmarkering"/>
        </w:rPr>
        <w:endnoteRef/>
      </w:r>
      <w:r>
        <w:t xml:space="preserve"> Databron: United Nations Population Division. </w:t>
      </w:r>
      <w:r w:rsidRPr="00CF1380">
        <w:t>Trends in International Migrant Stock: The 2017 Revision</w:t>
      </w:r>
    </w:p>
  </w:endnote>
  <w:endnote w:id="4">
    <w:p w:rsidR="00EF2415" w:rsidRPr="003C2788" w:rsidRDefault="00EF2415" w:rsidP="00EF2415">
      <w:pPr>
        <w:pStyle w:val="Eindnoottekst"/>
      </w:pPr>
      <w:r>
        <w:rPr>
          <w:rStyle w:val="Eindnootmarkering"/>
        </w:rPr>
        <w:endnoteRef/>
      </w:r>
      <w:r>
        <w:t xml:space="preserve"> </w:t>
      </w:r>
      <w:r w:rsidRPr="003C2788">
        <w:t>de Haas, Hein</w:t>
      </w:r>
      <w:r>
        <w:t xml:space="preserve">, </w:t>
      </w:r>
      <w:r w:rsidRPr="003C2788">
        <w:t>S</w:t>
      </w:r>
      <w:r>
        <w:t>tephen</w:t>
      </w:r>
      <w:r w:rsidRPr="003C2788">
        <w:t xml:space="preserve"> Castles and M</w:t>
      </w:r>
      <w:r>
        <w:t>ark</w:t>
      </w:r>
      <w:r w:rsidRPr="003C2788">
        <w:t xml:space="preserve"> J. Miller (2020). </w:t>
      </w:r>
      <w:hyperlink r:id="rId2" w:history="1">
        <w:r w:rsidRPr="000D71F8">
          <w:rPr>
            <w:rStyle w:val="Hyperlink"/>
          </w:rPr>
          <w:t>The Age of Migration: International Population Movements in the Modern World</w:t>
        </w:r>
      </w:hyperlink>
      <w:r w:rsidRPr="003C2788">
        <w:t>. Fully revised sixth edition. Red Globe Press.</w:t>
      </w:r>
    </w:p>
  </w:endnote>
  <w:endnote w:id="5">
    <w:p w:rsidR="00EF2415" w:rsidRPr="00C37B74" w:rsidRDefault="00EF2415" w:rsidP="00EF2415">
      <w:pPr>
        <w:pStyle w:val="Eindnoottekst"/>
      </w:pPr>
      <w:r>
        <w:rPr>
          <w:rStyle w:val="Eindnootmarkering"/>
        </w:rPr>
        <w:endnoteRef/>
      </w:r>
      <w:r>
        <w:t xml:space="preserve"> </w:t>
      </w:r>
      <w:r w:rsidRPr="00C37B74">
        <w:t>Bonjour, S</w:t>
      </w:r>
      <w:r>
        <w:t>askia</w:t>
      </w:r>
      <w:r w:rsidRPr="00C37B74">
        <w:t>. (2011). The power and morals of policy makers: Reassessing the control gap debate. International Migration Review, 45(1), 89-122.</w:t>
      </w:r>
    </w:p>
  </w:endnote>
  <w:endnote w:id="6">
    <w:p w:rsidR="00EF2415" w:rsidRPr="000D71F8" w:rsidRDefault="00EF2415" w:rsidP="00EF2415">
      <w:pPr>
        <w:pStyle w:val="Eindnoottekst"/>
      </w:pPr>
      <w:r>
        <w:rPr>
          <w:rStyle w:val="Eindnootmarkering"/>
        </w:rPr>
        <w:endnoteRef/>
      </w:r>
      <w:r>
        <w:t xml:space="preserve"> </w:t>
      </w:r>
      <w:r w:rsidRPr="003C2788">
        <w:t xml:space="preserve">Entzinger, H. 1985. Return migration in West- ern Europe: Current policy trends and their implications, in particular for the second generation. </w:t>
      </w:r>
      <w:r w:rsidRPr="00195DBC">
        <w:rPr>
          <w:lang w:val="fr-FR"/>
        </w:rPr>
        <w:t>International Migration, XXIII, 263–290</w:t>
      </w:r>
      <w:r w:rsidRPr="000D71F8">
        <w:rPr>
          <w:lang w:val="fr-FR"/>
        </w:rPr>
        <w:t xml:space="preserve">; de Haas, H., Vezzoli, S. &amp; Villares-Varela, M. 2019. </w:t>
      </w:r>
      <w:hyperlink r:id="rId3" w:history="1">
        <w:r w:rsidRPr="000D71F8">
          <w:rPr>
            <w:rStyle w:val="Hyperlink"/>
          </w:rPr>
          <w:t>Opening the Floodgates?: European Migration Under Restrictive and Liberal Border Regimes 1950–2010</w:t>
        </w:r>
      </w:hyperlink>
      <w:r w:rsidRPr="000D71F8">
        <w:t>. IMI working paper 150, International Migration Institute, University of Amsterdam</w:t>
      </w:r>
    </w:p>
  </w:endnote>
  <w:endnote w:id="7">
    <w:p w:rsidR="00EF2415" w:rsidRPr="000D71F8" w:rsidRDefault="00EF2415" w:rsidP="00EF2415">
      <w:pPr>
        <w:pStyle w:val="Eindnoottekst"/>
      </w:pPr>
      <w:r>
        <w:rPr>
          <w:rStyle w:val="Eindnootmarkering"/>
        </w:rPr>
        <w:endnoteRef/>
      </w:r>
      <w:r>
        <w:t xml:space="preserve"> Vezzoli, S. 2015. Borders, Independence and Post- Colonial Ties: </w:t>
      </w:r>
      <w:hyperlink r:id="rId4" w:history="1">
        <w:r w:rsidRPr="000D71F8">
          <w:rPr>
            <w:rStyle w:val="Hyperlink"/>
          </w:rPr>
          <w:t>The Role of the State in Caribbean Migration. PhD thesis, University of Maastricht</w:t>
        </w:r>
      </w:hyperlink>
      <w:r>
        <w:t xml:space="preserve">; </w:t>
      </w:r>
      <w:r w:rsidRPr="000D71F8">
        <w:t xml:space="preserve">Vezzoli, S. &amp; Flahaux, M.-L. 2017. </w:t>
      </w:r>
      <w:hyperlink r:id="rId5" w:history="1">
        <w:r w:rsidRPr="000D71F8">
          <w:rPr>
            <w:rStyle w:val="Hyperlink"/>
          </w:rPr>
          <w:t>How do post-colonial ties and migration regimes shape travel visa requirements? The case of Carib-bean nationals</w:t>
        </w:r>
      </w:hyperlink>
      <w:r w:rsidRPr="000D71F8">
        <w:t>. Journal of Ethnic and Migration Studies, 43, 1141–1163.</w:t>
      </w:r>
    </w:p>
  </w:endnote>
  <w:endnote w:id="8">
    <w:p w:rsidR="00EF2415" w:rsidRPr="005A7C48" w:rsidRDefault="00EF2415" w:rsidP="00EF2415">
      <w:pPr>
        <w:pStyle w:val="Eindnoottekst"/>
        <w:rPr>
          <w:lang w:val="nl-NL"/>
        </w:rPr>
      </w:pPr>
      <w:r w:rsidRPr="00C3202A">
        <w:rPr>
          <w:rStyle w:val="Eindnootmarkering"/>
        </w:rPr>
        <w:endnoteRef/>
      </w:r>
      <w:r w:rsidRPr="005A7C48">
        <w:rPr>
          <w:lang w:val="nl-NL"/>
        </w:rPr>
        <w:t xml:space="preserve"> </w:t>
      </w:r>
      <w:r w:rsidRPr="005A7C48">
        <w:rPr>
          <w:bCs/>
          <w:lang w:val="nl-NL"/>
        </w:rPr>
        <w:t>MOE</w:t>
      </w:r>
      <w:r w:rsidRPr="00C3202A">
        <w:rPr>
          <w:lang w:val="nl-NL"/>
        </w:rPr>
        <w:t>-</w:t>
      </w:r>
      <w:r w:rsidRPr="005A7C48">
        <w:rPr>
          <w:bCs/>
          <w:lang w:val="nl-NL"/>
        </w:rPr>
        <w:t>landen</w:t>
      </w:r>
      <w:r w:rsidRPr="00C3202A">
        <w:rPr>
          <w:lang w:val="nl-NL"/>
        </w:rPr>
        <w:t xml:space="preserve"> zijn lidstaten van de Europese Unie die voorheen tot het Oostblok behoorden. </w:t>
      </w:r>
    </w:p>
  </w:endnote>
  <w:endnote w:id="9">
    <w:p w:rsidR="00EF2415" w:rsidRPr="00265473" w:rsidRDefault="00EF2415" w:rsidP="00EF2415">
      <w:pPr>
        <w:pStyle w:val="Eindnoottekst"/>
      </w:pPr>
      <w:r>
        <w:rPr>
          <w:rStyle w:val="Eindnootmarkering"/>
        </w:rPr>
        <w:endnoteRef/>
      </w:r>
      <w:r w:rsidRPr="00195DBC">
        <w:rPr>
          <w:lang w:val="fr-FR"/>
        </w:rPr>
        <w:t xml:space="preserve"> </w:t>
      </w:r>
      <w:r w:rsidRPr="000D71F8">
        <w:rPr>
          <w:lang w:val="fr-FR"/>
        </w:rPr>
        <w:t xml:space="preserve">de Haas, H., Vezzoli, S. &amp; Villares-Varela, M. 2019. </w:t>
      </w:r>
      <w:hyperlink r:id="rId6" w:history="1">
        <w:r w:rsidRPr="000D71F8">
          <w:rPr>
            <w:rStyle w:val="Hyperlink"/>
          </w:rPr>
          <w:t>Opening the Floodgates?: European Migration Under Restrictive and Liberal Border Regimes 1950–2010</w:t>
        </w:r>
      </w:hyperlink>
      <w:r w:rsidRPr="000D71F8">
        <w:t>. IMI working paper 150, International Migration Institute, University of Amsterdam</w:t>
      </w:r>
    </w:p>
  </w:endnote>
  <w:endnote w:id="10">
    <w:p w:rsidR="00EF2415" w:rsidRPr="005A0FE2" w:rsidRDefault="00EF2415" w:rsidP="00EF2415">
      <w:pPr>
        <w:pStyle w:val="Eindnoottekst"/>
      </w:pPr>
      <w:r>
        <w:rPr>
          <w:rStyle w:val="Eindnootmarkering"/>
        </w:rPr>
        <w:endnoteRef/>
      </w:r>
      <w:r>
        <w:t xml:space="preserve"> </w:t>
      </w:r>
      <w:r w:rsidRPr="005A0FE2">
        <w:t>de Haas, Hein (2008) ‘</w:t>
      </w:r>
      <w:hyperlink r:id="rId7" w:history="1">
        <w:r w:rsidRPr="005A0FE2">
          <w:rPr>
            <w:rStyle w:val="Hyperlink"/>
          </w:rPr>
          <w:t>Irregular Migration from West Africa to the Maghreb and the European Union’</w:t>
        </w:r>
      </w:hyperlink>
      <w:r w:rsidRPr="005A0FE2">
        <w:t>, Geneva: International Organisation for Migration.</w:t>
      </w:r>
    </w:p>
  </w:endnote>
  <w:endnote w:id="11">
    <w:p w:rsidR="00EF2415" w:rsidRPr="005A0FE2" w:rsidRDefault="00EF2415" w:rsidP="00EF2415">
      <w:pPr>
        <w:pStyle w:val="Eindnoottekst"/>
      </w:pPr>
      <w:r>
        <w:rPr>
          <w:rStyle w:val="Eindnootmarkering"/>
        </w:rPr>
        <w:endnoteRef/>
      </w:r>
      <w:r>
        <w:t xml:space="preserve"> Ambrosini, M. (2016). "From “illegality” to tolerance and beyond: Irregular immigration as a selective and dynamic process." International Migration 54(2): 144-159.</w:t>
      </w:r>
      <w:r>
        <w:tab/>
      </w:r>
    </w:p>
  </w:endnote>
  <w:endnote w:id="12">
    <w:p w:rsidR="00EF2415" w:rsidRPr="005A0FE2" w:rsidRDefault="00EF2415" w:rsidP="00EF2415">
      <w:pPr>
        <w:pStyle w:val="Eindnoottekst"/>
      </w:pPr>
      <w:r>
        <w:rPr>
          <w:rStyle w:val="Eindnootmarkering"/>
        </w:rPr>
        <w:endnoteRef/>
      </w:r>
      <w:r>
        <w:t xml:space="preserve"> </w:t>
      </w:r>
      <w:r w:rsidRPr="005A0FE2">
        <w:t>de Haas, Hein, Stephen Castles and Mark J. Miller (2020). The Age of Migration: International Population Movements in the Modern World. Fully revised sixth edition. Red Globe Press.</w:t>
      </w:r>
    </w:p>
  </w:endnote>
  <w:endnote w:id="13">
    <w:p w:rsidR="00EF2415" w:rsidRPr="00AA552D" w:rsidRDefault="00EF2415" w:rsidP="00EF2415">
      <w:pPr>
        <w:pStyle w:val="Eindnoottekst"/>
      </w:pPr>
      <w:r>
        <w:rPr>
          <w:rStyle w:val="Eindnootmarkering"/>
        </w:rPr>
        <w:endnoteRef/>
      </w:r>
      <w:r>
        <w:t xml:space="preserve"> </w:t>
      </w:r>
      <w:r w:rsidRPr="00AA552D">
        <w:t xml:space="preserve">Fransen, Sonja, and Hein de Haas. (2019) </w:t>
      </w:r>
      <w:hyperlink r:id="rId8" w:history="1">
        <w:r w:rsidRPr="00AA552D">
          <w:rPr>
            <w:rStyle w:val="Hyperlink"/>
          </w:rPr>
          <w:t>The Volume and Geography of Forced Migration</w:t>
        </w:r>
      </w:hyperlink>
      <w:r w:rsidRPr="00AA552D">
        <w:t>. MADE/IMI Working paper no. 156. International Migration Institute.</w:t>
      </w:r>
    </w:p>
  </w:endnote>
  <w:endnote w:id="14">
    <w:p w:rsidR="00EF2415" w:rsidRPr="00AF1155" w:rsidRDefault="00EF2415" w:rsidP="00EF2415">
      <w:pPr>
        <w:pStyle w:val="Eindnoottekst"/>
      </w:pPr>
      <w:r>
        <w:rPr>
          <w:rStyle w:val="Eindnootmarkering"/>
        </w:rPr>
        <w:endnoteRef/>
      </w:r>
      <w:r>
        <w:t xml:space="preserve"> </w:t>
      </w:r>
      <w:r w:rsidRPr="00077012">
        <w:t>Hatton, T. J. 2020. “Asylum Migration to the Developed World: Persecution, Incentives, and Policy.” Journal of Economic Perspectives, 34(1): 75-93.</w:t>
      </w:r>
      <w:r w:rsidRPr="00AF1155">
        <w:t xml:space="preserve">UNHCR. </w:t>
      </w:r>
      <w:r>
        <w:t>2</w:t>
      </w:r>
      <w:r w:rsidRPr="00AF1155">
        <w:t xml:space="preserve">018. UNHCR Global Trends: Forced </w:t>
      </w:r>
      <w:r>
        <w:t>d</w:t>
      </w:r>
      <w:r w:rsidRPr="00AF1155">
        <w:t>isp</w:t>
      </w:r>
      <w:r>
        <w:t xml:space="preserve">lacement in 2018. Geneva: UNHCR; </w:t>
      </w:r>
    </w:p>
  </w:endnote>
  <w:endnote w:id="15">
    <w:p w:rsidR="00EF2415" w:rsidRPr="00AA552D" w:rsidRDefault="00EF2415" w:rsidP="00EF2415">
      <w:pPr>
        <w:pStyle w:val="Eindnoottekst"/>
      </w:pPr>
      <w:r>
        <w:rPr>
          <w:rStyle w:val="Eindnootmarkering"/>
        </w:rPr>
        <w:endnoteRef/>
      </w:r>
      <w:r>
        <w:t xml:space="preserve"> </w:t>
      </w:r>
      <w:r w:rsidRPr="00AA552D">
        <w:t xml:space="preserve">Fransen, Sonja, and Hein de Haas. (2019) </w:t>
      </w:r>
      <w:hyperlink r:id="rId9" w:history="1">
        <w:r w:rsidRPr="00AA552D">
          <w:rPr>
            <w:rStyle w:val="Hyperlink"/>
          </w:rPr>
          <w:t>The Volume and Geography of Forced Migration</w:t>
        </w:r>
      </w:hyperlink>
      <w:r w:rsidRPr="00AA552D">
        <w:t>. MADE/IMI Working paper no. 156. International Migration Institute.</w:t>
      </w:r>
    </w:p>
  </w:endnote>
  <w:endnote w:id="16">
    <w:p w:rsidR="00EF2415" w:rsidRPr="00162320" w:rsidRDefault="00EF2415" w:rsidP="00EF2415">
      <w:pPr>
        <w:pStyle w:val="Eindnoottekst"/>
      </w:pPr>
      <w:r>
        <w:rPr>
          <w:rStyle w:val="Eindnootmarkering"/>
        </w:rPr>
        <w:endnoteRef/>
      </w:r>
      <w:r w:rsidRPr="005A7C48">
        <w:t xml:space="preserve"> Zhang, S. X., Sanchez, G. E. &amp; Achilli, L. 2018. </w:t>
      </w:r>
      <w:r w:rsidRPr="00162320">
        <w:t>Crimes of solidarity in mobility: Alternative views on migrant smuggling. The ANNALS of the American Academy of Political and Social Science, 676, 6–15</w:t>
      </w:r>
      <w:r>
        <w:t xml:space="preserve">; </w:t>
      </w:r>
      <w:r w:rsidRPr="00162320">
        <w:t>van Liempt, I. 2007. Navigating Borders. AnInside Perspective into the Process of Human Smuggling, Amsterdam, Amsterdam Univer- sity Press.</w:t>
      </w:r>
    </w:p>
  </w:endnote>
  <w:endnote w:id="17">
    <w:p w:rsidR="00EF2415" w:rsidRPr="00162320" w:rsidRDefault="00EF2415" w:rsidP="00EF2415">
      <w:pPr>
        <w:pStyle w:val="Eindnoottekst"/>
      </w:pPr>
      <w:r>
        <w:rPr>
          <w:rStyle w:val="Eindnootmarkering"/>
        </w:rPr>
        <w:endnoteRef/>
      </w:r>
      <w:r>
        <w:t xml:space="preserve"> </w:t>
      </w:r>
      <w:r w:rsidRPr="00162320">
        <w:t>Agunias, D. R., 2009. Guiding the Invisible Hand: Making Migration Intermediaries Work for Development. Human Development Research Paper No.22, New York, United Nations Development Programme, Human Develop- ment Report Office.</w:t>
      </w:r>
    </w:p>
  </w:endnote>
  <w:endnote w:id="18">
    <w:p w:rsidR="00EF2415" w:rsidRPr="00AA552D" w:rsidRDefault="00EF2415" w:rsidP="00EF2415">
      <w:pPr>
        <w:pStyle w:val="Eindnoottekst"/>
      </w:pPr>
      <w:r>
        <w:rPr>
          <w:rStyle w:val="Eindnootmarkering"/>
        </w:rPr>
        <w:endnoteRef/>
      </w:r>
      <w:r>
        <w:t xml:space="preserve"> </w:t>
      </w:r>
      <w:r w:rsidRPr="003C2788">
        <w:t>de Haas, Hein</w:t>
      </w:r>
      <w:r>
        <w:t xml:space="preserve">, </w:t>
      </w:r>
      <w:r w:rsidRPr="003C2788">
        <w:t>S</w:t>
      </w:r>
      <w:r>
        <w:t>tephen</w:t>
      </w:r>
      <w:r w:rsidRPr="003C2788">
        <w:t xml:space="preserve"> Castles and M</w:t>
      </w:r>
      <w:r>
        <w:t>ark</w:t>
      </w:r>
      <w:r w:rsidRPr="003C2788">
        <w:t xml:space="preserve"> J. Miller (2020). </w:t>
      </w:r>
      <w:hyperlink r:id="rId10" w:history="1">
        <w:r w:rsidRPr="000D71F8">
          <w:rPr>
            <w:rStyle w:val="Hyperlink"/>
          </w:rPr>
          <w:t>The Age of Migration: International Population Movements in the Modern World</w:t>
        </w:r>
      </w:hyperlink>
      <w:r w:rsidRPr="003C2788">
        <w:t>. Fully revised sixth edition. Red Globe Press.</w:t>
      </w:r>
    </w:p>
  </w:endnote>
  <w:endnote w:id="19">
    <w:p w:rsidR="00EF2415" w:rsidRPr="0052133D" w:rsidRDefault="00EF2415" w:rsidP="00EF2415">
      <w:pPr>
        <w:pStyle w:val="Eindnoottekst"/>
      </w:pPr>
      <w:r>
        <w:rPr>
          <w:rStyle w:val="Eindnootmarkering"/>
        </w:rPr>
        <w:endnoteRef/>
      </w:r>
      <w:r>
        <w:t xml:space="preserve"> Hatton, T. J. 2009. “The Rise and Fall of Asylum: What Happened and Why?” The Economic Journal 119(535): F183–F213; Hatton, T. J. 2017. “Refugees and Asylum Seekers, the Crisis in Europe and the Future of Policy.” Economic Policy 32(91): 447–496; Hatton, T. J. 2020. “Asylum Migration to the Developed World: Persecution, Incentives, and Policy.” Journal of Economic Perspectives, 34(1): 75-93.</w:t>
      </w:r>
    </w:p>
  </w:endnote>
  <w:endnote w:id="20">
    <w:p w:rsidR="00EF2415" w:rsidRPr="00265473" w:rsidRDefault="00EF2415" w:rsidP="00EF2415">
      <w:pPr>
        <w:pStyle w:val="Eindnoottekst"/>
      </w:pPr>
      <w:r>
        <w:rPr>
          <w:rStyle w:val="Eindnootmarkering"/>
        </w:rPr>
        <w:endnoteRef/>
      </w:r>
      <w:r>
        <w:t xml:space="preserve"> </w:t>
      </w:r>
      <w:r w:rsidRPr="00265473">
        <w:t>Massey, D</w:t>
      </w:r>
      <w:r>
        <w:t>ouglas</w:t>
      </w:r>
      <w:r w:rsidRPr="00265473">
        <w:t xml:space="preserve">. S. 1990. </w:t>
      </w:r>
      <w:hyperlink r:id="rId11" w:anchor="metadata_info_tab_contents" w:history="1">
        <w:r w:rsidRPr="00265473">
          <w:rPr>
            <w:rStyle w:val="Hyperlink"/>
          </w:rPr>
          <w:t>Social structure, household strategies, and the cumulative causation of migration</w:t>
        </w:r>
      </w:hyperlink>
      <w:r w:rsidRPr="00265473">
        <w:t xml:space="preserve">. Population Index, 56, 3–26. </w:t>
      </w:r>
      <w:r>
        <w:t xml:space="preserve">De Haas, Hein. </w:t>
      </w:r>
      <w:r w:rsidRPr="00265473">
        <w:t xml:space="preserve">2010. </w:t>
      </w:r>
      <w:hyperlink r:id="rId12" w:history="1">
        <w:r w:rsidRPr="00265473">
          <w:rPr>
            <w:rStyle w:val="Hyperlink"/>
          </w:rPr>
          <w:t>The internal dynamics of migration processes: A theoretical inquiry</w:t>
        </w:r>
      </w:hyperlink>
      <w:r w:rsidRPr="00265473">
        <w:t>. Journal of Ethnic and Migration Studies, 36, 1587–1617</w:t>
      </w:r>
      <w:r>
        <w:t xml:space="preserve">; </w:t>
      </w:r>
    </w:p>
  </w:endnote>
  <w:endnote w:id="21">
    <w:p w:rsidR="00EF2415" w:rsidRDefault="00EF2415" w:rsidP="00EF2415">
      <w:pPr>
        <w:pStyle w:val="Eindnoottekst"/>
      </w:pPr>
      <w:r>
        <w:rPr>
          <w:rStyle w:val="Eindnootmarkering"/>
        </w:rPr>
        <w:endnoteRef/>
      </w:r>
      <w:r>
        <w:t xml:space="preserve"> Databron: CBS (migratiesaldo) en World Bank Development Indicators. </w:t>
      </w:r>
    </w:p>
  </w:endnote>
  <w:endnote w:id="22">
    <w:p w:rsidR="00EF2415" w:rsidRPr="00AA552D" w:rsidRDefault="00EF2415" w:rsidP="00EF2415">
      <w:pPr>
        <w:pStyle w:val="Eindnoottekst"/>
      </w:pPr>
      <w:r>
        <w:rPr>
          <w:rStyle w:val="Eindnootmarkering"/>
        </w:rPr>
        <w:endnoteRef/>
      </w:r>
      <w:r>
        <w:t xml:space="preserve"> Ambrosini, M. 2015. Irregular but tolerated: Unauthorized immigration, elderly care recipients, and invisible welfare. Migration Studies, 3, 199–216.</w:t>
      </w:r>
    </w:p>
  </w:endnote>
  <w:endnote w:id="23">
    <w:p w:rsidR="00EF2415" w:rsidRPr="005A0FE2" w:rsidRDefault="00EF2415" w:rsidP="00EF2415">
      <w:pPr>
        <w:pStyle w:val="Eindnoottekst"/>
      </w:pPr>
      <w:r>
        <w:rPr>
          <w:rStyle w:val="Eindnootmarkering"/>
        </w:rPr>
        <w:endnoteRef/>
      </w:r>
      <w:r>
        <w:t xml:space="preserve"> </w:t>
      </w:r>
      <w:r w:rsidRPr="007B3070">
        <w:t>Czaika, Mathias. 2015. “Migration and economic prospects,” Journal of Ethnic and Migration Studies 4(1): 58–82.b; Czaika, Mathis. and Hein de Haas 2014. “</w:t>
      </w:r>
      <w:hyperlink r:id="rId13" w:history="1">
        <w:r w:rsidRPr="00224F9B">
          <w:rPr>
            <w:rStyle w:val="Hyperlink"/>
          </w:rPr>
          <w:t>The Globalisation of Migration: Has the world become more migratory</w:t>
        </w:r>
      </w:hyperlink>
      <w:r w:rsidRPr="007B3070">
        <w:t>?” International Migration Review 48(2): 283–323. Hatton, Timothy J., and Jeffrey G. Williamson. 2005. Global Migration and the World Economy: Two Centuries of Policy Performance. Cambridge: MIT Press.</w:t>
      </w:r>
    </w:p>
  </w:endnote>
  <w:endnote w:id="24">
    <w:p w:rsidR="00EF2415" w:rsidRPr="00554586" w:rsidRDefault="00EF2415" w:rsidP="00EF2415">
      <w:pPr>
        <w:pStyle w:val="Eindnoottekst"/>
      </w:pPr>
      <w:r>
        <w:rPr>
          <w:rStyle w:val="Eindnootmarkering"/>
        </w:rPr>
        <w:endnoteRef/>
      </w:r>
      <w:r>
        <w:t xml:space="preserve"> </w:t>
      </w:r>
      <w:r w:rsidRPr="00265473">
        <w:t>de Haas, Hein, Mathias Czaika, Marie‐Laurence Flahaux, Edo Mahendra, Katharina Natter, Simona Vezzoli and María Villares‐Varela (2019). “</w:t>
      </w:r>
      <w:hyperlink r:id="rId14" w:history="1">
        <w:r w:rsidRPr="00265473">
          <w:rPr>
            <w:rStyle w:val="Hyperlink"/>
          </w:rPr>
          <w:t>International Migration: Trends, Determinants, and Policy Effects</w:t>
        </w:r>
      </w:hyperlink>
      <w:r w:rsidRPr="00265473">
        <w:t>” Population and Development Review</w:t>
      </w:r>
      <w:r>
        <w:t xml:space="preserve">; </w:t>
      </w:r>
      <w:r w:rsidRPr="007B3070">
        <w:t>Czaika, Mathi</w:t>
      </w:r>
      <w:r>
        <w:t>a</w:t>
      </w:r>
      <w:r w:rsidRPr="007B3070">
        <w:t>s and Hein de Haas . 2016. “</w:t>
      </w:r>
      <w:hyperlink r:id="rId15" w:history="1">
        <w:r w:rsidRPr="00224F9B">
          <w:rPr>
            <w:rStyle w:val="Hyperlink"/>
          </w:rPr>
          <w:t>The effect of visas on migration processes</w:t>
        </w:r>
      </w:hyperlink>
      <w:r w:rsidRPr="007B3070">
        <w:t>,” International</w:t>
      </w:r>
      <w:r w:rsidRPr="00265473">
        <w:t xml:space="preserve"> </w:t>
      </w:r>
      <w:r w:rsidRPr="007B3070">
        <w:t>Migration</w:t>
      </w:r>
      <w:r w:rsidRPr="00265473">
        <w:t xml:space="preserve"> </w:t>
      </w:r>
      <w:r w:rsidRPr="007B3070">
        <w:t>Review 51(4): 893– 926</w:t>
      </w:r>
      <w:r w:rsidRPr="00265473">
        <w:t>;</w:t>
      </w:r>
      <w:r>
        <w:t xml:space="preserve"> </w:t>
      </w:r>
      <w:r w:rsidRPr="008D3BD9">
        <w:t>BBC/MPI. 2010. Migration and Immigrants Two Years after the Financial Collapse: Where Do We Stand?, London and Washington, D.C., BBC World Service and Migration Policy Institute</w:t>
      </w:r>
    </w:p>
  </w:endnote>
  <w:endnote w:id="25">
    <w:p w:rsidR="00EF2415" w:rsidRPr="00224F9B" w:rsidRDefault="00EF2415" w:rsidP="00EF2415">
      <w:pPr>
        <w:pStyle w:val="Eindnoottekst"/>
      </w:pPr>
      <w:r>
        <w:rPr>
          <w:rStyle w:val="Eindnootmarkering"/>
        </w:rPr>
        <w:endnoteRef/>
      </w:r>
      <w:r>
        <w:t xml:space="preserve"> De Haas, Hein</w:t>
      </w:r>
      <w:r w:rsidRPr="00224F9B">
        <w:t xml:space="preserve"> 2007. "</w:t>
      </w:r>
      <w:hyperlink r:id="rId16" w:history="1">
        <w:r w:rsidRPr="00224F9B">
          <w:rPr>
            <w:rStyle w:val="Hyperlink"/>
          </w:rPr>
          <w:t>Turning the tide? Why development will not stop migration</w:t>
        </w:r>
      </w:hyperlink>
      <w:r w:rsidRPr="00224F9B">
        <w:t>." Devel</w:t>
      </w:r>
      <w:r>
        <w:t xml:space="preserve">opment and Change 38(5):819-41; de Haas, Hein </w:t>
      </w:r>
      <w:r w:rsidRPr="00224F9B">
        <w:t>2010. "</w:t>
      </w:r>
      <w:hyperlink r:id="rId17" w:history="1">
        <w:r w:rsidRPr="00224F9B">
          <w:rPr>
            <w:rStyle w:val="Hyperlink"/>
          </w:rPr>
          <w:t>Migration transitions: A theoretical and empirical inquiry into the developmental drivers of international migration</w:t>
        </w:r>
      </w:hyperlink>
      <w:r w:rsidRPr="00224F9B">
        <w:t>." Oxford:</w:t>
      </w:r>
      <w:r>
        <w:t xml:space="preserve"> </w:t>
      </w:r>
      <w:r w:rsidRPr="00224F9B">
        <w:t>International Migration Institute, University of Oxford.</w:t>
      </w:r>
    </w:p>
  </w:endnote>
  <w:endnote w:id="26">
    <w:p w:rsidR="00EF2415" w:rsidRDefault="00EF2415" w:rsidP="00EF2415">
      <w:pPr>
        <w:pStyle w:val="Eindnoottekst"/>
      </w:pPr>
      <w:r>
        <w:rPr>
          <w:rStyle w:val="Eindnootmarkering"/>
        </w:rPr>
        <w:endnoteRef/>
      </w:r>
      <w:r>
        <w:t xml:space="preserve"> Bron: de Haas, Hein </w:t>
      </w:r>
      <w:r w:rsidRPr="00224F9B">
        <w:t>2010. "</w:t>
      </w:r>
      <w:hyperlink r:id="rId18" w:history="1">
        <w:r w:rsidRPr="00224F9B">
          <w:rPr>
            <w:rStyle w:val="Hyperlink"/>
          </w:rPr>
          <w:t>Migration transitions: A theoretical and empirical inquiry into the developmental drivers of international migration</w:t>
        </w:r>
      </w:hyperlink>
      <w:r w:rsidRPr="00224F9B">
        <w:t>." Oxford:</w:t>
      </w:r>
      <w:r>
        <w:t xml:space="preserve"> </w:t>
      </w:r>
      <w:r w:rsidRPr="00224F9B">
        <w:t xml:space="preserve">International Migration </w:t>
      </w:r>
      <w:r>
        <w:t>Institute, University of Oxford;</w:t>
      </w:r>
    </w:p>
  </w:endnote>
  <w:endnote w:id="27">
    <w:p w:rsidR="00EF2415" w:rsidRPr="00171DC4" w:rsidRDefault="00EF2415" w:rsidP="00EF2415">
      <w:pPr>
        <w:pStyle w:val="Eindnoottekst"/>
      </w:pPr>
      <w:r>
        <w:rPr>
          <w:rStyle w:val="Eindnootmarkering"/>
        </w:rPr>
        <w:endnoteRef/>
      </w:r>
      <w:r>
        <w:t xml:space="preserve"> </w:t>
      </w:r>
      <w:r w:rsidRPr="00171DC4">
        <w:t xml:space="preserve">Schewel, K., &amp; Fransen, S. (2018). </w:t>
      </w:r>
      <w:hyperlink r:id="rId19" w:history="1">
        <w:r w:rsidRPr="00171DC4">
          <w:rPr>
            <w:rStyle w:val="Hyperlink"/>
          </w:rPr>
          <w:t>Formal education and migration aspirations in Ethiopia</w:t>
        </w:r>
      </w:hyperlink>
      <w:r w:rsidRPr="00171DC4">
        <w:t>. Population and</w:t>
      </w:r>
      <w:r>
        <w:t xml:space="preserve"> development review, 44(3), 555; </w:t>
      </w:r>
      <w:r w:rsidRPr="00171DC4">
        <w:t>Massey, Douglas, Nathalie Williams, William G. Axinn, and Dirgha J. Ghimire. 2010. “</w:t>
      </w:r>
      <w:hyperlink r:id="rId20" w:history="1">
        <w:r w:rsidRPr="00072295">
          <w:rPr>
            <w:rStyle w:val="Hyperlink"/>
          </w:rPr>
          <w:t>Community services and out-migration</w:t>
        </w:r>
      </w:hyperlink>
      <w:r w:rsidRPr="00171DC4">
        <w:t>,” International</w:t>
      </w:r>
      <w:r>
        <w:t xml:space="preserve"> </w:t>
      </w:r>
      <w:r w:rsidRPr="00171DC4">
        <w:t>Migration 48(3): 1–41. https://doi.org/10.1111/ j.1468-2435.2009.00581.</w:t>
      </w:r>
    </w:p>
  </w:endnote>
  <w:endnote w:id="28">
    <w:p w:rsidR="00EF2415" w:rsidRPr="00554586" w:rsidRDefault="00EF2415" w:rsidP="00EF2415">
      <w:pPr>
        <w:pStyle w:val="Eindnoottekst"/>
      </w:pPr>
      <w:r>
        <w:rPr>
          <w:rStyle w:val="Eindnootmarkering"/>
        </w:rPr>
        <w:endnoteRef/>
      </w:r>
      <w:r>
        <w:t xml:space="preserve"> </w:t>
      </w:r>
      <w:r w:rsidRPr="008D3BD9">
        <w:t>Zelinsky, Z. 1971. The hypothesis of the mobility transition. Geographical Review, 61, 219–249</w:t>
      </w:r>
      <w:r>
        <w:t xml:space="preserve">; </w:t>
      </w:r>
      <w:r w:rsidRPr="008D3BD9">
        <w:t>Massey, D. S. 1988. Economic development and international migration in comparative per- spective. Population and Development Review, 14, 383–413</w:t>
      </w:r>
      <w:r>
        <w:t xml:space="preserve">; </w:t>
      </w:r>
      <w:r w:rsidRPr="008D3BD9">
        <w:t>Skeldon, R. 1997. Migration and Development:</w:t>
      </w:r>
      <w:r>
        <w:t xml:space="preserve"> </w:t>
      </w:r>
      <w:r w:rsidRPr="008D3BD9">
        <w:t>A Global Perspective, Harlow, Essex, Addison</w:t>
      </w:r>
      <w:r>
        <w:t xml:space="preserve"> </w:t>
      </w:r>
      <w:r w:rsidRPr="008D3BD9">
        <w:t>Wesley Longman</w:t>
      </w:r>
      <w:r>
        <w:t xml:space="preserve">; </w:t>
      </w:r>
      <w:r w:rsidRPr="008D3BD9">
        <w:t>Hatton, T. J. &amp; Williamson, J. G. 1998. The Age of Mass Migration: Causes and Economic Effects, Oxford and New York, Oxford Uni- versity Press.</w:t>
      </w:r>
    </w:p>
  </w:endnote>
  <w:endnote w:id="29">
    <w:p w:rsidR="00EF2415" w:rsidRPr="00EB6456" w:rsidRDefault="00EF2415" w:rsidP="00EF2415">
      <w:pPr>
        <w:rPr>
          <w:rFonts w:ascii="Calibri" w:eastAsia="Times New Roman" w:hAnsi="Calibri" w:cs="Times New Roman"/>
          <w:sz w:val="20"/>
          <w:szCs w:val="20"/>
          <w:lang w:eastAsia="nl-NL"/>
        </w:rPr>
      </w:pPr>
      <w:r w:rsidRPr="00EB6456">
        <w:rPr>
          <w:rStyle w:val="Eindnootmarkering"/>
          <w:rFonts w:ascii="Calibri" w:hAnsi="Calibri"/>
          <w:sz w:val="20"/>
          <w:szCs w:val="20"/>
        </w:rPr>
        <w:endnoteRef/>
      </w:r>
      <w:r w:rsidRPr="00EB6456">
        <w:rPr>
          <w:rFonts w:ascii="Calibri" w:hAnsi="Calibri"/>
          <w:sz w:val="20"/>
          <w:szCs w:val="20"/>
        </w:rPr>
        <w:t xml:space="preserve"> </w:t>
      </w:r>
      <w:r w:rsidRPr="00EB6456">
        <w:rPr>
          <w:rFonts w:ascii="Calibri" w:eastAsia="Times New Roman" w:hAnsi="Calibri" w:cs="Times New Roman"/>
          <w:color w:val="262626"/>
          <w:sz w:val="20"/>
          <w:szCs w:val="20"/>
          <w:shd w:val="clear" w:color="auto" w:fill="FFFFFF"/>
          <w:lang w:eastAsia="nl-NL"/>
        </w:rPr>
        <w:t>Verzamelnaam voor statistische verwerking van gegevens waarmee de werking van meerdere onafhankelijke variabelen op de afhankelijke variabele in hun onderlinge interactie kan worden nagegaan</w:t>
      </w:r>
      <w:r>
        <w:rPr>
          <w:rFonts w:ascii="Calibri" w:eastAsia="Times New Roman" w:hAnsi="Calibri" w:cs="Times New Roman"/>
          <w:color w:val="262626"/>
          <w:sz w:val="20"/>
          <w:szCs w:val="20"/>
          <w:shd w:val="clear" w:color="auto" w:fill="FFFFFF"/>
          <w:lang w:eastAsia="nl-NL"/>
        </w:rPr>
        <w:t xml:space="preserve"> (bron: Ensie)</w:t>
      </w:r>
    </w:p>
  </w:endnote>
  <w:endnote w:id="30">
    <w:p w:rsidR="00EF2415" w:rsidRPr="004870A9" w:rsidRDefault="00EF2415" w:rsidP="00EF2415">
      <w:pPr>
        <w:pStyle w:val="Eindnoottekst"/>
      </w:pPr>
      <w:r>
        <w:rPr>
          <w:rStyle w:val="Eindnootmarkering"/>
        </w:rPr>
        <w:endnoteRef/>
      </w:r>
      <w:r>
        <w:t xml:space="preserve"> </w:t>
      </w:r>
      <w:r w:rsidRPr="004870A9">
        <w:t>Clemens, M. A. 2014. Does Development Reduce Migration?. Washington, DC: Center for Global Development</w:t>
      </w:r>
      <w:r>
        <w:t xml:space="preserve">; de Haas, Hein </w:t>
      </w:r>
      <w:r w:rsidRPr="00224F9B">
        <w:t>2010. "</w:t>
      </w:r>
      <w:hyperlink r:id="rId21" w:history="1">
        <w:r w:rsidRPr="00224F9B">
          <w:rPr>
            <w:rStyle w:val="Hyperlink"/>
          </w:rPr>
          <w:t>Migration transitions: A theoretical and empirical inquiry into the developmental drivers of international migration</w:t>
        </w:r>
      </w:hyperlink>
      <w:r w:rsidRPr="00224F9B">
        <w:t>." Oxford:</w:t>
      </w:r>
      <w:r>
        <w:t xml:space="preserve"> </w:t>
      </w:r>
      <w:r w:rsidRPr="00224F9B">
        <w:t xml:space="preserve">International Migration </w:t>
      </w:r>
      <w:r>
        <w:t xml:space="preserve">Institute, University of Oxford; </w:t>
      </w:r>
      <w:r w:rsidRPr="004870A9">
        <w:t>de Haas, Hein and Sonja Fransen. 2018. “</w:t>
      </w:r>
      <w:hyperlink r:id="rId22" w:history="1">
        <w:r w:rsidRPr="004870A9">
          <w:rPr>
            <w:rStyle w:val="Hyperlink"/>
          </w:rPr>
          <w:t>Social transformation and migration: An empirical inquiry</w:t>
        </w:r>
      </w:hyperlink>
      <w:r w:rsidRPr="004870A9">
        <w:t>,”. Amsterdam: International Migration Institute, University of Amsterdam</w:t>
      </w:r>
      <w:r>
        <w:t xml:space="preserve">; Clemens, Michael (2020) </w:t>
      </w:r>
      <w:hyperlink r:id="rId23" w:history="1">
        <w:r w:rsidRPr="004870A9">
          <w:rPr>
            <w:rStyle w:val="Hyperlink"/>
          </w:rPr>
          <w:t>The Emigration Life Cycle: How Development Shapes Emigration from Poor Countries</w:t>
        </w:r>
      </w:hyperlink>
      <w:r w:rsidRPr="004870A9">
        <w:t>”, CGD Working</w:t>
      </w:r>
      <w:r>
        <w:t xml:space="preserve"> </w:t>
      </w:r>
      <w:r w:rsidRPr="004870A9">
        <w:t>Paper540,</w:t>
      </w:r>
      <w:r>
        <w:t xml:space="preserve"> </w:t>
      </w:r>
      <w:r w:rsidRPr="004870A9">
        <w:t>Washington,</w:t>
      </w:r>
      <w:r>
        <w:t xml:space="preserve"> </w:t>
      </w:r>
      <w:r w:rsidRPr="004870A9">
        <w:t>DC:</w:t>
      </w:r>
      <w:r>
        <w:t xml:space="preserve"> </w:t>
      </w:r>
      <w:r w:rsidRPr="004870A9">
        <w:t>Center</w:t>
      </w:r>
      <w:r>
        <w:t xml:space="preserve"> </w:t>
      </w:r>
      <w:r w:rsidRPr="004870A9">
        <w:t>for</w:t>
      </w:r>
      <w:r>
        <w:t xml:space="preserve"> </w:t>
      </w:r>
      <w:r w:rsidRPr="004870A9">
        <w:t>Global</w:t>
      </w:r>
      <w:r>
        <w:t xml:space="preserve"> </w:t>
      </w:r>
      <w:r w:rsidRPr="004870A9">
        <w:t>Development.</w:t>
      </w:r>
    </w:p>
  </w:endnote>
  <w:endnote w:id="31">
    <w:p w:rsidR="00EF2415" w:rsidRPr="008170F2" w:rsidRDefault="00EF2415" w:rsidP="00EF2415">
      <w:pPr>
        <w:rPr>
          <w:rFonts w:ascii="Calibri" w:eastAsia="Times New Roman" w:hAnsi="Calibri" w:cs="Times New Roman"/>
          <w:sz w:val="20"/>
          <w:szCs w:val="20"/>
          <w:lang w:eastAsia="nl-NL"/>
        </w:rPr>
      </w:pPr>
      <w:r w:rsidRPr="008170F2">
        <w:rPr>
          <w:rStyle w:val="Eindnootmarkering"/>
          <w:rFonts w:ascii="Calibri" w:hAnsi="Calibri"/>
          <w:sz w:val="20"/>
          <w:szCs w:val="20"/>
        </w:rPr>
        <w:endnoteRef/>
      </w:r>
      <w:r w:rsidRPr="008170F2">
        <w:rPr>
          <w:rFonts w:ascii="Calibri" w:hAnsi="Calibri"/>
          <w:sz w:val="20"/>
          <w:szCs w:val="20"/>
        </w:rPr>
        <w:t xml:space="preserve"> </w:t>
      </w:r>
      <w:r w:rsidRPr="008170F2">
        <w:rPr>
          <w:rFonts w:ascii="Calibri" w:eastAsia="Times New Roman" w:hAnsi="Calibri" w:cs="Times New Roman"/>
          <w:color w:val="111111"/>
          <w:sz w:val="20"/>
          <w:szCs w:val="20"/>
          <w:shd w:val="clear" w:color="auto" w:fill="FFFFFF"/>
          <w:lang w:eastAsia="nl-NL"/>
        </w:rPr>
        <w:t>Een uitstulping in de statistiek van de leeftijdsopbouw in een land – ontstaat als minstens 30 procent van de mannen tussen de 15 en 29 jaar is. </w:t>
      </w:r>
    </w:p>
  </w:endnote>
  <w:endnote w:id="32">
    <w:p w:rsidR="00EF2415" w:rsidRPr="00554586" w:rsidRDefault="00EF2415" w:rsidP="00EF2415">
      <w:pPr>
        <w:pStyle w:val="Eindnoottekst"/>
      </w:pPr>
      <w:r>
        <w:rPr>
          <w:rStyle w:val="Eindnootmarkering"/>
        </w:rPr>
        <w:endnoteRef/>
      </w:r>
      <w:r>
        <w:t xml:space="preserve"> Czaika, Mathias and </w:t>
      </w:r>
      <w:r w:rsidRPr="008D3BD9">
        <w:t>de Haas, Hein</w:t>
      </w:r>
      <w:r>
        <w:t xml:space="preserve"> </w:t>
      </w:r>
      <w:r w:rsidRPr="008D3BD9">
        <w:t>(2012) ‘</w:t>
      </w:r>
      <w:hyperlink r:id="rId24" w:history="1">
        <w:r w:rsidRPr="008D3BD9">
          <w:rPr>
            <w:rStyle w:val="Hyperlink"/>
          </w:rPr>
          <w:t>The Role of Internal and International Relative Deprivation in Global Migration</w:t>
        </w:r>
      </w:hyperlink>
      <w:r w:rsidRPr="008D3BD9">
        <w:t>’, Oxford Development Studies 40 (4): 423-42</w:t>
      </w:r>
    </w:p>
  </w:endnote>
  <w:endnote w:id="33">
    <w:p w:rsidR="00EF2415" w:rsidRDefault="00EF2415" w:rsidP="00EF2415">
      <w:pPr>
        <w:pStyle w:val="Eindnoottekst"/>
      </w:pPr>
      <w:r>
        <w:rPr>
          <w:rStyle w:val="Eindnootmarkering"/>
        </w:rPr>
        <w:endnoteRef/>
      </w:r>
      <w:r>
        <w:t xml:space="preserve"> Kureková, Lucia. 2013. “Welfare Systems as Emigration Factor: Evidence from the New Accession</w:t>
      </w:r>
    </w:p>
    <w:p w:rsidR="00EF2415" w:rsidRPr="00554586" w:rsidRDefault="00EF2415" w:rsidP="00EF2415">
      <w:pPr>
        <w:pStyle w:val="Eindnoottekst"/>
        <w:rPr>
          <w:lang w:val="nl-NL"/>
        </w:rPr>
      </w:pPr>
      <w:r>
        <w:t xml:space="preserve">States,” Journal of Common Market Studies 51(4): 721–739; Mahendra, Edo </w:t>
      </w:r>
      <w:r w:rsidRPr="00553691">
        <w:t xml:space="preserve">. forthcoming. “Is There a Reverse Welfare Magnet? The Effect of Social Policy in Devel- oping Countries on International Migration,” IMI/DEMIG Working Paper/DEMIG. </w:t>
      </w:r>
      <w:r w:rsidRPr="00554586">
        <w:rPr>
          <w:lang w:val="nl-NL"/>
        </w:rPr>
        <w:t>Amsterdam: University of Amsterdam.</w:t>
      </w:r>
    </w:p>
  </w:endnote>
  <w:endnote w:id="34">
    <w:p w:rsidR="00EF2415" w:rsidRPr="00043C43" w:rsidRDefault="00EF2415" w:rsidP="00EF2415">
      <w:pPr>
        <w:pStyle w:val="Eindnoottekst"/>
      </w:pPr>
      <w:r>
        <w:rPr>
          <w:rStyle w:val="Eindnootmarkering"/>
        </w:rPr>
        <w:endnoteRef/>
      </w:r>
      <w:r w:rsidRPr="009632E8">
        <w:rPr>
          <w:lang w:val="nl-NL"/>
        </w:rPr>
        <w:t xml:space="preserve"> de Bruijn, Mirjam, and Han van Dijk. 2003. </w:t>
      </w:r>
      <w:r w:rsidRPr="002F1E76">
        <w:t>"Changing population mobility in West Africa: Fulbe pastoralists in Central and South Mali." A</w:t>
      </w:r>
      <w:r>
        <w:t xml:space="preserve">frican Affairs 102(407):285-307; </w:t>
      </w:r>
      <w:r w:rsidRPr="002F1E76">
        <w:t>Schareika, Nikolaus. 2001. "Environmental knowledge and pastoral migration among the Wodaabe of south-easter</w:t>
      </w:r>
      <w:r>
        <w:t>n Niger." Nomadic Peoples:65-88</w:t>
      </w:r>
    </w:p>
  </w:endnote>
  <w:endnote w:id="35">
    <w:p w:rsidR="00EF2415" w:rsidRPr="00A6028A" w:rsidRDefault="00EF2415" w:rsidP="00EF2415">
      <w:pPr>
        <w:pStyle w:val="Eindnoottekst"/>
      </w:pPr>
      <w:r>
        <w:rPr>
          <w:rStyle w:val="Eindnootmarkering"/>
        </w:rPr>
        <w:endnoteRef/>
      </w:r>
      <w:r>
        <w:t xml:space="preserve"> </w:t>
      </w:r>
      <w:r w:rsidRPr="0090798D">
        <w:t>Foresight. 2011. "</w:t>
      </w:r>
      <w:hyperlink r:id="rId25" w:history="1">
        <w:r w:rsidRPr="000D71F8">
          <w:rPr>
            <w:rStyle w:val="Hyperlink"/>
          </w:rPr>
          <w:t>Foresight: Migration and Global Environmental Change</w:t>
        </w:r>
      </w:hyperlink>
      <w:r w:rsidRPr="0090798D">
        <w:t>." London: UK Government Office for Science; Jónsson, Gunvor. 2010. "</w:t>
      </w:r>
      <w:hyperlink r:id="rId26" w:history="1">
        <w:r w:rsidRPr="000D71F8">
          <w:rPr>
            <w:rStyle w:val="Hyperlink"/>
          </w:rPr>
          <w:t>The environmental factor in migration dynamics: a review of African case studies</w:t>
        </w:r>
      </w:hyperlink>
      <w:r w:rsidRPr="0090798D">
        <w:t xml:space="preserve">." Oxford: University of Oxford; De Haas, Hein. 2020. </w:t>
      </w:r>
      <w:hyperlink r:id="rId27" w:history="1">
        <w:r w:rsidRPr="0090798D">
          <w:rPr>
            <w:rStyle w:val="Hyperlink"/>
          </w:rPr>
          <w:t>Climate refugees: The fabrication of a migration threat</w:t>
        </w:r>
      </w:hyperlink>
      <w:r w:rsidRPr="0090798D">
        <w:t>.</w:t>
      </w:r>
      <w:r>
        <w:t xml:space="preserve">; </w:t>
      </w:r>
      <w:r w:rsidRPr="00A6028A">
        <w:t>Black, R., D. Kniveton, and K. Schmidt-Verkerk. 2011. "Migration and climate change: towards an integrated assessment of sensitivity." Environment and Planning A 43(2):431-50.</w:t>
      </w:r>
      <w:r>
        <w:t xml:space="preserve"> </w:t>
      </w:r>
    </w:p>
  </w:endnote>
  <w:endnote w:id="36">
    <w:p w:rsidR="00EF2415" w:rsidRPr="0090798D" w:rsidRDefault="00EF2415" w:rsidP="00EF2415">
      <w:pPr>
        <w:pStyle w:val="Eindnoottekst"/>
      </w:pPr>
      <w:r>
        <w:rPr>
          <w:rStyle w:val="Eindnootmarkering"/>
        </w:rPr>
        <w:endnoteRef/>
      </w:r>
      <w:r>
        <w:t xml:space="preserve"> </w:t>
      </w:r>
      <w:r w:rsidRPr="002F1E76">
        <w:t>Henry, S., B. Schoumaker, and C. Beauchemin. 2004. "The impact of rainfall on the first out-migration: A multi-level event-history analysis in Burkina Faso." Population and Environment</w:t>
      </w:r>
      <w:r>
        <w:t xml:space="preserve"> 25(5):423-60; </w:t>
      </w:r>
      <w:r w:rsidRPr="0090798D">
        <w:t>Findley, Sally E. 1994. "Does Drought Increase Migration? A Study of Migration from Rural Mali during the 1983-1985 Drought." Internationa</w:t>
      </w:r>
      <w:r>
        <w:t xml:space="preserve">l Migration Review 28(3):539-53; </w:t>
      </w:r>
      <w:r w:rsidRPr="0090798D">
        <w:t>Gray, Clark L. 2011. "Soil quality and human migration in Kenya and Uganda." Global Environmental Change 21(2):421-30.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C67" w:rsidRDefault="00353C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42B" w:rsidRDefault="00C0042B" w:rsidP="00C0042B">
    <w:pPr>
      <w:pStyle w:val="Voettekst"/>
      <w:ind w:left="-56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C67" w:rsidRDefault="00353C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E5E" w:rsidRDefault="006E4E5E" w:rsidP="00C0042B">
      <w:r>
        <w:separator/>
      </w:r>
    </w:p>
  </w:footnote>
  <w:footnote w:type="continuationSeparator" w:id="0">
    <w:p w:rsidR="006E4E5E" w:rsidRDefault="006E4E5E" w:rsidP="00C00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C67" w:rsidRDefault="00353C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42B" w:rsidRDefault="00C0042B" w:rsidP="00C0042B">
    <w:pPr>
      <w:pStyle w:val="Koptekst"/>
      <w:ind w:left="-141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42B" w:rsidRDefault="005D33D9" w:rsidP="00B12B0D">
    <w:pPr>
      <w:pStyle w:val="Koptekst"/>
      <w:ind w:left="-850"/>
    </w:pPr>
    <w:r>
      <w:rPr>
        <w:noProof/>
        <w:lang w:eastAsia="nl-NL"/>
      </w:rPr>
      <mc:AlternateContent>
        <mc:Choice Requires="wps">
          <w:drawing>
            <wp:anchor distT="0" distB="0" distL="114300" distR="114300" simplePos="0" relativeHeight="251661312" behindDoc="0" locked="0" layoutInCell="1" allowOverlap="1" wp14:anchorId="2B57616A" wp14:editId="5240DC80">
              <wp:simplePos x="0" y="0"/>
              <wp:positionH relativeFrom="margin">
                <wp:posOffset>41275</wp:posOffset>
              </wp:positionH>
              <wp:positionV relativeFrom="paragraph">
                <wp:posOffset>1684655</wp:posOffset>
              </wp:positionV>
              <wp:extent cx="1019175" cy="276225"/>
              <wp:effectExtent l="0" t="0" r="9525" b="9525"/>
              <wp:wrapNone/>
              <wp:docPr id="7" name="Tekstvak 7"/>
              <wp:cNvGraphicFramePr/>
              <a:graphic xmlns:a="http://schemas.openxmlformats.org/drawingml/2006/main">
                <a:graphicData uri="http://schemas.microsoft.com/office/word/2010/wordprocessingShape">
                  <wps:wsp>
                    <wps:cNvSpPr txBox="1"/>
                    <wps:spPr>
                      <a:xfrm>
                        <a:off x="0" y="0"/>
                        <a:ext cx="1019175" cy="276225"/>
                      </a:xfrm>
                      <a:prstGeom prst="rect">
                        <a:avLst/>
                      </a:prstGeom>
                      <a:solidFill>
                        <a:schemeClr val="lt1"/>
                      </a:solidFill>
                      <a:ln w="6350">
                        <a:noFill/>
                      </a:ln>
                    </wps:spPr>
                    <wps:txbx>
                      <w:txbxContent>
                        <w:p w:rsidR="0047771B" w:rsidRPr="0047771B" w:rsidRDefault="005D33D9" w:rsidP="0047771B">
                          <w:pPr>
                            <w:rPr>
                              <w:rFonts w:ascii="Verdana" w:hAnsi="Verdana"/>
                              <w:color w:val="54AEC4"/>
                              <w:sz w:val="14"/>
                              <w:szCs w:val="14"/>
                            </w:rPr>
                          </w:pPr>
                          <w:r>
                            <w:rPr>
                              <w:rFonts w:ascii="Verdana" w:hAnsi="Verdana"/>
                              <w:color w:val="54AEC4"/>
                              <w:sz w:val="14"/>
                              <w:szCs w:val="14"/>
                            </w:rPr>
                            <w:t>9 oktober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7616A" id="_x0000_t202" coordsize="21600,21600" o:spt="202" path="m,l,21600r21600,l21600,xe">
              <v:stroke joinstyle="miter"/>
              <v:path gradientshapeok="t" o:connecttype="rect"/>
            </v:shapetype>
            <v:shape id="Tekstvak 7" o:spid="_x0000_s1026" type="#_x0000_t202" style="position:absolute;left:0;text-align:left;margin-left:3.25pt;margin-top:132.65pt;width:80.25pt;height:21.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" fillcolor="white [3201]" stroked="f" strokeweight=".5pt">
              <v:textbox>
                <w:txbxContent>
                  <w:p w:rsidR="0047771B" w:rsidRPr="0047771B" w:rsidRDefault="005D33D9" w:rsidP="0047771B">
                    <w:pPr>
                      <w:rPr>
                        <w:rFonts w:ascii="Verdana" w:hAnsi="Verdana"/>
                        <w:color w:val="54AEC4"/>
                        <w:sz w:val="14"/>
                        <w:szCs w:val="14"/>
                      </w:rPr>
                    </w:pPr>
                    <w:r>
                      <w:rPr>
                        <w:rFonts w:ascii="Verdana" w:hAnsi="Verdana"/>
                        <w:color w:val="54AEC4"/>
                        <w:sz w:val="14"/>
                        <w:szCs w:val="14"/>
                      </w:rPr>
                      <w:t>9 oktober 2020</w:t>
                    </w:r>
                  </w:p>
                </w:txbxContent>
              </v:textbox>
              <w10:wrap anchorx="margin"/>
            </v:shape>
          </w:pict>
        </mc:Fallback>
      </mc:AlternateContent>
    </w:r>
    <w:r w:rsidR="00813BD3">
      <w:rPr>
        <w:noProof/>
        <w:lang w:eastAsia="nl-NL"/>
      </w:rPr>
      <mc:AlternateContent>
        <mc:Choice Requires="wps">
          <w:drawing>
            <wp:anchor distT="0" distB="0" distL="114300" distR="114300" simplePos="0" relativeHeight="251663360" behindDoc="0" locked="0" layoutInCell="1" allowOverlap="1">
              <wp:simplePos x="0" y="0"/>
              <wp:positionH relativeFrom="column">
                <wp:posOffset>1582964</wp:posOffset>
              </wp:positionH>
              <wp:positionV relativeFrom="paragraph">
                <wp:posOffset>1014406</wp:posOffset>
              </wp:positionV>
              <wp:extent cx="3424334" cy="228600"/>
              <wp:effectExtent l="0" t="0" r="5080" b="0"/>
              <wp:wrapNone/>
              <wp:docPr id="60" name="Tekstvak 60"/>
              <wp:cNvGraphicFramePr/>
              <a:graphic xmlns:a="http://schemas.openxmlformats.org/drawingml/2006/main">
                <a:graphicData uri="http://schemas.microsoft.com/office/word/2010/wordprocessingShape">
                  <wps:wsp>
                    <wps:cNvSpPr txBox="1"/>
                    <wps:spPr>
                      <a:xfrm>
                        <a:off x="0" y="0"/>
                        <a:ext cx="3424334" cy="228600"/>
                      </a:xfrm>
                      <a:prstGeom prst="rect">
                        <a:avLst/>
                      </a:prstGeom>
                      <a:noFill/>
                      <a:ln w="6350">
                        <a:noFill/>
                      </a:ln>
                    </wps:spPr>
                    <wps:txbx>
                      <w:txbxContent>
                        <w:p w:rsidR="00813BD3" w:rsidRPr="00813BD3" w:rsidRDefault="00B86703" w:rsidP="00813BD3">
                          <w:pPr>
                            <w:pStyle w:val="TitelFactsheet"/>
                            <w:rPr>
                              <w:b/>
                            </w:rPr>
                          </w:pPr>
                          <w:r>
                            <w:rPr>
                              <w:b/>
                            </w:rPr>
                            <w:t>FACTSHEET GRONDOORZAKEN VAN MIGRATIE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kstvak 60" o:spid="_x0000_s1027" type="#_x0000_t202" style="position:absolute;left:0;text-align:left;margin-left:124.65pt;margin-top:79.85pt;width:269.65pt;height:1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" filled="f" stroked="f" strokeweight=".5pt">
              <v:textbox inset="0,0,0,0">
                <w:txbxContent>
                  <w:p w:rsidR="00813BD3" w:rsidRPr="00813BD3" w:rsidRDefault="00B86703" w:rsidP="00813BD3">
                    <w:pPr>
                      <w:pStyle w:val="TitelFactsheet"/>
                      <w:rPr>
                        <w:b/>
                      </w:rPr>
                    </w:pPr>
                    <w:r>
                      <w:rPr>
                        <w:b/>
                      </w:rPr>
                      <w:t>FACTSHEET GRONDOORZAKEN VAN MIGRATIE</w:t>
                    </w:r>
                  </w:p>
                </w:txbxContent>
              </v:textbox>
            </v:shape>
          </w:pict>
        </mc:Fallback>
      </mc:AlternateContent>
    </w:r>
    <w:r w:rsidR="0047771B">
      <w:rPr>
        <w:noProof/>
        <w:lang w:eastAsia="nl-NL"/>
      </w:rPr>
      <mc:AlternateContent>
        <mc:Choice Requires="wps">
          <w:drawing>
            <wp:anchor distT="0" distB="0" distL="114300" distR="114300" simplePos="0" relativeHeight="251662336" behindDoc="0" locked="0" layoutInCell="1" allowOverlap="1" wp14:anchorId="5170C8D9" wp14:editId="6ED60445">
              <wp:simplePos x="0" y="0"/>
              <wp:positionH relativeFrom="margin">
                <wp:posOffset>1479550</wp:posOffset>
              </wp:positionH>
              <wp:positionV relativeFrom="paragraph">
                <wp:posOffset>1685925</wp:posOffset>
              </wp:positionV>
              <wp:extent cx="4152265" cy="381000"/>
              <wp:effectExtent l="0" t="0" r="635" b="0"/>
              <wp:wrapNone/>
              <wp:docPr id="22" name="Tekstvak 22"/>
              <wp:cNvGraphicFramePr/>
              <a:graphic xmlns:a="http://schemas.openxmlformats.org/drawingml/2006/main">
                <a:graphicData uri="http://schemas.microsoft.com/office/word/2010/wordprocessingShape">
                  <wps:wsp>
                    <wps:cNvSpPr txBox="1"/>
                    <wps:spPr>
                      <a:xfrm>
                        <a:off x="0" y="0"/>
                        <a:ext cx="4152265" cy="381000"/>
                      </a:xfrm>
                      <a:prstGeom prst="rect">
                        <a:avLst/>
                      </a:prstGeom>
                      <a:solidFill>
                        <a:schemeClr val="lt1"/>
                      </a:solidFill>
                      <a:ln w="6350">
                        <a:noFill/>
                      </a:ln>
                    </wps:spPr>
                    <wps:txbx>
                      <w:txbxContent>
                        <w:p w:rsidR="0047771B" w:rsidRPr="0047771B" w:rsidRDefault="00063140" w:rsidP="0047771B">
                          <w:pPr>
                            <w:rPr>
                              <w:rFonts w:ascii="Verdana" w:hAnsi="Verdana"/>
                              <w:color w:val="54AEC4"/>
                              <w:sz w:val="14"/>
                              <w:szCs w:val="14"/>
                            </w:rPr>
                          </w:pPr>
                          <w:r w:rsidRPr="00063140">
                            <w:rPr>
                              <w:rFonts w:ascii="Verdana" w:hAnsi="Verdana"/>
                              <w:color w:val="54AEC4"/>
                              <w:sz w:val="14"/>
                              <w:szCs w:val="14"/>
                            </w:rPr>
                            <w:t>Prof. dr. Hein de Haas, International Migration Institute, Universiteit van Amsterdam</w:t>
                          </w:r>
                          <w:r w:rsidR="0047771B">
                            <w:rPr>
                              <w:rFonts w:ascii="Verdana" w:hAnsi="Verdana"/>
                              <w:color w:val="54AEC4"/>
                              <w:sz w:val="14"/>
                              <w:szCs w:val="14"/>
                            </w:rPr>
                            <w:t>.</w:t>
                          </w:r>
                        </w:p>
                        <w:p w:rsidR="0047771B" w:rsidRPr="0047771B" w:rsidRDefault="0047771B" w:rsidP="0047771B">
                          <w:pPr>
                            <w:rPr>
                              <w:rFonts w:ascii="Verdana" w:hAnsi="Verdana"/>
                              <w:color w:val="54AEC4"/>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0C8D9" id="Tekstvak 22" o:spid="_x0000_s1028" type="#_x0000_t202" style="position:absolute;left:0;text-align:left;margin-left:116.5pt;margin-top:132.75pt;width:326.95pt;height:30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" fillcolor="white [3201]" stroked="f" strokeweight=".5pt">
              <v:textbox>
                <w:txbxContent>
                  <w:p w:rsidR="0047771B" w:rsidRPr="0047771B" w:rsidRDefault="00063140" w:rsidP="0047771B">
                    <w:pPr>
                      <w:rPr>
                        <w:rFonts w:ascii="Verdana" w:hAnsi="Verdana"/>
                        <w:color w:val="54AEC4"/>
                        <w:sz w:val="14"/>
                        <w:szCs w:val="14"/>
                      </w:rPr>
                    </w:pPr>
                    <w:r w:rsidRPr="00063140">
                      <w:rPr>
                        <w:rFonts w:ascii="Verdana" w:hAnsi="Verdana"/>
                        <w:color w:val="54AEC4"/>
                        <w:sz w:val="14"/>
                        <w:szCs w:val="14"/>
                      </w:rPr>
                      <w:t xml:space="preserve">Prof. dr. Hein de Haas, International Migration </w:t>
                    </w:r>
                    <w:proofErr w:type="spellStart"/>
                    <w:r w:rsidRPr="00063140">
                      <w:rPr>
                        <w:rFonts w:ascii="Verdana" w:hAnsi="Verdana"/>
                        <w:color w:val="54AEC4"/>
                        <w:sz w:val="14"/>
                        <w:szCs w:val="14"/>
                      </w:rPr>
                      <w:t>Institute</w:t>
                    </w:r>
                    <w:proofErr w:type="spellEnd"/>
                    <w:r w:rsidRPr="00063140">
                      <w:rPr>
                        <w:rFonts w:ascii="Verdana" w:hAnsi="Verdana"/>
                        <w:color w:val="54AEC4"/>
                        <w:sz w:val="14"/>
                        <w:szCs w:val="14"/>
                      </w:rPr>
                      <w:t>, Universiteit van Amsterdam</w:t>
                    </w:r>
                    <w:r w:rsidR="0047771B">
                      <w:rPr>
                        <w:rFonts w:ascii="Verdana" w:hAnsi="Verdana"/>
                        <w:color w:val="54AEC4"/>
                        <w:sz w:val="14"/>
                        <w:szCs w:val="14"/>
                      </w:rPr>
                      <w:t>.</w:t>
                    </w:r>
                  </w:p>
                  <w:p w:rsidR="0047771B" w:rsidRPr="0047771B" w:rsidRDefault="0047771B" w:rsidP="0047771B">
                    <w:pPr>
                      <w:rPr>
                        <w:rFonts w:ascii="Verdana" w:hAnsi="Verdana"/>
                        <w:color w:val="54AEC4"/>
                        <w:sz w:val="14"/>
                        <w:szCs w:val="14"/>
                      </w:rPr>
                    </w:pPr>
                  </w:p>
                </w:txbxContent>
              </v:textbox>
              <w10:wrap anchorx="margin"/>
            </v:shape>
          </w:pict>
        </mc:Fallback>
      </mc:AlternateContent>
    </w:r>
    <w:r w:rsidR="00FD2433">
      <w:rPr>
        <w:noProof/>
        <w:lang w:eastAsia="nl-NL"/>
      </w:rPr>
      <mc:AlternateContent>
        <mc:Choice Requires="wps">
          <w:drawing>
            <wp:anchor distT="0" distB="0" distL="114300" distR="114300" simplePos="0" relativeHeight="251659264" behindDoc="0" locked="0" layoutInCell="1" allowOverlap="1">
              <wp:simplePos x="0" y="0"/>
              <wp:positionH relativeFrom="column">
                <wp:posOffset>1481249</wp:posOffset>
              </wp:positionH>
              <wp:positionV relativeFrom="paragraph">
                <wp:posOffset>1312391</wp:posOffset>
              </wp:positionV>
              <wp:extent cx="4152658" cy="337804"/>
              <wp:effectExtent l="0" t="0" r="635" b="5715"/>
              <wp:wrapNone/>
              <wp:docPr id="5" name="Tekstvak 5"/>
              <wp:cNvGraphicFramePr/>
              <a:graphic xmlns:a="http://schemas.openxmlformats.org/drawingml/2006/main">
                <a:graphicData uri="http://schemas.microsoft.com/office/word/2010/wordprocessingShape">
                  <wps:wsp>
                    <wps:cNvSpPr txBox="1"/>
                    <wps:spPr>
                      <a:xfrm>
                        <a:off x="0" y="0"/>
                        <a:ext cx="4152658" cy="337804"/>
                      </a:xfrm>
                      <a:prstGeom prst="rect">
                        <a:avLst/>
                      </a:prstGeom>
                      <a:solidFill>
                        <a:schemeClr val="lt1"/>
                      </a:solidFill>
                      <a:ln w="6350">
                        <a:noFill/>
                      </a:ln>
                    </wps:spPr>
                    <wps:txbx>
                      <w:txbxContent>
                        <w:p w:rsidR="00FD2433" w:rsidRPr="00FD2433" w:rsidRDefault="00353C67">
                          <w:pPr>
                            <w:rPr>
                              <w:rFonts w:ascii="Verdana" w:hAnsi="Verdana"/>
                              <w:color w:val="7F7F7F" w:themeColor="text1" w:themeTint="80"/>
                              <w:sz w:val="14"/>
                              <w:szCs w:val="14"/>
                            </w:rPr>
                          </w:pPr>
                          <w:r>
                            <w:rPr>
                              <w:rFonts w:ascii="Verdana" w:hAnsi="Verdana"/>
                              <w:color w:val="7F7F7F" w:themeColor="text1" w:themeTint="80"/>
                              <w:sz w:val="14"/>
                              <w:szCs w:val="14"/>
                            </w:rPr>
                            <w:t>Deze factsheet is tot stand gekomen in het kader van de samenwerking tussen de Tweede Kamer, de KNAW, NWO en de jonge Akademie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kstvak 5" o:spid="_x0000_s1029" type="#_x0000_t202" style="position:absolute;left:0;text-align:left;margin-left:116.65pt;margin-top:103.35pt;width:327pt;height:26.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" fillcolor="white [3201]" stroked="f" strokeweight=".5pt">
              <v:textbox>
                <w:txbxContent>
                  <w:p w:rsidR="00FD2433" w:rsidRPr="00FD2433" w:rsidRDefault="00353C67">
                    <w:pPr>
                      <w:rPr>
                        <w:rFonts w:ascii="Verdana" w:hAnsi="Verdana"/>
                        <w:color w:val="7F7F7F" w:themeColor="text1" w:themeTint="80"/>
                        <w:sz w:val="14"/>
                        <w:szCs w:val="14"/>
                      </w:rPr>
                    </w:pPr>
                    <w:r>
                      <w:rPr>
                        <w:rFonts w:ascii="Verdana" w:hAnsi="Verdana"/>
                        <w:color w:val="7F7F7F" w:themeColor="text1" w:themeTint="80"/>
                        <w:sz w:val="14"/>
                        <w:szCs w:val="14"/>
                      </w:rPr>
                      <w:t xml:space="preserve">Deze </w:t>
                    </w:r>
                    <w:proofErr w:type="spellStart"/>
                    <w:r>
                      <w:rPr>
                        <w:rFonts w:ascii="Verdana" w:hAnsi="Verdana"/>
                        <w:color w:val="7F7F7F" w:themeColor="text1" w:themeTint="80"/>
                        <w:sz w:val="14"/>
                        <w:szCs w:val="14"/>
                      </w:rPr>
                      <w:t>factsheet</w:t>
                    </w:r>
                    <w:proofErr w:type="spellEnd"/>
                    <w:r>
                      <w:rPr>
                        <w:rFonts w:ascii="Verdana" w:hAnsi="Verdana"/>
                        <w:color w:val="7F7F7F" w:themeColor="text1" w:themeTint="80"/>
                        <w:sz w:val="14"/>
                        <w:szCs w:val="14"/>
                      </w:rPr>
                      <w:t xml:space="preserve"> is tot stand gekomen in het kader van de samenwerking tussen de Tweede Kamer, de KNAW, NWO en de jonge </w:t>
                    </w:r>
                    <w:proofErr w:type="spellStart"/>
                    <w:r>
                      <w:rPr>
                        <w:rFonts w:ascii="Verdana" w:hAnsi="Verdana"/>
                        <w:color w:val="7F7F7F" w:themeColor="text1" w:themeTint="80"/>
                        <w:sz w:val="14"/>
                        <w:szCs w:val="14"/>
                      </w:rPr>
                      <w:t>Akademie</w:t>
                    </w:r>
                    <w:proofErr w:type="spellEnd"/>
                  </w:p>
                </w:txbxContent>
              </v:textbox>
            </v:shape>
          </w:pict>
        </mc:Fallback>
      </mc:AlternateContent>
    </w:r>
    <w:r w:rsidR="00377215">
      <w:rPr>
        <w:noProof/>
        <w:lang w:eastAsia="nl-NL"/>
      </w:rPr>
      <w:drawing>
        <wp:inline distT="0" distB="0" distL="0" distR="0">
          <wp:extent cx="7538400" cy="1674000"/>
          <wp:effectExtent l="0" t="0" r="5715" b="2540"/>
          <wp:docPr id="56" name="Afbeelding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actsheet pw.jpg"/>
                  <pic:cNvPicPr/>
                </pic:nvPicPr>
                <pic:blipFill>
                  <a:blip r:embed="rId1">
                    <a:extLst>
                      <a:ext uri="{28A0092B-C50C-407E-A947-70E740481C1C}">
                        <a14:useLocalDpi xmlns:a14="http://schemas.microsoft.com/office/drawing/2010/main" val="0"/>
                      </a:ext>
                    </a:extLst>
                  </a:blip>
                  <a:stretch>
                    <a:fillRect/>
                  </a:stretch>
                </pic:blipFill>
                <pic:spPr>
                  <a:xfrm>
                    <a:off x="0" y="0"/>
                    <a:ext cx="7538400" cy="167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F73E79"/>
    <w:multiLevelType w:val="hybridMultilevel"/>
    <w:tmpl w:val="D7C41A86"/>
    <w:lvl w:ilvl="0" w:tplc="0C043AC6">
      <w:start w:val="1"/>
      <w:numFmt w:val="bullet"/>
      <w:pStyle w:val="inspring"/>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1" w15:restartNumberingAfterBreak="0">
    <w:nsid w:val="672675FB"/>
    <w:multiLevelType w:val="hybridMultilevel"/>
    <w:tmpl w:val="4F74744A"/>
    <w:lvl w:ilvl="0" w:tplc="B8CC1B3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42B"/>
    <w:rsid w:val="00063140"/>
    <w:rsid w:val="00077609"/>
    <w:rsid w:val="00186E52"/>
    <w:rsid w:val="00272513"/>
    <w:rsid w:val="002A52FF"/>
    <w:rsid w:val="00353C67"/>
    <w:rsid w:val="00377215"/>
    <w:rsid w:val="004043FF"/>
    <w:rsid w:val="0042333E"/>
    <w:rsid w:val="0047771B"/>
    <w:rsid w:val="0057318C"/>
    <w:rsid w:val="005D33D9"/>
    <w:rsid w:val="006E4E5E"/>
    <w:rsid w:val="006F14DB"/>
    <w:rsid w:val="00794ECB"/>
    <w:rsid w:val="007B216E"/>
    <w:rsid w:val="007E65EB"/>
    <w:rsid w:val="00813BD3"/>
    <w:rsid w:val="00B12B0D"/>
    <w:rsid w:val="00B86703"/>
    <w:rsid w:val="00C0042B"/>
    <w:rsid w:val="00C06C8C"/>
    <w:rsid w:val="00C30696"/>
    <w:rsid w:val="00C30B79"/>
    <w:rsid w:val="00CF5B91"/>
    <w:rsid w:val="00E44ACC"/>
    <w:rsid w:val="00EF2415"/>
    <w:rsid w:val="00FD24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8F7794EF-D53D-8647-BBA6-61015348A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0042B"/>
    <w:pPr>
      <w:tabs>
        <w:tab w:val="center" w:pos="4536"/>
        <w:tab w:val="right" w:pos="9072"/>
      </w:tabs>
    </w:pPr>
  </w:style>
  <w:style w:type="character" w:customStyle="1" w:styleId="KoptekstChar">
    <w:name w:val="Koptekst Char"/>
    <w:basedOn w:val="Standaardalinea-lettertype"/>
    <w:link w:val="Koptekst"/>
    <w:uiPriority w:val="99"/>
    <w:rsid w:val="00C0042B"/>
  </w:style>
  <w:style w:type="paragraph" w:styleId="Voettekst">
    <w:name w:val="footer"/>
    <w:basedOn w:val="Standaard"/>
    <w:link w:val="VoettekstChar"/>
    <w:uiPriority w:val="99"/>
    <w:unhideWhenUsed/>
    <w:rsid w:val="00C0042B"/>
    <w:pPr>
      <w:tabs>
        <w:tab w:val="center" w:pos="4536"/>
        <w:tab w:val="right" w:pos="9072"/>
      </w:tabs>
    </w:pPr>
  </w:style>
  <w:style w:type="character" w:customStyle="1" w:styleId="VoettekstChar">
    <w:name w:val="Voettekst Char"/>
    <w:basedOn w:val="Standaardalinea-lettertype"/>
    <w:link w:val="Voettekst"/>
    <w:uiPriority w:val="99"/>
    <w:rsid w:val="00C0042B"/>
  </w:style>
  <w:style w:type="paragraph" w:customStyle="1" w:styleId="Introtekst">
    <w:name w:val="Introtekst"/>
    <w:basedOn w:val="Standaard"/>
    <w:link w:val="IntrotekstChar"/>
    <w:rsid w:val="0042333E"/>
    <w:pPr>
      <w:spacing w:line="276" w:lineRule="auto"/>
    </w:pPr>
    <w:rPr>
      <w:rFonts w:ascii="Verdana" w:hAnsi="Verdana"/>
      <w:sz w:val="16"/>
      <w:szCs w:val="15"/>
    </w:rPr>
  </w:style>
  <w:style w:type="table" w:styleId="Tabelraster">
    <w:name w:val="Table Grid"/>
    <w:basedOn w:val="Standaardtabel"/>
    <w:uiPriority w:val="39"/>
    <w:rsid w:val="00B12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jl1">
    <w:name w:val="Stijl1"/>
    <w:basedOn w:val="Introtekst"/>
    <w:rsid w:val="0042333E"/>
    <w:rPr>
      <w:sz w:val="15"/>
    </w:rPr>
  </w:style>
  <w:style w:type="character" w:styleId="Subtielebenadrukking">
    <w:name w:val="Subtle Emphasis"/>
    <w:basedOn w:val="Standaardalinea-lettertype"/>
    <w:uiPriority w:val="19"/>
    <w:rsid w:val="00FD2433"/>
    <w:rPr>
      <w:i/>
      <w:iCs/>
      <w:color w:val="404040" w:themeColor="text1" w:themeTint="BF"/>
    </w:rPr>
  </w:style>
  <w:style w:type="paragraph" w:customStyle="1" w:styleId="Kop">
    <w:name w:val="Kop"/>
    <w:basedOn w:val="Introtekst"/>
    <w:link w:val="KopChar"/>
    <w:qFormat/>
    <w:rsid w:val="006F14DB"/>
    <w:pPr>
      <w:spacing w:before="400"/>
      <w:ind w:left="1247" w:right="567"/>
    </w:pPr>
    <w:rPr>
      <w:b/>
      <w:color w:val="121469"/>
      <w:sz w:val="32"/>
      <w:szCs w:val="32"/>
    </w:rPr>
  </w:style>
  <w:style w:type="paragraph" w:customStyle="1" w:styleId="Tekst">
    <w:name w:val="Tekst"/>
    <w:basedOn w:val="Introtekst"/>
    <w:link w:val="TekstChar"/>
    <w:qFormat/>
    <w:rsid w:val="00813BD3"/>
    <w:pPr>
      <w:ind w:left="1247" w:right="851"/>
    </w:pPr>
  </w:style>
  <w:style w:type="character" w:customStyle="1" w:styleId="IntrotekstChar">
    <w:name w:val="Introtekst Char"/>
    <w:basedOn w:val="Standaardalinea-lettertype"/>
    <w:link w:val="Introtekst"/>
    <w:rsid w:val="0047771B"/>
    <w:rPr>
      <w:rFonts w:ascii="Verdana" w:hAnsi="Verdana"/>
      <w:sz w:val="16"/>
      <w:szCs w:val="15"/>
    </w:rPr>
  </w:style>
  <w:style w:type="character" w:customStyle="1" w:styleId="KopChar">
    <w:name w:val="Kop Char"/>
    <w:basedOn w:val="IntrotekstChar"/>
    <w:link w:val="Kop"/>
    <w:rsid w:val="006F14DB"/>
    <w:rPr>
      <w:rFonts w:ascii="Verdana" w:hAnsi="Verdana"/>
      <w:b/>
      <w:color w:val="121469"/>
      <w:sz w:val="32"/>
      <w:szCs w:val="32"/>
    </w:rPr>
  </w:style>
  <w:style w:type="paragraph" w:customStyle="1" w:styleId="Tussenkopje">
    <w:name w:val="Tussenkopje"/>
    <w:basedOn w:val="Introtekst"/>
    <w:link w:val="TussenkopjeChar"/>
    <w:qFormat/>
    <w:rsid w:val="00813BD3"/>
    <w:pPr>
      <w:spacing w:before="240" w:after="120"/>
      <w:ind w:left="1247" w:right="851"/>
    </w:pPr>
    <w:rPr>
      <w:b/>
      <w:color w:val="121469"/>
    </w:rPr>
  </w:style>
  <w:style w:type="character" w:customStyle="1" w:styleId="TekstChar">
    <w:name w:val="Tekst Char"/>
    <w:basedOn w:val="IntrotekstChar"/>
    <w:link w:val="Tekst"/>
    <w:rsid w:val="00813BD3"/>
    <w:rPr>
      <w:rFonts w:ascii="Verdana" w:hAnsi="Verdana"/>
      <w:sz w:val="16"/>
      <w:szCs w:val="15"/>
    </w:rPr>
  </w:style>
  <w:style w:type="paragraph" w:customStyle="1" w:styleId="TitelFactsheet">
    <w:name w:val="Titel Factsheet"/>
    <w:basedOn w:val="Standaard"/>
    <w:link w:val="TitelFactsheetChar"/>
    <w:qFormat/>
    <w:rsid w:val="00813BD3"/>
    <w:rPr>
      <w:color w:val="FFFFFF" w:themeColor="background1"/>
    </w:rPr>
  </w:style>
  <w:style w:type="character" w:customStyle="1" w:styleId="TussenkopjeChar">
    <w:name w:val="Tussenkopje Char"/>
    <w:basedOn w:val="IntrotekstChar"/>
    <w:link w:val="Tussenkopje"/>
    <w:rsid w:val="00813BD3"/>
    <w:rPr>
      <w:rFonts w:ascii="Verdana" w:hAnsi="Verdana"/>
      <w:b/>
      <w:color w:val="121469"/>
      <w:sz w:val="16"/>
      <w:szCs w:val="15"/>
    </w:rPr>
  </w:style>
  <w:style w:type="paragraph" w:customStyle="1" w:styleId="tekstinspring">
    <w:name w:val="tekst inspring"/>
    <w:basedOn w:val="Tekst"/>
    <w:link w:val="tekstinspringChar"/>
    <w:rsid w:val="00813BD3"/>
    <w:pPr>
      <w:ind w:left="1276"/>
    </w:pPr>
  </w:style>
  <w:style w:type="character" w:customStyle="1" w:styleId="TitelFactsheetChar">
    <w:name w:val="Titel Factsheet Char"/>
    <w:basedOn w:val="Standaardalinea-lettertype"/>
    <w:link w:val="TitelFactsheet"/>
    <w:rsid w:val="00813BD3"/>
    <w:rPr>
      <w:color w:val="FFFFFF" w:themeColor="background1"/>
    </w:rPr>
  </w:style>
  <w:style w:type="paragraph" w:customStyle="1" w:styleId="inspring">
    <w:name w:val="inspring"/>
    <w:basedOn w:val="tekstinspring"/>
    <w:link w:val="inspringChar"/>
    <w:qFormat/>
    <w:rsid w:val="006F14DB"/>
    <w:pPr>
      <w:numPr>
        <w:numId w:val="1"/>
      </w:numPr>
      <w:ind w:left="1560" w:hanging="284"/>
    </w:pPr>
  </w:style>
  <w:style w:type="character" w:customStyle="1" w:styleId="tekstinspringChar">
    <w:name w:val="tekst inspring Char"/>
    <w:basedOn w:val="TekstChar"/>
    <w:link w:val="tekstinspring"/>
    <w:rsid w:val="00813BD3"/>
    <w:rPr>
      <w:rFonts w:ascii="Verdana" w:hAnsi="Verdana"/>
      <w:sz w:val="16"/>
      <w:szCs w:val="15"/>
    </w:rPr>
  </w:style>
  <w:style w:type="character" w:customStyle="1" w:styleId="inspringChar">
    <w:name w:val="inspring Char"/>
    <w:basedOn w:val="tekstinspringChar"/>
    <w:link w:val="inspring"/>
    <w:rsid w:val="006F14DB"/>
    <w:rPr>
      <w:rFonts w:ascii="Verdana" w:hAnsi="Verdana"/>
      <w:sz w:val="16"/>
      <w:szCs w:val="15"/>
    </w:rPr>
  </w:style>
  <w:style w:type="character" w:styleId="Hyperlink">
    <w:name w:val="Hyperlink"/>
    <w:basedOn w:val="Standaardalinea-lettertype"/>
    <w:uiPriority w:val="99"/>
    <w:unhideWhenUsed/>
    <w:rsid w:val="00EF2415"/>
    <w:rPr>
      <w:color w:val="0000FF"/>
      <w:u w:val="single"/>
    </w:rPr>
  </w:style>
  <w:style w:type="paragraph" w:styleId="Lijstalinea">
    <w:name w:val="List Paragraph"/>
    <w:basedOn w:val="Standaard"/>
    <w:uiPriority w:val="34"/>
    <w:qFormat/>
    <w:rsid w:val="00EF2415"/>
    <w:pPr>
      <w:ind w:left="720"/>
      <w:contextualSpacing/>
    </w:pPr>
    <w:rPr>
      <w:lang w:val="en-US"/>
    </w:rPr>
  </w:style>
  <w:style w:type="paragraph" w:styleId="Eindnoottekst">
    <w:name w:val="endnote text"/>
    <w:basedOn w:val="Standaard"/>
    <w:link w:val="EindnoottekstChar"/>
    <w:uiPriority w:val="99"/>
    <w:semiHidden/>
    <w:unhideWhenUsed/>
    <w:rsid w:val="00EF2415"/>
    <w:rPr>
      <w:sz w:val="20"/>
      <w:szCs w:val="20"/>
      <w:lang w:val="en-US"/>
    </w:rPr>
  </w:style>
  <w:style w:type="character" w:customStyle="1" w:styleId="EindnoottekstChar">
    <w:name w:val="Eindnoottekst Char"/>
    <w:basedOn w:val="Standaardalinea-lettertype"/>
    <w:link w:val="Eindnoottekst"/>
    <w:uiPriority w:val="99"/>
    <w:semiHidden/>
    <w:rsid w:val="00EF2415"/>
    <w:rPr>
      <w:sz w:val="20"/>
      <w:szCs w:val="20"/>
      <w:lang w:val="en-US"/>
    </w:rPr>
  </w:style>
  <w:style w:type="character" w:styleId="Eindnootmarkering">
    <w:name w:val="endnote reference"/>
    <w:basedOn w:val="Standaardalinea-lettertype"/>
    <w:uiPriority w:val="99"/>
    <w:semiHidden/>
    <w:unhideWhenUsed/>
    <w:rsid w:val="00EF24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gif"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3.jpg" Id="rId12" /><Relationship Type="http://schemas.openxmlformats.org/officeDocument/2006/relationships/header" Target="header3.xml" Id="rId17"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6" /><Relationship Type="http://schemas.openxmlformats.org/officeDocument/2006/relationships/hyperlink" Target="http://www.migrationinstitute.org" TargetMode="External"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image" Target="media/image2.png"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chart" Target="charts/chart1.xml" Id="rId9" /><Relationship Type="http://schemas.openxmlformats.org/officeDocument/2006/relationships/header" Target="header2.xml" Id="rId14" /></Relationships>
</file>

<file path=word/_rels/endnotes.xml.rels><?xml version="1.0" encoding="UTF-8" standalone="yes"?>
<Relationships xmlns="http://schemas.openxmlformats.org/package/2006/relationships"><Relationship Id="rId8" Type="http://schemas.openxmlformats.org/officeDocument/2006/relationships/hyperlink" Target="https://heindehaas.files.wordpress.com/2019/12/fransen-and-de-haas-imi_final-4.pdf" TargetMode="External"/><Relationship Id="rId13" Type="http://schemas.openxmlformats.org/officeDocument/2006/relationships/hyperlink" Target="https://heindehaas.files.wordpress.com/2015/05/2014-has-the-world-become-more-migratory.pdf" TargetMode="External"/><Relationship Id="rId18" Type="http://schemas.openxmlformats.org/officeDocument/2006/relationships/hyperlink" Target="https://ora.ox.ac.uk/objects/uuid:63b0a544-2b39-45a5-b9fe-cffdb5f4c654/download_file?file_format=pdf&amp;safe_filename=WP24%2BMigration%2BTransitions.pdf&amp;type_of_work=Working+paper" TargetMode="External"/><Relationship Id="rId26" Type="http://schemas.openxmlformats.org/officeDocument/2006/relationships/hyperlink" Target="https://www.oxfordmartin.ox.ac.uk/downloads/WP21%20The%20Environmental%20Factor%20in%20Migration%20Dynamics.pdf" TargetMode="External"/><Relationship Id="rId3" Type="http://schemas.openxmlformats.org/officeDocument/2006/relationships/hyperlink" Target="https://www.migrationinstitute.org/publications/opening-the-floodgates-european-migration-under-restrictive-and-liberal-border-regimes-1950-2010" TargetMode="External"/><Relationship Id="rId21" Type="http://schemas.openxmlformats.org/officeDocument/2006/relationships/hyperlink" Target="https://ora.ox.ac.uk/objects/uuid:63b0a544-2b39-45a5-b9fe-cffdb5f4c654/download_file?file_format=pdf&amp;safe_filename=WP24%2BMigration%2BTransitions.pdf&amp;type_of_work=Working+paper" TargetMode="External"/><Relationship Id="rId7" Type="http://schemas.openxmlformats.org/officeDocument/2006/relationships/hyperlink" Target="https://heindehaas.files.wordpress.com/2015/05/2008-irregular-migration-from-west-africa-to-the-maghreb-and-the-eu-iom.pdf" TargetMode="External"/><Relationship Id="rId12" Type="http://schemas.openxmlformats.org/officeDocument/2006/relationships/hyperlink" Target="https://www.tandfonline.com/doi/full/10.1080/1369183X.2010.489361" TargetMode="External"/><Relationship Id="rId17" Type="http://schemas.openxmlformats.org/officeDocument/2006/relationships/hyperlink" Target="https://ora.ox.ac.uk/objects/uuid:63b0a544-2b39-45a5-b9fe-cffdb5f4c654/download_file?file_format=pdf&amp;safe_filename=WP24%2BMigration%2BTransitions.pdf&amp;type_of_work=Working+paper" TargetMode="External"/><Relationship Id="rId25" Type="http://schemas.openxmlformats.org/officeDocument/2006/relationships/hyperlink" Target="https://assets.publishing.service.gov.uk/government/uploads/system/uploads/attachment_data/file/287717/11-1116-migration-and-global-environmental-change.pdf" TargetMode="External"/><Relationship Id="rId2" Type="http://schemas.openxmlformats.org/officeDocument/2006/relationships/hyperlink" Target="http://www.age-of-migration.com/about" TargetMode="External"/><Relationship Id="rId16" Type="http://schemas.openxmlformats.org/officeDocument/2006/relationships/hyperlink" Target="https://heindehaas.files.wordpress.com/2015/05/de-haas-2007-turning-the-tide.pdf" TargetMode="External"/><Relationship Id="rId20" Type="http://schemas.openxmlformats.org/officeDocument/2006/relationships/hyperlink" Target="file:///C:/Users/hein/Dropbox/Hein/IMI/2020%20Factsheet%20grondoorzaken%20van%20migratie/Community%20services%20and%20out-migrationout-" TargetMode="External"/><Relationship Id="rId1" Type="http://schemas.openxmlformats.org/officeDocument/2006/relationships/hyperlink" Target="https://onlinelibrary.wiley.com/doi/epdf/10.1111/imre.12095" TargetMode="External"/><Relationship Id="rId6" Type="http://schemas.openxmlformats.org/officeDocument/2006/relationships/hyperlink" Target="https://www.migrationinstitute.org/publications/opening-the-floodgates-european-migration-under-restrictive-and-liberal-border-regimes-1950-2010" TargetMode="External"/><Relationship Id="rId11" Type="http://schemas.openxmlformats.org/officeDocument/2006/relationships/hyperlink" Target="https://www.jstor.org/stable/3644186?seq=1" TargetMode="External"/><Relationship Id="rId24" Type="http://schemas.openxmlformats.org/officeDocument/2006/relationships/hyperlink" Target="https://heindehaas.files.wordpress.com/2015/05/2012-the-role-of-internal-and-intl-relative-deprivation-in-global-migration.pdf" TargetMode="External"/><Relationship Id="rId5" Type="http://schemas.openxmlformats.org/officeDocument/2006/relationships/hyperlink" Target="https://www.tandfonline.com/doi/full/10.1080/1369183X.2016.1228446" TargetMode="External"/><Relationship Id="rId15" Type="http://schemas.openxmlformats.org/officeDocument/2006/relationships/hyperlink" Target="https://onlinelibrary.wiley.com/doi/pdf/10.1111/imre.12261" TargetMode="External"/><Relationship Id="rId23" Type="http://schemas.openxmlformats.org/officeDocument/2006/relationships/hyperlink" Target="https://www.cgdev.org/publication/emigration-life-cycle-how-development-shapes-emigration-poor-countries" TargetMode="External"/><Relationship Id="rId10" Type="http://schemas.openxmlformats.org/officeDocument/2006/relationships/hyperlink" Target="http://www.age-of-migration.com/about" TargetMode="External"/><Relationship Id="rId19" Type="http://schemas.openxmlformats.org/officeDocument/2006/relationships/hyperlink" Target="https://www.ncbi.nlm.nih.gov/pmc/articles/PMC6175090/pdf/PADR-44-555.pdf" TargetMode="External"/><Relationship Id="rId4" Type="http://schemas.openxmlformats.org/officeDocument/2006/relationships/hyperlink" Target="https://www.google.com/url?sa=t&amp;rct=j&amp;q=&amp;esrc=s&amp;source=web&amp;cd=&amp;ved=2ahUKEwji6em4lOzrAhWH-aQKHfSyBMgQFjACegQIAhAB&amp;url=https%3A%2F%2Fwww.merit.unu.edu%2Ftraining%2Ftheses%2FVEZZOLI_Simona.pdf&amp;usg=AOvVaw1awplZxcbCiQZP51svjbKb" TargetMode="External"/><Relationship Id="rId9" Type="http://schemas.openxmlformats.org/officeDocument/2006/relationships/hyperlink" Target="https://heindehaas.files.wordpress.com/2019/12/fransen-and-de-haas-imi_final-4.pdf" TargetMode="External"/><Relationship Id="rId14" Type="http://schemas.openxmlformats.org/officeDocument/2006/relationships/hyperlink" Target="https://heindehaas.files.wordpress.com/2020/01/de-haas-et-al-2019.pdf" TargetMode="External"/><Relationship Id="rId22" Type="http://schemas.openxmlformats.org/officeDocument/2006/relationships/hyperlink" Target="https://heindehaas.files.wordpress.com/2018/06/wp-141.pdf" TargetMode="External"/><Relationship Id="rId27" Type="http://schemas.openxmlformats.org/officeDocument/2006/relationships/hyperlink" Target="https://heindehaas.blogspot.com/2020/01/climate-refugees-fabrication-of.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'201008 GDP growth '!$G$30</c:f>
              <c:strCache>
                <c:ptCount val="1"/>
                <c:pt idx="0">
                  <c:v>Groei BNP (%), gemiddelde van huidig en voorgaand jaar</c:v>
                </c:pt>
              </c:strCache>
            </c:strRef>
          </c:tx>
          <c:spPr>
            <a:ln w="34925" cap="rnd">
              <a:solidFill>
                <a:schemeClr val="dk1">
                  <a:tint val="88500"/>
                </a:schemeClr>
              </a:solidFill>
              <a:round/>
            </a:ln>
            <a:effectLst/>
          </c:spPr>
          <c:marker>
            <c:symbol val="none"/>
          </c:marker>
          <c:cat>
            <c:numRef>
              <c:f>'201008 GDP growth '!$F$31:$F$72</c:f>
              <c:numCache>
                <c:formatCode>General</c:formatCode>
                <c:ptCount val="42"/>
                <c:pt idx="0">
                  <c:v>1977</c:v>
                </c:pt>
                <c:pt idx="1">
                  <c:v>1978</c:v>
                </c:pt>
                <c:pt idx="2">
                  <c:v>1979</c:v>
                </c:pt>
                <c:pt idx="3">
                  <c:v>1980</c:v>
                </c:pt>
                <c:pt idx="4">
                  <c:v>1981</c:v>
                </c:pt>
                <c:pt idx="5">
                  <c:v>1982</c:v>
                </c:pt>
                <c:pt idx="6">
                  <c:v>1983</c:v>
                </c:pt>
                <c:pt idx="7">
                  <c:v>1984</c:v>
                </c:pt>
                <c:pt idx="8">
                  <c:v>1985</c:v>
                </c:pt>
                <c:pt idx="9">
                  <c:v>1986</c:v>
                </c:pt>
                <c:pt idx="10">
                  <c:v>1987</c:v>
                </c:pt>
                <c:pt idx="11">
                  <c:v>1988</c:v>
                </c:pt>
                <c:pt idx="12">
                  <c:v>1989</c:v>
                </c:pt>
                <c:pt idx="13">
                  <c:v>1990</c:v>
                </c:pt>
                <c:pt idx="14">
                  <c:v>1991</c:v>
                </c:pt>
                <c:pt idx="15">
                  <c:v>1992</c:v>
                </c:pt>
                <c:pt idx="16">
                  <c:v>1993</c:v>
                </c:pt>
                <c:pt idx="17">
                  <c:v>1994</c:v>
                </c:pt>
                <c:pt idx="18">
                  <c:v>1995</c:v>
                </c:pt>
                <c:pt idx="19">
                  <c:v>1996</c:v>
                </c:pt>
                <c:pt idx="20">
                  <c:v>1997</c:v>
                </c:pt>
                <c:pt idx="21">
                  <c:v>1998</c:v>
                </c:pt>
                <c:pt idx="22">
                  <c:v>1999</c:v>
                </c:pt>
                <c:pt idx="23">
                  <c:v>2000</c:v>
                </c:pt>
                <c:pt idx="24">
                  <c:v>2001</c:v>
                </c:pt>
                <c:pt idx="25">
                  <c:v>2002</c:v>
                </c:pt>
                <c:pt idx="26">
                  <c:v>2003</c:v>
                </c:pt>
                <c:pt idx="27">
                  <c:v>2004</c:v>
                </c:pt>
                <c:pt idx="28">
                  <c:v>2005</c:v>
                </c:pt>
                <c:pt idx="29">
                  <c:v>2006</c:v>
                </c:pt>
                <c:pt idx="30">
                  <c:v>2007</c:v>
                </c:pt>
                <c:pt idx="31">
                  <c:v>2008</c:v>
                </c:pt>
                <c:pt idx="32">
                  <c:v>2009</c:v>
                </c:pt>
                <c:pt idx="33">
                  <c:v>2010</c:v>
                </c:pt>
                <c:pt idx="34">
                  <c:v>2011</c:v>
                </c:pt>
                <c:pt idx="35">
                  <c:v>2012</c:v>
                </c:pt>
                <c:pt idx="36">
                  <c:v>2013</c:v>
                </c:pt>
                <c:pt idx="37">
                  <c:v>2014</c:v>
                </c:pt>
                <c:pt idx="38">
                  <c:v>2015</c:v>
                </c:pt>
                <c:pt idx="39">
                  <c:v>2016</c:v>
                </c:pt>
                <c:pt idx="40">
                  <c:v>2017</c:v>
                </c:pt>
                <c:pt idx="41">
                  <c:v>2018</c:v>
                </c:pt>
              </c:numCache>
            </c:numRef>
          </c:cat>
          <c:val>
            <c:numRef>
              <c:f>'201008 GDP growth '!$G$31:$G$72</c:f>
              <c:numCache>
                <c:formatCode>0.00</c:formatCode>
                <c:ptCount val="42"/>
                <c:pt idx="0">
                  <c:v>3.4883750144911758</c:v>
                </c:pt>
                <c:pt idx="1">
                  <c:v>2.6083436080272548</c:v>
                </c:pt>
                <c:pt idx="2">
                  <c:v>2.355206482275527</c:v>
                </c:pt>
                <c:pt idx="3">
                  <c:v>1.6780401945159014</c:v>
                </c:pt>
                <c:pt idx="4">
                  <c:v>0.27915128942336764</c:v>
                </c:pt>
                <c:pt idx="5">
                  <c:v>-1.0121841948192412</c:v>
                </c:pt>
                <c:pt idx="6">
                  <c:v>0.41460065022617698</c:v>
                </c:pt>
                <c:pt idx="7">
                  <c:v>2.5658185513280287</c:v>
                </c:pt>
                <c:pt idx="8">
                  <c:v>2.8209294158025457</c:v>
                </c:pt>
                <c:pt idx="9">
                  <c:v>2.6835778395916776</c:v>
                </c:pt>
                <c:pt idx="10">
                  <c:v>2.3591121984966179</c:v>
                </c:pt>
                <c:pt idx="11">
                  <c:v>2.6862337043208342</c:v>
                </c:pt>
                <c:pt idx="12">
                  <c:v>3.9306684584919509</c:v>
                </c:pt>
                <c:pt idx="13">
                  <c:v>4.3016704175993539</c:v>
                </c:pt>
                <c:pt idx="14">
                  <c:v>3.3111786568584805</c:v>
                </c:pt>
                <c:pt idx="15">
                  <c:v>2.072602701158921</c:v>
                </c:pt>
                <c:pt idx="16">
                  <c:v>1.4818115500730826</c:v>
                </c:pt>
                <c:pt idx="17">
                  <c:v>2.1093223174006184</c:v>
                </c:pt>
                <c:pt idx="18">
                  <c:v>3.0385641986038365</c:v>
                </c:pt>
                <c:pt idx="19">
                  <c:v>3.3073890872531138</c:v>
                </c:pt>
                <c:pt idx="20">
                  <c:v>3.9138977654828366</c:v>
                </c:pt>
                <c:pt idx="21">
                  <c:v>4.4964852726084672</c:v>
                </c:pt>
                <c:pt idx="22">
                  <c:v>4.8489826690413125</c:v>
                </c:pt>
                <c:pt idx="23">
                  <c:v>4.6148452986295396</c:v>
                </c:pt>
                <c:pt idx="24">
                  <c:v>3.261298794000254</c:v>
                </c:pt>
                <c:pt idx="25">
                  <c:v>1.2721143336086982</c:v>
                </c:pt>
                <c:pt idx="26">
                  <c:v>0.18645981373666132</c:v>
                </c:pt>
                <c:pt idx="27">
                  <c:v>1.0702958809315248</c:v>
                </c:pt>
                <c:pt idx="28">
                  <c:v>2.0179108848506573</c:v>
                </c:pt>
                <c:pt idx="29">
                  <c:v>2.7559325376194437</c:v>
                </c:pt>
                <c:pt idx="30">
                  <c:v>3.6169157595651313</c:v>
                </c:pt>
                <c:pt idx="31">
                  <c:v>2.9715836537454337</c:v>
                </c:pt>
                <c:pt idx="32">
                  <c:v>-0.74827961762282769</c:v>
                </c:pt>
                <c:pt idx="33">
                  <c:v>-1.1620722904158853</c:v>
                </c:pt>
                <c:pt idx="34">
                  <c:v>1.4469643479557135</c:v>
                </c:pt>
                <c:pt idx="35">
                  <c:v>0.2604176226027306</c:v>
                </c:pt>
                <c:pt idx="36">
                  <c:v>-0.58026461762087678</c:v>
                </c:pt>
                <c:pt idx="37">
                  <c:v>0.64661009061767771</c:v>
                </c:pt>
                <c:pt idx="38">
                  <c:v>1.6912825503997126</c:v>
                </c:pt>
                <c:pt idx="39">
                  <c:v>2.0754417050931409</c:v>
                </c:pt>
                <c:pt idx="40">
                  <c:v>2.551308151660038</c:v>
                </c:pt>
                <c:pt idx="41">
                  <c:v>2.7541781011666941</c:v>
                </c:pt>
              </c:numCache>
            </c:numRef>
          </c:val>
          <c:smooth val="0"/>
          <c:extLst>
            <c:ext xmlns:c16="http://schemas.microsoft.com/office/drawing/2014/chart" uri="{C3380CC4-5D6E-409C-BE32-E72D297353CC}">
              <c16:uniqueId val="{00000000-0C43-4408-B17C-773A89CB77E1}"/>
            </c:ext>
          </c:extLst>
        </c:ser>
        <c:dLbls>
          <c:showLegendKey val="0"/>
          <c:showVal val="0"/>
          <c:showCatName val="0"/>
          <c:showSerName val="0"/>
          <c:showPercent val="0"/>
          <c:showBubbleSize val="0"/>
        </c:dLbls>
        <c:marker val="1"/>
        <c:smooth val="0"/>
        <c:axId val="1341305920"/>
        <c:axId val="1341635280"/>
      </c:lineChart>
      <c:lineChart>
        <c:grouping val="standard"/>
        <c:varyColors val="0"/>
        <c:ser>
          <c:idx val="1"/>
          <c:order val="1"/>
          <c:tx>
            <c:strRef>
              <c:f>'201008 GDP growth '!$H$30</c:f>
              <c:strCache>
                <c:ptCount val="1"/>
                <c:pt idx="0">
                  <c:v>Immigratiesaldo</c:v>
                </c:pt>
              </c:strCache>
            </c:strRef>
          </c:tx>
          <c:spPr>
            <a:ln w="34925" cap="rnd">
              <a:solidFill>
                <a:schemeClr val="dk1">
                  <a:tint val="55000"/>
                </a:schemeClr>
              </a:solidFill>
              <a:round/>
            </a:ln>
            <a:effectLst/>
          </c:spPr>
          <c:marker>
            <c:symbol val="none"/>
          </c:marker>
          <c:cat>
            <c:numRef>
              <c:f>'201008 GDP growth '!$F$31:$F$72</c:f>
              <c:numCache>
                <c:formatCode>General</c:formatCode>
                <c:ptCount val="42"/>
                <c:pt idx="0">
                  <c:v>1977</c:v>
                </c:pt>
                <c:pt idx="1">
                  <c:v>1978</c:v>
                </c:pt>
                <c:pt idx="2">
                  <c:v>1979</c:v>
                </c:pt>
                <c:pt idx="3">
                  <c:v>1980</c:v>
                </c:pt>
                <c:pt idx="4">
                  <c:v>1981</c:v>
                </c:pt>
                <c:pt idx="5">
                  <c:v>1982</c:v>
                </c:pt>
                <c:pt idx="6">
                  <c:v>1983</c:v>
                </c:pt>
                <c:pt idx="7">
                  <c:v>1984</c:v>
                </c:pt>
                <c:pt idx="8">
                  <c:v>1985</c:v>
                </c:pt>
                <c:pt idx="9">
                  <c:v>1986</c:v>
                </c:pt>
                <c:pt idx="10">
                  <c:v>1987</c:v>
                </c:pt>
                <c:pt idx="11">
                  <c:v>1988</c:v>
                </c:pt>
                <c:pt idx="12">
                  <c:v>1989</c:v>
                </c:pt>
                <c:pt idx="13">
                  <c:v>1990</c:v>
                </c:pt>
                <c:pt idx="14">
                  <c:v>1991</c:v>
                </c:pt>
                <c:pt idx="15">
                  <c:v>1992</c:v>
                </c:pt>
                <c:pt idx="16">
                  <c:v>1993</c:v>
                </c:pt>
                <c:pt idx="17">
                  <c:v>1994</c:v>
                </c:pt>
                <c:pt idx="18">
                  <c:v>1995</c:v>
                </c:pt>
                <c:pt idx="19">
                  <c:v>1996</c:v>
                </c:pt>
                <c:pt idx="20">
                  <c:v>1997</c:v>
                </c:pt>
                <c:pt idx="21">
                  <c:v>1998</c:v>
                </c:pt>
                <c:pt idx="22">
                  <c:v>1999</c:v>
                </c:pt>
                <c:pt idx="23">
                  <c:v>2000</c:v>
                </c:pt>
                <c:pt idx="24">
                  <c:v>2001</c:v>
                </c:pt>
                <c:pt idx="25">
                  <c:v>2002</c:v>
                </c:pt>
                <c:pt idx="26">
                  <c:v>2003</c:v>
                </c:pt>
                <c:pt idx="27">
                  <c:v>2004</c:v>
                </c:pt>
                <c:pt idx="28">
                  <c:v>2005</c:v>
                </c:pt>
                <c:pt idx="29">
                  <c:v>2006</c:v>
                </c:pt>
                <c:pt idx="30">
                  <c:v>2007</c:v>
                </c:pt>
                <c:pt idx="31">
                  <c:v>2008</c:v>
                </c:pt>
                <c:pt idx="32">
                  <c:v>2009</c:v>
                </c:pt>
                <c:pt idx="33">
                  <c:v>2010</c:v>
                </c:pt>
                <c:pt idx="34">
                  <c:v>2011</c:v>
                </c:pt>
                <c:pt idx="35">
                  <c:v>2012</c:v>
                </c:pt>
                <c:pt idx="36">
                  <c:v>2013</c:v>
                </c:pt>
                <c:pt idx="37">
                  <c:v>2014</c:v>
                </c:pt>
                <c:pt idx="38">
                  <c:v>2015</c:v>
                </c:pt>
                <c:pt idx="39">
                  <c:v>2016</c:v>
                </c:pt>
                <c:pt idx="40">
                  <c:v>2017</c:v>
                </c:pt>
                <c:pt idx="41">
                  <c:v>2018</c:v>
                </c:pt>
              </c:numCache>
            </c:numRef>
          </c:cat>
          <c:val>
            <c:numRef>
              <c:f>'201008 GDP growth '!$H$31:$H$72</c:f>
              <c:numCache>
                <c:formatCode>0.00%</c:formatCode>
                <c:ptCount val="42"/>
                <c:pt idx="0">
                  <c:v>1.4727088460981612E-3</c:v>
                </c:pt>
                <c:pt idx="1">
                  <c:v>1.9143042164340193E-3</c:v>
                </c:pt>
                <c:pt idx="2">
                  <c:v>3.077077077077077E-3</c:v>
                </c:pt>
                <c:pt idx="3">
                  <c:v>3.5878220140515222E-3</c:v>
                </c:pt>
                <c:pt idx="4">
                  <c:v>1.0112604687170105E-3</c:v>
                </c:pt>
                <c:pt idx="5">
                  <c:v>-8.9878202435951285E-5</c:v>
                </c:pt>
                <c:pt idx="6">
                  <c:v>1.6255230125523012E-4</c:v>
                </c:pt>
                <c:pt idx="7">
                  <c:v>3.5658214657867317E-4</c:v>
                </c:pt>
                <c:pt idx="8">
                  <c:v>1.3758821087588211E-3</c:v>
                </c:pt>
                <c:pt idx="9">
                  <c:v>1.8432101314612155E-3</c:v>
                </c:pt>
                <c:pt idx="10">
                  <c:v>2.401026342798495E-3</c:v>
                </c:pt>
                <c:pt idx="11">
                  <c:v>1.8513081889228677E-3</c:v>
                </c:pt>
                <c:pt idx="12">
                  <c:v>1.813644039175954E-3</c:v>
                </c:pt>
                <c:pt idx="13">
                  <c:v>3.2505875243402944E-3</c:v>
                </c:pt>
                <c:pt idx="14">
                  <c:v>3.3051299133910724E-3</c:v>
                </c:pt>
                <c:pt idx="15">
                  <c:v>2.8500231343776853E-3</c:v>
                </c:pt>
                <c:pt idx="16">
                  <c:v>2.9113458888378502E-3</c:v>
                </c:pt>
                <c:pt idx="17">
                  <c:v>1.30902098813714E-3</c:v>
                </c:pt>
                <c:pt idx="18">
                  <c:v>9.0145228215767642E-4</c:v>
                </c:pt>
                <c:pt idx="19">
                  <c:v>1.0845488576223055E-3</c:v>
                </c:pt>
                <c:pt idx="20">
                  <c:v>1.7914177426607567E-3</c:v>
                </c:pt>
                <c:pt idx="21">
                  <c:v>2.7544397598058008E-3</c:v>
                </c:pt>
                <c:pt idx="22">
                  <c:v>2.561675126903553E-3</c:v>
                </c:pt>
                <c:pt idx="23">
                  <c:v>3.3959278870398387E-3</c:v>
                </c:pt>
                <c:pt idx="24">
                  <c:v>3.1799587164571212E-3</c:v>
                </c:pt>
                <c:pt idx="25">
                  <c:v>1.5108351443651039E-3</c:v>
                </c:pt>
                <c:pt idx="26">
                  <c:v>-1.95763601556228E-5</c:v>
                </c:pt>
                <c:pt idx="27">
                  <c:v>-9.9741665641530329E-4</c:v>
                </c:pt>
                <c:pt idx="28">
                  <c:v>-1.6820802158714584E-3</c:v>
                </c:pt>
                <c:pt idx="29">
                  <c:v>-1.9174727562140321E-3</c:v>
                </c:pt>
                <c:pt idx="30">
                  <c:v>-3.519378897175694E-4</c:v>
                </c:pt>
                <c:pt idx="31">
                  <c:v>1.5688509600731485E-3</c:v>
                </c:pt>
                <c:pt idx="32">
                  <c:v>2.091532209147155E-3</c:v>
                </c:pt>
                <c:pt idx="33">
                  <c:v>1.9958371040723981E-3</c:v>
                </c:pt>
                <c:pt idx="34">
                  <c:v>1.7872238232468781E-3</c:v>
                </c:pt>
                <c:pt idx="35">
                  <c:v>8.2982665869695156E-4</c:v>
                </c:pt>
                <c:pt idx="36">
                  <c:v>1.1384386174016687E-3</c:v>
                </c:pt>
                <c:pt idx="37">
                  <c:v>2.0849129478875753E-3</c:v>
                </c:pt>
                <c:pt idx="38">
                  <c:v>3.2605171291639548E-3</c:v>
                </c:pt>
                <c:pt idx="39">
                  <c:v>4.6642322869426935E-3</c:v>
                </c:pt>
                <c:pt idx="40">
                  <c:v>4.7222222222222223E-3</c:v>
                </c:pt>
                <c:pt idx="41">
                  <c:v>5.0271229846923929E-3</c:v>
                </c:pt>
              </c:numCache>
            </c:numRef>
          </c:val>
          <c:smooth val="0"/>
          <c:extLst>
            <c:ext xmlns:c16="http://schemas.microsoft.com/office/drawing/2014/chart" uri="{C3380CC4-5D6E-409C-BE32-E72D297353CC}">
              <c16:uniqueId val="{00000001-0C43-4408-B17C-773A89CB77E1}"/>
            </c:ext>
          </c:extLst>
        </c:ser>
        <c:dLbls>
          <c:showLegendKey val="0"/>
          <c:showVal val="0"/>
          <c:showCatName val="0"/>
          <c:showSerName val="0"/>
          <c:showPercent val="0"/>
          <c:showBubbleSize val="0"/>
        </c:dLbls>
        <c:marker val="1"/>
        <c:smooth val="0"/>
        <c:axId val="1341511904"/>
        <c:axId val="1341534928"/>
      </c:lineChart>
      <c:catAx>
        <c:axId val="1341305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341635280"/>
        <c:crosses val="autoZero"/>
        <c:auto val="1"/>
        <c:lblAlgn val="ctr"/>
        <c:lblOffset val="100"/>
        <c:noMultiLvlLbl val="0"/>
      </c:catAx>
      <c:valAx>
        <c:axId val="1341635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Groei</a:t>
                </a:r>
                <a:r>
                  <a:rPr lang="en-US" sz="800" baseline="0"/>
                  <a:t> BNP, % </a:t>
                </a:r>
                <a:endParaRPr lang="en-US" sz="800"/>
              </a:p>
            </c:rich>
          </c:tx>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nl-NL"/>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341305920"/>
        <c:crosses val="autoZero"/>
        <c:crossBetween val="between"/>
      </c:valAx>
      <c:valAx>
        <c:axId val="1341534928"/>
        <c:scaling>
          <c:orientation val="minMax"/>
        </c:scaling>
        <c:delete val="0"/>
        <c:axPos val="r"/>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t>Migratiesaldo,</a:t>
                </a:r>
                <a:r>
                  <a:rPr lang="en-US" sz="800" baseline="0"/>
                  <a:t> inclusief administratieve correcties</a:t>
                </a:r>
                <a:endParaRPr lang="en-US" sz="800"/>
              </a:p>
            </c:rich>
          </c:tx>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nl-NL"/>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341511904"/>
        <c:crosses val="max"/>
        <c:crossBetween val="between"/>
      </c:valAx>
      <c:catAx>
        <c:axId val="1341511904"/>
        <c:scaling>
          <c:orientation val="minMax"/>
        </c:scaling>
        <c:delete val="1"/>
        <c:axPos val="b"/>
        <c:numFmt formatCode="General" sourceLinked="1"/>
        <c:majorTickMark val="out"/>
        <c:minorTickMark val="none"/>
        <c:tickLblPos val="nextTo"/>
        <c:crossAx val="1341534928"/>
        <c:crosses val="autoZero"/>
        <c:auto val="1"/>
        <c:lblAlgn val="ctr"/>
        <c:lblOffset val="100"/>
        <c:noMultiLvlLbl val="0"/>
      </c:cat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3977</ap:Words>
  <ap:Characters>21879</ap:Characters>
  <ap:DocSecurity>4</ap:DocSecurity>
  <ap:Lines>182</ap:Lines>
  <ap:Paragraphs>51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25805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2021-12-02T08:55:00.0000000Z</dcterms:created>
  <dcterms:modified xsi:type="dcterms:W3CDTF">2021-12-02T08:55:00.0000000Z</dcterms:modified>
  <version/>
  <category/>
</coreProperties>
</file>