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2775" w:rsidR="00000FE9" w:rsidP="00000FE9" w:rsidRDefault="00000FE9" w14:paraId="7BEE1313" w14:textId="78E6FB01">
      <w:pPr>
        <w:rPr>
          <w:b/>
          <w:i/>
          <w:sz w:val="18"/>
          <w:szCs w:val="18"/>
          <w:lang w:val="nl-NL"/>
        </w:rPr>
      </w:pPr>
      <w:r w:rsidRPr="00F72775">
        <w:rPr>
          <w:b/>
          <w:sz w:val="18"/>
          <w:szCs w:val="18"/>
          <w:lang w:val="nl-NL"/>
        </w:rPr>
        <w:t xml:space="preserve">Bijlage 1: </w:t>
      </w:r>
      <w:r w:rsidRPr="00F72775">
        <w:rPr>
          <w:b/>
          <w:i/>
          <w:sz w:val="18"/>
          <w:szCs w:val="18"/>
          <w:lang w:val="nl-NL"/>
        </w:rPr>
        <w:t xml:space="preserve">Voortgangsrapportage handelsakkoorden – </w:t>
      </w:r>
      <w:r w:rsidR="00DA6067">
        <w:rPr>
          <w:b/>
          <w:i/>
          <w:sz w:val="18"/>
          <w:szCs w:val="18"/>
          <w:lang w:val="nl-NL"/>
        </w:rPr>
        <w:t>okt</w:t>
      </w:r>
      <w:r w:rsidR="000003B7">
        <w:rPr>
          <w:b/>
          <w:i/>
          <w:sz w:val="18"/>
          <w:szCs w:val="18"/>
          <w:lang w:val="nl-NL"/>
        </w:rPr>
        <w:t xml:space="preserve"> </w:t>
      </w:r>
      <w:r>
        <w:rPr>
          <w:b/>
          <w:i/>
          <w:sz w:val="18"/>
          <w:szCs w:val="18"/>
          <w:lang w:val="nl-NL"/>
        </w:rPr>
        <w:t>2021</w:t>
      </w:r>
      <w:r w:rsidRPr="00F72775">
        <w:rPr>
          <w:b/>
          <w:i/>
          <w:sz w:val="18"/>
          <w:szCs w:val="18"/>
          <w:lang w:val="nl-NL"/>
        </w:rPr>
        <w:t xml:space="preserve"> </w:t>
      </w:r>
    </w:p>
    <w:p w:rsidRPr="00455EA6" w:rsidR="00000FE9" w:rsidP="00000FE9" w:rsidRDefault="00000FE9" w14:paraId="775EBDDB" w14:textId="77777777">
      <w:pPr>
        <w:pStyle w:val="BodyText"/>
        <w:rPr>
          <w:b/>
          <w:color w:val="FF0000"/>
          <w:lang w:val="nl-NL"/>
        </w:rPr>
      </w:pPr>
    </w:p>
    <w:p w:rsidRPr="00455EA6" w:rsidR="00000FE9" w:rsidP="00000FE9" w:rsidRDefault="00000FE9" w14:paraId="08A66170" w14:textId="77777777">
      <w:pPr>
        <w:pStyle w:val="BodyText"/>
        <w:rPr>
          <w:lang w:val="nl-NL"/>
        </w:rPr>
      </w:pPr>
      <w:r w:rsidRPr="00455EA6">
        <w:rPr>
          <w:lang w:val="nl-NL"/>
        </w:rPr>
        <w:t>Deze bijlage bevat informatie omtrent EU-handelsakkoorden die nog niet definitief in werking zijn getreden en EU-handelsakkoorden waarbij de betrokken partijen al wel de intentie kenbaar hebben gemaakt om een handelsakkoord te verkennen. Deze rapportage wordt ieder kwartaal aan de Kamer toegezonden.</w:t>
      </w:r>
    </w:p>
    <w:p w:rsidR="00000FE9" w:rsidP="00000FE9" w:rsidRDefault="00000FE9" w14:paraId="71F4C84C" w14:textId="14CE4BB9">
      <w:pPr>
        <w:rPr>
          <w:b/>
          <w:i/>
          <w:color w:val="FF0000"/>
          <w:highlight w:val="yellow"/>
          <w:lang w:val="nl-NL"/>
        </w:rPr>
      </w:pPr>
    </w:p>
    <w:p w:rsidRPr="00C04EEE" w:rsidR="00000FE9" w:rsidP="00000FE9" w:rsidRDefault="00000FE9" w14:paraId="7072F260" w14:textId="77777777">
      <w:pPr>
        <w:pStyle w:val="BodyText"/>
        <w:rPr>
          <w:u w:val="single"/>
          <w:lang w:val="nl-NL"/>
        </w:rPr>
      </w:pPr>
      <w:r w:rsidRPr="00C04EEE">
        <w:rPr>
          <w:u w:val="single"/>
          <w:lang w:val="nl-NL"/>
        </w:rPr>
        <w:t>A. Multilaterale handelsakkoorden</w:t>
      </w:r>
    </w:p>
    <w:p w:rsidRPr="00C04EEE" w:rsidR="00000FE9" w:rsidP="00000FE9" w:rsidRDefault="00000FE9" w14:paraId="04C950AE" w14:textId="77777777">
      <w:pPr>
        <w:rPr>
          <w:sz w:val="18"/>
          <w:szCs w:val="18"/>
          <w:u w:val="single"/>
          <w:lang w:val="nl-NL"/>
        </w:rPr>
      </w:pPr>
    </w:p>
    <w:p w:rsidRPr="00C04EEE" w:rsidR="00000FE9" w:rsidP="00000FE9" w:rsidRDefault="00000FE9" w14:paraId="3A28C3CE" w14:textId="77777777">
      <w:pPr>
        <w:rPr>
          <w:sz w:val="18"/>
          <w:szCs w:val="18"/>
          <w:u w:val="single"/>
          <w:lang w:val="nl-NL"/>
        </w:rPr>
      </w:pPr>
      <w:r w:rsidRPr="00C04EEE">
        <w:rPr>
          <w:sz w:val="18"/>
          <w:szCs w:val="18"/>
          <w:u w:val="single"/>
          <w:lang w:val="nl-NL"/>
        </w:rPr>
        <w:t>Onderhandelingen over afschaffen van visserijsubsidies</w:t>
      </w:r>
    </w:p>
    <w:p w:rsidRPr="00C04EEE" w:rsidR="00000FE9" w:rsidP="00000FE9" w:rsidRDefault="00000FE9" w14:paraId="3664D09D" w14:textId="39DEDFEB">
      <w:pPr>
        <w:rPr>
          <w:rFonts w:cs="Calibri"/>
          <w:color w:val="000000"/>
          <w:sz w:val="18"/>
          <w:szCs w:val="18"/>
          <w:lang w:val="nl-NL"/>
        </w:rPr>
      </w:pPr>
      <w:r w:rsidRPr="00C04EEE">
        <w:rPr>
          <w:sz w:val="18"/>
          <w:szCs w:val="18"/>
          <w:lang w:val="nl-NL"/>
        </w:rPr>
        <w:t>Het mandaat om binnen de WTO over visserijsubsidies te onderhandelen is onderdeel van de Doha Ontwikkelingsagenda (</w:t>
      </w:r>
      <w:r w:rsidRPr="00C04EEE">
        <w:rPr>
          <w:i/>
          <w:sz w:val="18"/>
          <w:szCs w:val="18"/>
          <w:lang w:val="nl-NL"/>
        </w:rPr>
        <w:t>Doha Development Agenda</w:t>
      </w:r>
      <w:r w:rsidRPr="00C04EEE">
        <w:rPr>
          <w:sz w:val="18"/>
          <w:szCs w:val="18"/>
          <w:lang w:val="nl-NL"/>
        </w:rPr>
        <w:t xml:space="preserve">, DDA). Doel is om bepaalde vormen van subsidie af te schaffen die bijdragen aan overcapaciteit en overbevissing, een einde te maken aan illegale, niet gerapporteerde en ongereguleerde (IUU) visserij, en daarbij rekening te houden met een speciale gedifferentieerde behandeling van ontwikkelingslanden conform SDG 14.6. </w:t>
      </w:r>
      <w:r w:rsidRPr="00C04EEE" w:rsidR="00251F4A">
        <w:rPr>
          <w:sz w:val="18"/>
          <w:szCs w:val="18"/>
          <w:lang w:val="nl-NL"/>
        </w:rPr>
        <w:t xml:space="preserve">Het is WTO-leden niet gelukt om in 2020 de onderhandelingen af te ronden, onder andere vanwege beperkingen door de COVID-19 pandemie. </w:t>
      </w:r>
      <w:r w:rsidRPr="00C04EEE" w:rsidR="00F81FF3">
        <w:rPr>
          <w:sz w:val="18"/>
          <w:szCs w:val="18"/>
          <w:lang w:val="nl-NL"/>
        </w:rPr>
        <w:t xml:space="preserve">Het streven van </w:t>
      </w:r>
      <w:r w:rsidRPr="00C04EEE" w:rsidR="00C04EEE">
        <w:rPr>
          <w:sz w:val="18"/>
          <w:szCs w:val="18"/>
          <w:lang w:val="nl-NL"/>
        </w:rPr>
        <w:t>WTO-leden</w:t>
      </w:r>
      <w:r w:rsidRPr="00C04EEE" w:rsidR="00F81FF3">
        <w:rPr>
          <w:sz w:val="18"/>
          <w:szCs w:val="18"/>
          <w:lang w:val="nl-NL"/>
        </w:rPr>
        <w:t xml:space="preserve"> is om dit jaar </w:t>
      </w:r>
      <w:r w:rsidRPr="00C04EEE" w:rsidR="00C04EEE">
        <w:rPr>
          <w:sz w:val="18"/>
          <w:szCs w:val="18"/>
          <w:lang w:val="nl-NL"/>
        </w:rPr>
        <w:t xml:space="preserve">tijdens de ministeriële bijeenkomst een akkoord </w:t>
      </w:r>
      <w:r w:rsidRPr="00C04EEE" w:rsidR="00F81FF3">
        <w:rPr>
          <w:sz w:val="18"/>
          <w:szCs w:val="18"/>
          <w:lang w:val="nl-NL"/>
        </w:rPr>
        <w:t xml:space="preserve">af te sluiten. </w:t>
      </w:r>
      <w:r w:rsidRPr="00C04EEE" w:rsidR="00251F4A">
        <w:rPr>
          <w:sz w:val="18"/>
          <w:szCs w:val="18"/>
          <w:lang w:val="nl-NL"/>
        </w:rPr>
        <w:t>De EU</w:t>
      </w:r>
      <w:r w:rsidRPr="00C04EEE">
        <w:rPr>
          <w:sz w:val="18"/>
          <w:szCs w:val="18"/>
          <w:lang w:val="nl-NL"/>
        </w:rPr>
        <w:t xml:space="preserve"> </w:t>
      </w:r>
      <w:r w:rsidRPr="00C04EEE" w:rsidR="00251F4A">
        <w:rPr>
          <w:sz w:val="18"/>
          <w:szCs w:val="18"/>
          <w:lang w:val="nl-NL"/>
        </w:rPr>
        <w:t>blijft gecommitteerd aan het bereiken van een ambitieuze overeenkomst</w:t>
      </w:r>
      <w:r w:rsidRPr="00C04EEE" w:rsidR="00F81FF3">
        <w:rPr>
          <w:sz w:val="18"/>
          <w:szCs w:val="18"/>
          <w:lang w:val="nl-NL"/>
        </w:rPr>
        <w:t>.</w:t>
      </w:r>
      <w:r w:rsidRPr="00C04EEE" w:rsidR="002249D7">
        <w:rPr>
          <w:sz w:val="18"/>
          <w:szCs w:val="18"/>
          <w:lang w:val="nl-NL"/>
        </w:rPr>
        <w:t xml:space="preserve"> </w:t>
      </w:r>
      <w:r w:rsidRPr="00C04EEE" w:rsidR="00C04EEE">
        <w:rPr>
          <w:sz w:val="18"/>
          <w:szCs w:val="18"/>
          <w:lang w:val="nl-NL"/>
        </w:rPr>
        <w:t>Tegelijkertijd zijn er een aantal openstaande punten in de onderhandelingen waar WTO-leden ver van elkaar af staan.</w:t>
      </w:r>
    </w:p>
    <w:p w:rsidRPr="00C04EEE" w:rsidR="00000FE9" w:rsidP="00000FE9" w:rsidRDefault="00000FE9" w14:paraId="54A3F9F1" w14:textId="77777777">
      <w:pPr>
        <w:pStyle w:val="BodyText"/>
        <w:rPr>
          <w:lang w:val="nl-NL"/>
        </w:rPr>
      </w:pPr>
      <w:r w:rsidRPr="00DA6067">
        <w:rPr>
          <w:highlight w:val="yellow"/>
          <w:lang w:val="nl-NL"/>
        </w:rPr>
        <w:br/>
      </w:r>
      <w:r w:rsidRPr="00C04EEE">
        <w:rPr>
          <w:u w:val="single"/>
          <w:lang w:val="nl-NL"/>
        </w:rPr>
        <w:t>B. Plurilaterale handelsakkoorden</w:t>
      </w:r>
      <w:r w:rsidRPr="00C04EEE">
        <w:rPr>
          <w:u w:val="single"/>
          <w:lang w:val="nl-NL"/>
        </w:rPr>
        <w:br/>
      </w:r>
    </w:p>
    <w:p w:rsidRPr="00C04EEE" w:rsidR="00000FE9" w:rsidP="00000FE9" w:rsidRDefault="00000FE9" w14:paraId="31B86366" w14:textId="77777777">
      <w:pPr>
        <w:rPr>
          <w:sz w:val="18"/>
          <w:szCs w:val="18"/>
          <w:lang w:val="nl-NL"/>
        </w:rPr>
      </w:pPr>
      <w:r w:rsidRPr="00C04EEE">
        <w:rPr>
          <w:sz w:val="18"/>
          <w:szCs w:val="18"/>
          <w:u w:val="single"/>
          <w:lang w:val="nl-NL"/>
        </w:rPr>
        <w:t>Milieugoederenakkoord (</w:t>
      </w:r>
      <w:r w:rsidRPr="00C04EEE">
        <w:rPr>
          <w:i/>
          <w:sz w:val="18"/>
          <w:szCs w:val="18"/>
          <w:u w:val="single"/>
          <w:lang w:val="nl-NL"/>
        </w:rPr>
        <w:t xml:space="preserve">Environmental Goods Agreement </w:t>
      </w:r>
      <w:r w:rsidRPr="00C04EEE">
        <w:rPr>
          <w:sz w:val="18"/>
          <w:szCs w:val="18"/>
          <w:u w:val="single"/>
          <w:lang w:val="nl-NL"/>
        </w:rPr>
        <w:t>(EGA))</w:t>
      </w:r>
      <w:r w:rsidRPr="00C04EEE">
        <w:rPr>
          <w:sz w:val="18"/>
          <w:szCs w:val="18"/>
          <w:lang w:val="nl-NL"/>
        </w:rPr>
        <w:t>:</w:t>
      </w:r>
    </w:p>
    <w:p w:rsidRPr="00C04EEE" w:rsidR="00000FE9" w:rsidP="00000FE9" w:rsidRDefault="00000FE9" w14:paraId="09CA1986" w14:textId="0B56141E">
      <w:pPr>
        <w:rPr>
          <w:sz w:val="18"/>
          <w:szCs w:val="18"/>
          <w:lang w:val="nl-NL"/>
        </w:rPr>
      </w:pPr>
      <w:r w:rsidRPr="00C04EEE">
        <w:rPr>
          <w:sz w:val="18"/>
          <w:szCs w:val="18"/>
          <w:lang w:val="nl-NL"/>
        </w:rPr>
        <w:t>Sinds juli 2014 onderhandelen achttien partijen, waaronder de EU, over een milieugoederenakkoord. Dit beoogde akkoord richt zich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 een akkoord (zogenoemde ‘</w:t>
      </w:r>
      <w:r w:rsidRPr="00C04EEE">
        <w:rPr>
          <w:i/>
          <w:sz w:val="18"/>
          <w:szCs w:val="18"/>
          <w:lang w:val="nl-NL"/>
        </w:rPr>
        <w:t>landing zones</w:t>
      </w:r>
      <w:r w:rsidRPr="00C04EEE">
        <w:rPr>
          <w:sz w:val="18"/>
          <w:szCs w:val="18"/>
          <w:lang w:val="nl-NL"/>
        </w:rPr>
        <w:t>’) geïdentificeerd. Partijen hebben gepoogd de onderhandelingen in 2016 af te ronden, maar zijn daar niet in geslaagd. Hierop zijn de onderhandelingen stilgelegd. Het is onduidelijk wanneer de</w:t>
      </w:r>
      <w:r w:rsidRPr="00C04EEE" w:rsidR="00897180">
        <w:rPr>
          <w:sz w:val="18"/>
          <w:szCs w:val="18"/>
          <w:lang w:val="nl-NL"/>
        </w:rPr>
        <w:t>ze</w:t>
      </w:r>
      <w:r w:rsidRPr="00C04EEE">
        <w:rPr>
          <w:sz w:val="18"/>
          <w:szCs w:val="18"/>
          <w:lang w:val="nl-NL"/>
        </w:rPr>
        <w:t xml:space="preserve"> onderhandelingen worden hervat, ook gezien het veranderde internationale krachtenveld sinds 2016. </w:t>
      </w:r>
      <w:r w:rsidR="00C04EEE">
        <w:rPr>
          <w:sz w:val="18"/>
          <w:szCs w:val="18"/>
          <w:lang w:val="nl-NL"/>
        </w:rPr>
        <w:t>De</w:t>
      </w:r>
      <w:r w:rsidRPr="00C04EEE">
        <w:rPr>
          <w:sz w:val="18"/>
          <w:szCs w:val="18"/>
          <w:lang w:val="nl-NL"/>
        </w:rPr>
        <w:t xml:space="preserve"> Europese Commissie </w:t>
      </w:r>
      <w:r w:rsidR="00C04EEE">
        <w:rPr>
          <w:sz w:val="18"/>
          <w:szCs w:val="18"/>
          <w:lang w:val="nl-NL"/>
        </w:rPr>
        <w:t>zet namens de EU</w:t>
      </w:r>
      <w:r w:rsidRPr="00C04EEE">
        <w:rPr>
          <w:sz w:val="18"/>
          <w:szCs w:val="18"/>
          <w:lang w:val="nl-NL"/>
        </w:rPr>
        <w:t xml:space="preserve"> </w:t>
      </w:r>
      <w:r w:rsidR="00C04EEE">
        <w:rPr>
          <w:sz w:val="18"/>
          <w:szCs w:val="18"/>
          <w:lang w:val="nl-NL"/>
        </w:rPr>
        <w:t>in op het verder brengen</w:t>
      </w:r>
      <w:r w:rsidRPr="00C04EEE">
        <w:rPr>
          <w:sz w:val="18"/>
          <w:szCs w:val="18"/>
          <w:lang w:val="nl-NL"/>
        </w:rPr>
        <w:t xml:space="preserve"> van duurzaamheid</w:t>
      </w:r>
      <w:r w:rsidR="00C04EEE">
        <w:rPr>
          <w:sz w:val="18"/>
          <w:szCs w:val="18"/>
          <w:lang w:val="nl-NL"/>
        </w:rPr>
        <w:t>sinitiatieven</w:t>
      </w:r>
      <w:r w:rsidRPr="00C04EEE">
        <w:rPr>
          <w:sz w:val="18"/>
          <w:szCs w:val="18"/>
          <w:lang w:val="nl-NL"/>
        </w:rPr>
        <w:t xml:space="preserve"> in het </w:t>
      </w:r>
      <w:r w:rsidR="00C04EEE">
        <w:rPr>
          <w:sz w:val="18"/>
          <w:szCs w:val="18"/>
          <w:lang w:val="nl-NL"/>
        </w:rPr>
        <w:t>kader van de WTO. Voor het bevorderen van</w:t>
      </w:r>
      <w:r w:rsidRPr="00C04EEE">
        <w:rPr>
          <w:sz w:val="18"/>
          <w:szCs w:val="18"/>
          <w:lang w:val="nl-NL"/>
        </w:rPr>
        <w:t xml:space="preserve"> handel in groene </w:t>
      </w:r>
      <w:r w:rsidRPr="00C04EEE" w:rsidR="00B43CEC">
        <w:rPr>
          <w:sz w:val="18"/>
          <w:szCs w:val="18"/>
          <w:lang w:val="nl-NL"/>
        </w:rPr>
        <w:t>klimaat</w:t>
      </w:r>
      <w:r w:rsidRPr="00C04EEE">
        <w:rPr>
          <w:sz w:val="18"/>
          <w:szCs w:val="18"/>
          <w:lang w:val="nl-NL"/>
        </w:rPr>
        <w:t>goederen en diensten</w:t>
      </w:r>
      <w:r w:rsidRPr="00C04EEE" w:rsidR="00B43CEC">
        <w:rPr>
          <w:sz w:val="18"/>
          <w:szCs w:val="18"/>
          <w:lang w:val="nl-NL"/>
        </w:rPr>
        <w:t xml:space="preserve"> </w:t>
      </w:r>
      <w:r w:rsidR="00C04EEE">
        <w:rPr>
          <w:sz w:val="18"/>
          <w:szCs w:val="18"/>
          <w:lang w:val="nl-NL"/>
        </w:rPr>
        <w:t>door middel van het wegnemen van handelsbarrières is momenteel beperkte steun onder WTO-leden</w:t>
      </w:r>
      <w:r w:rsidRPr="00C04EEE">
        <w:rPr>
          <w:sz w:val="18"/>
          <w:szCs w:val="18"/>
          <w:lang w:val="nl-NL"/>
        </w:rPr>
        <w:t>.</w:t>
      </w:r>
      <w:r w:rsidR="00C04EEE">
        <w:rPr>
          <w:sz w:val="18"/>
          <w:szCs w:val="18"/>
          <w:lang w:val="nl-NL"/>
        </w:rPr>
        <w:t xml:space="preserve"> De EU zet in op het verder verkennen van de mogelijkheden </w:t>
      </w:r>
      <w:r w:rsidR="00873796">
        <w:rPr>
          <w:sz w:val="18"/>
          <w:szCs w:val="18"/>
          <w:lang w:val="nl-NL"/>
        </w:rPr>
        <w:t>voor het stimuleren van handel in groene goederen en diensten</w:t>
      </w:r>
      <w:r w:rsidR="00C04EEE">
        <w:rPr>
          <w:sz w:val="18"/>
          <w:szCs w:val="18"/>
          <w:lang w:val="nl-NL"/>
        </w:rPr>
        <w:t xml:space="preserve">.  </w:t>
      </w:r>
      <w:r w:rsidRPr="00C04EEE">
        <w:rPr>
          <w:sz w:val="18"/>
          <w:szCs w:val="18"/>
          <w:lang w:val="nl-NL"/>
        </w:rPr>
        <w:t xml:space="preserve"> </w:t>
      </w:r>
    </w:p>
    <w:p w:rsidRPr="00DA6067" w:rsidR="00000FE9" w:rsidP="00000FE9" w:rsidRDefault="00000FE9" w14:paraId="2941D883" w14:textId="77777777">
      <w:pPr>
        <w:pStyle w:val="BodyText"/>
        <w:rPr>
          <w:highlight w:val="yellow"/>
          <w:lang w:val="nl-NL"/>
        </w:rPr>
      </w:pPr>
    </w:p>
    <w:p w:rsidRPr="009A1947" w:rsidR="00000FE9" w:rsidP="00000FE9" w:rsidRDefault="00000FE9" w14:paraId="5E1BE138" w14:textId="77777777">
      <w:pPr>
        <w:rPr>
          <w:sz w:val="18"/>
          <w:szCs w:val="18"/>
          <w:lang w:val="nl-NL"/>
        </w:rPr>
      </w:pPr>
      <w:r w:rsidRPr="009A1947">
        <w:rPr>
          <w:sz w:val="18"/>
          <w:szCs w:val="18"/>
          <w:u w:val="single"/>
          <w:lang w:val="nl-NL"/>
        </w:rPr>
        <w:t>Verdrag over de handel in diensten (</w:t>
      </w:r>
      <w:r w:rsidRPr="009A1947">
        <w:rPr>
          <w:i/>
          <w:sz w:val="18"/>
          <w:szCs w:val="18"/>
          <w:u w:val="single"/>
          <w:lang w:val="nl-NL"/>
        </w:rPr>
        <w:t xml:space="preserve">Trade in Services Agreement </w:t>
      </w:r>
      <w:r w:rsidRPr="009A1947">
        <w:rPr>
          <w:sz w:val="18"/>
          <w:szCs w:val="18"/>
          <w:u w:val="single"/>
          <w:lang w:val="nl-NL"/>
        </w:rPr>
        <w:t>(TiSA):</w:t>
      </w:r>
    </w:p>
    <w:p w:rsidRPr="009A1947" w:rsidR="00000FE9" w:rsidP="00000FE9" w:rsidRDefault="00000FE9" w14:paraId="6E9C140E" w14:textId="1829EC15">
      <w:pPr>
        <w:pStyle w:val="BodyText"/>
        <w:rPr>
          <w:lang w:val="nl-NL"/>
        </w:rPr>
      </w:pPr>
      <w:r w:rsidRPr="009A1947">
        <w:rPr>
          <w:lang w:val="nl-NL"/>
        </w:rPr>
        <w:t xml:space="preserve">Het </w:t>
      </w:r>
      <w:r w:rsidRPr="009A1947">
        <w:rPr>
          <w:i/>
          <w:lang w:val="nl-NL"/>
        </w:rPr>
        <w:t xml:space="preserve">Trade in Services Agreement </w:t>
      </w:r>
      <w:r w:rsidRPr="009A1947">
        <w:rPr>
          <w:lang w:val="nl-NL"/>
        </w:rPr>
        <w:t>(TiSA) is een plurilateraal handelsakkoord over de handel in diensten waarover de EU tot december 2016 met 22 WTO-leden onderhandelde, op basis van een mandaat van de Raad uit maart 2013.</w:t>
      </w:r>
      <w:r w:rsidRPr="009A1947">
        <w:rPr>
          <w:rStyle w:val="FootnoteReference"/>
          <w:lang w:val="nl-NL"/>
        </w:rPr>
        <w:footnoteReference w:id="2"/>
      </w:r>
      <w:r w:rsidRPr="009A1947">
        <w:rPr>
          <w:lang w:val="nl-NL"/>
        </w:rPr>
        <w:t xml:space="preserve"> Het doel van het akkoord is onder meer om afspraken te maken over internationale </w:t>
      </w:r>
      <w:r w:rsidRPr="009A1947">
        <w:rPr>
          <w:i/>
          <w:lang w:val="nl-NL"/>
        </w:rPr>
        <w:t>e-commerce</w:t>
      </w:r>
      <w:r w:rsidRPr="009A1947">
        <w:rPr>
          <w:lang w:val="nl-NL"/>
        </w:rPr>
        <w:t>, datastromen, telecommunicatie, transport, kennismigratie en betere regelgeving. Van 2 tot en met 10 november 2016 heeft de 21</w:t>
      </w:r>
      <w:r w:rsidRPr="009A1947">
        <w:rPr>
          <w:vertAlign w:val="superscript"/>
          <w:lang w:val="nl-NL"/>
        </w:rPr>
        <w:t>e</w:t>
      </w:r>
      <w:r w:rsidRPr="009A1947">
        <w:rPr>
          <w:lang w:val="nl-NL"/>
        </w:rPr>
        <w:t xml:space="preserve"> onderhandelingsronde plaatsgevonden. De Europese Commissie heeft een verslag van deze ronde op haar website gepubliceerd.</w:t>
      </w:r>
      <w:r w:rsidRPr="009A1947">
        <w:rPr>
          <w:rStyle w:val="FootnoteReference"/>
          <w:lang w:val="nl-NL"/>
        </w:rPr>
        <w:footnoteReference w:id="3"/>
      </w:r>
      <w:r w:rsidRPr="009A1947">
        <w:rPr>
          <w:lang w:val="nl-NL"/>
        </w:rPr>
        <w:t xml:space="preserve"> Sindsdien zijn er in verband met het veranderde internationaal krachtenveld geen onderhandelingen meer geweest. Het is onbekend wanneer de</w:t>
      </w:r>
      <w:r w:rsidRPr="009A1947" w:rsidR="007707E0">
        <w:rPr>
          <w:lang w:val="nl-NL"/>
        </w:rPr>
        <w:t>ze</w:t>
      </w:r>
      <w:r w:rsidRPr="009A1947">
        <w:rPr>
          <w:lang w:val="nl-NL"/>
        </w:rPr>
        <w:t xml:space="preserve"> onderhandelingen worden hervat.  </w:t>
      </w:r>
    </w:p>
    <w:p w:rsidRPr="00DA6067" w:rsidR="00000FE9" w:rsidP="00000FE9" w:rsidRDefault="00000FE9" w14:paraId="74BA60CF" w14:textId="77777777">
      <w:pPr>
        <w:pStyle w:val="BodyText"/>
        <w:rPr>
          <w:highlight w:val="yellow"/>
          <w:lang w:val="nl-NL"/>
        </w:rPr>
      </w:pPr>
    </w:p>
    <w:p w:rsidRPr="0013123E" w:rsidR="00000FE9" w:rsidP="00000FE9" w:rsidRDefault="00000FE9" w14:paraId="0A434B3B" w14:textId="77777777">
      <w:pPr>
        <w:pStyle w:val="BodyText"/>
        <w:rPr>
          <w:u w:val="single"/>
          <w:lang w:val="nl-NL"/>
        </w:rPr>
      </w:pPr>
      <w:r w:rsidRPr="0013123E">
        <w:rPr>
          <w:u w:val="single"/>
          <w:lang w:val="nl-NL"/>
        </w:rPr>
        <w:t>Onderhandelingen over elektronische handel (</w:t>
      </w:r>
      <w:r w:rsidRPr="0013123E">
        <w:rPr>
          <w:i/>
          <w:u w:val="single"/>
          <w:lang w:val="nl-NL"/>
        </w:rPr>
        <w:t>e-commerce</w:t>
      </w:r>
      <w:r w:rsidRPr="0013123E">
        <w:rPr>
          <w:u w:val="single"/>
          <w:lang w:val="nl-NL"/>
        </w:rPr>
        <w:t>)</w:t>
      </w:r>
    </w:p>
    <w:p w:rsidRPr="0013123E" w:rsidR="00000FE9" w:rsidP="00000FE9" w:rsidRDefault="00000FE9" w14:paraId="52A9D2C0" w14:textId="00FFAEB0">
      <w:pPr>
        <w:pStyle w:val="BodyText"/>
        <w:rPr>
          <w:lang w:val="nl-NL"/>
        </w:rPr>
      </w:pPr>
      <w:r w:rsidRPr="0013123E">
        <w:rPr>
          <w:lang w:val="nl-NL"/>
        </w:rPr>
        <w:t xml:space="preserve">In december 2017 hebben 71 WTO-leden, waaronder de EU, de VS, Japan en China, </w:t>
      </w:r>
      <w:r w:rsidRPr="0013123E" w:rsidR="0013123E">
        <w:rPr>
          <w:lang w:val="nl-NL"/>
        </w:rPr>
        <w:t>en marge van</w:t>
      </w:r>
      <w:r w:rsidRPr="0013123E">
        <w:rPr>
          <w:lang w:val="nl-NL"/>
        </w:rPr>
        <w:t xml:space="preserve"> de 11</w:t>
      </w:r>
      <w:r w:rsidRPr="0013123E">
        <w:rPr>
          <w:vertAlign w:val="superscript"/>
          <w:lang w:val="nl-NL"/>
        </w:rPr>
        <w:t xml:space="preserve">e </w:t>
      </w:r>
      <w:r w:rsidRPr="0013123E">
        <w:rPr>
          <w:lang w:val="nl-NL"/>
        </w:rPr>
        <w:t xml:space="preserve">Ministeriële Conferentie van de WTO een gezamenlijke verklaring gepubliceerd die als startschot diende voor verkennende gesprekken ten behoeve van toekomstige onderhandelingen over </w:t>
      </w:r>
      <w:r w:rsidRPr="0013123E">
        <w:rPr>
          <w:i/>
          <w:lang w:val="nl-NL"/>
        </w:rPr>
        <w:t>e-commerce</w:t>
      </w:r>
      <w:r w:rsidRPr="0013123E">
        <w:rPr>
          <w:lang w:val="nl-NL"/>
        </w:rPr>
        <w:t xml:space="preserve">. Het doel van het akkoord is afspraken maken over onderwerpen die </w:t>
      </w:r>
      <w:r w:rsidRPr="0013123E">
        <w:rPr>
          <w:i/>
          <w:lang w:val="nl-NL"/>
        </w:rPr>
        <w:t>e-commerce</w:t>
      </w:r>
      <w:r w:rsidRPr="0013123E">
        <w:rPr>
          <w:lang w:val="nl-NL"/>
        </w:rPr>
        <w:t xml:space="preserve"> betreffen, zoals erkenning van elektronische handtekeningen, consumentenbescherming, bescherming van persoonsgegevens en privacy en grensoverschrijdende datastromen. In januari 2019 hebben 76 </w:t>
      </w:r>
      <w:r w:rsidRPr="0013123E">
        <w:rPr>
          <w:lang w:val="nl-NL"/>
        </w:rPr>
        <w:lastRenderedPageBreak/>
        <w:t xml:space="preserve">leden van de WTO, waaronder de eerdergenoemde leden, in een gezamenlijk </w:t>
      </w:r>
      <w:r w:rsidRPr="0013123E">
        <w:rPr>
          <w:i/>
          <w:lang w:val="nl-NL"/>
        </w:rPr>
        <w:t xml:space="preserve">Joint Statement Initiative </w:t>
      </w:r>
      <w:r w:rsidRPr="0013123E">
        <w:rPr>
          <w:lang w:val="nl-NL"/>
        </w:rPr>
        <w:t xml:space="preserve">(JSI) te Davos besloten onderhandelingen te starten over de aan handel gerelateerde aspecten van </w:t>
      </w:r>
      <w:r w:rsidRPr="0013123E">
        <w:rPr>
          <w:i/>
          <w:lang w:val="nl-NL"/>
        </w:rPr>
        <w:t>e-commerce</w:t>
      </w:r>
      <w:r w:rsidRPr="0013123E">
        <w:rPr>
          <w:lang w:val="nl-NL"/>
        </w:rPr>
        <w:t>. Ondertussen is het a</w:t>
      </w:r>
      <w:r w:rsidRPr="0013123E" w:rsidR="00DD2FDC">
        <w:rPr>
          <w:lang w:val="nl-NL"/>
        </w:rPr>
        <w:t>antal deelnemers gestegen tot 86</w:t>
      </w:r>
      <w:r w:rsidRPr="0013123E">
        <w:rPr>
          <w:lang w:val="nl-NL"/>
        </w:rPr>
        <w:t xml:space="preserve">. </w:t>
      </w:r>
    </w:p>
    <w:p w:rsidRPr="0013123E" w:rsidR="00000FE9" w:rsidP="00000FE9" w:rsidRDefault="00000FE9" w14:paraId="5806F20E" w14:textId="11401B09">
      <w:pPr>
        <w:pStyle w:val="BodyText"/>
        <w:rPr>
          <w:lang w:val="nl-NL"/>
        </w:rPr>
      </w:pPr>
      <w:r w:rsidRPr="0013123E">
        <w:rPr>
          <w:lang w:val="nl-NL"/>
        </w:rPr>
        <w:t>De onderhandelingen vinden voor de EU plaats op basis van het mandaat voor de Doha Ontwikkelingsagenda, aangevuld met de onderhandelingsrichtsnoeren die in mei 2019 door de Raad zijn vastgelegd</w:t>
      </w:r>
      <w:r w:rsidRPr="0013123E" w:rsidR="00725DCF">
        <w:rPr>
          <w:lang w:val="nl-NL"/>
        </w:rPr>
        <w:t>.</w:t>
      </w:r>
      <w:r w:rsidRPr="0013123E" w:rsidR="00465947">
        <w:rPr>
          <w:rStyle w:val="FootnoteReference"/>
          <w:lang w:val="nl-NL"/>
        </w:rPr>
        <w:footnoteReference w:id="4"/>
      </w:r>
      <w:r w:rsidRPr="0013123E" w:rsidR="00725DCF">
        <w:rPr>
          <w:lang w:val="nl-NL"/>
        </w:rPr>
        <w:t xml:space="preserve"> Door COVID-19 is een aantal rondes geannuleerd, maar vanaf juni 2020 zijn deze weer aangevangen in hybride vorm. </w:t>
      </w:r>
      <w:r w:rsidRPr="0013123E">
        <w:rPr>
          <w:lang w:val="nl-NL"/>
        </w:rPr>
        <w:t xml:space="preserve">Naast de plenaire vergaderingen </w:t>
      </w:r>
      <w:r w:rsidRPr="0013123E" w:rsidR="00FF45FB">
        <w:rPr>
          <w:lang w:val="nl-NL"/>
        </w:rPr>
        <w:t xml:space="preserve">vinden </w:t>
      </w:r>
      <w:r w:rsidRPr="0013123E">
        <w:rPr>
          <w:lang w:val="nl-NL"/>
        </w:rPr>
        <w:t xml:space="preserve">op een </w:t>
      </w:r>
      <w:r w:rsidRPr="0013123E" w:rsidR="00DD2FDC">
        <w:rPr>
          <w:lang w:val="nl-NL"/>
        </w:rPr>
        <w:t>tien</w:t>
      </w:r>
      <w:r w:rsidRPr="0013123E">
        <w:rPr>
          <w:lang w:val="nl-NL"/>
        </w:rPr>
        <w:t xml:space="preserve">tal onderwerpen bijeenkomsten in kleiner verband </w:t>
      </w:r>
      <w:r w:rsidRPr="0013123E" w:rsidR="0077325B">
        <w:rPr>
          <w:lang w:val="nl-NL"/>
        </w:rPr>
        <w:t>middels</w:t>
      </w:r>
      <w:r w:rsidRPr="0013123E" w:rsidR="00DD2FDC">
        <w:rPr>
          <w:lang w:val="nl-NL"/>
        </w:rPr>
        <w:t xml:space="preserve"> werkgroepen </w:t>
      </w:r>
      <w:r w:rsidRPr="0013123E">
        <w:rPr>
          <w:lang w:val="nl-NL"/>
        </w:rPr>
        <w:t xml:space="preserve">plaats om de teksten verder te stroomlijnen. In augustus </w:t>
      </w:r>
      <w:r w:rsidRPr="0013123E" w:rsidR="00EB1341">
        <w:rPr>
          <w:lang w:val="nl-NL"/>
        </w:rPr>
        <w:t>2020</w:t>
      </w:r>
      <w:r w:rsidRPr="0013123E">
        <w:rPr>
          <w:lang w:val="nl-NL"/>
        </w:rPr>
        <w:t xml:space="preserve"> werd een </w:t>
      </w:r>
      <w:r w:rsidRPr="0013123E">
        <w:rPr>
          <w:i/>
          <w:lang w:val="nl-NL"/>
        </w:rPr>
        <w:t>stocktaking</w:t>
      </w:r>
      <w:r w:rsidRPr="0013123E" w:rsidR="00DD2FDC">
        <w:rPr>
          <w:lang w:val="nl-NL"/>
        </w:rPr>
        <w:t xml:space="preserve">-tekst gepresenteerd. Er is begin 2021 </w:t>
      </w:r>
      <w:r w:rsidRPr="0013123E" w:rsidR="0013123E">
        <w:rPr>
          <w:lang w:val="nl-NL"/>
        </w:rPr>
        <w:t xml:space="preserve">op technisch niveau </w:t>
      </w:r>
      <w:r w:rsidRPr="0013123E" w:rsidR="00DD2FDC">
        <w:rPr>
          <w:lang w:val="nl-NL"/>
        </w:rPr>
        <w:t>o</w:t>
      </w:r>
      <w:r w:rsidR="003C07A4">
        <w:rPr>
          <w:lang w:val="nl-NL"/>
        </w:rPr>
        <w:t>vereenstemming bereikt over een</w:t>
      </w:r>
      <w:r w:rsidRPr="0013123E" w:rsidR="005307D0">
        <w:rPr>
          <w:lang w:val="nl-NL"/>
        </w:rPr>
        <w:t xml:space="preserve"> </w:t>
      </w:r>
      <w:r w:rsidRPr="0013123E" w:rsidR="00DD2FDC">
        <w:rPr>
          <w:lang w:val="nl-NL"/>
        </w:rPr>
        <w:t>tekst over spam (ongewenste elektronische post</w:t>
      </w:r>
      <w:r w:rsidRPr="0013123E" w:rsidR="00774568">
        <w:rPr>
          <w:lang w:val="nl-NL"/>
        </w:rPr>
        <w:t>)</w:t>
      </w:r>
      <w:r w:rsidRPr="0013123E" w:rsidR="00FF45FB">
        <w:rPr>
          <w:lang w:val="nl-NL"/>
        </w:rPr>
        <w:t xml:space="preserve"> en over</w:t>
      </w:r>
      <w:r w:rsidRPr="0013123E">
        <w:rPr>
          <w:lang w:val="nl-NL"/>
        </w:rPr>
        <w:t xml:space="preserve"> </w:t>
      </w:r>
      <w:r w:rsidRPr="0013123E">
        <w:rPr>
          <w:i/>
          <w:lang w:val="nl-NL"/>
        </w:rPr>
        <w:t>e-signature</w:t>
      </w:r>
      <w:r w:rsidRPr="0013123E" w:rsidR="007C21A3">
        <w:rPr>
          <w:i/>
          <w:lang w:val="nl-NL"/>
        </w:rPr>
        <w:t xml:space="preserve"> </w:t>
      </w:r>
      <w:r w:rsidRPr="0013123E" w:rsidR="007C21A3">
        <w:rPr>
          <w:lang w:val="nl-NL"/>
        </w:rPr>
        <w:t>(elektronische handtekening)</w:t>
      </w:r>
      <w:r w:rsidRPr="0013123E" w:rsidR="00FF45FB">
        <w:rPr>
          <w:lang w:val="nl-NL"/>
        </w:rPr>
        <w:t xml:space="preserve">. </w:t>
      </w:r>
      <w:r w:rsidRPr="0013123E" w:rsidR="00F82055">
        <w:rPr>
          <w:lang w:val="nl-NL"/>
        </w:rPr>
        <w:t>Recent zijn ook</w:t>
      </w:r>
      <w:r w:rsidRPr="0013123E" w:rsidR="00FF45FB">
        <w:rPr>
          <w:lang w:val="nl-NL"/>
        </w:rPr>
        <w:t xml:space="preserve"> de onderhandelingen inzake o.a. </w:t>
      </w:r>
      <w:r w:rsidRPr="0013123E" w:rsidR="00FF45FB">
        <w:rPr>
          <w:i/>
          <w:lang w:val="nl-NL"/>
        </w:rPr>
        <w:t xml:space="preserve">e-contracts </w:t>
      </w:r>
      <w:r w:rsidRPr="0013123E" w:rsidR="00F82055">
        <w:rPr>
          <w:i/>
          <w:lang w:val="nl-NL"/>
        </w:rPr>
        <w:t>(elektronische contracten)</w:t>
      </w:r>
      <w:r w:rsidRPr="0013123E" w:rsidR="00F82055">
        <w:rPr>
          <w:lang w:val="nl-NL"/>
        </w:rPr>
        <w:t xml:space="preserve">, </w:t>
      </w:r>
      <w:r w:rsidRPr="0013123E" w:rsidR="00FF45FB">
        <w:rPr>
          <w:lang w:val="nl-NL"/>
        </w:rPr>
        <w:t>consumente</w:t>
      </w:r>
      <w:r w:rsidRPr="0013123E" w:rsidR="002F184C">
        <w:rPr>
          <w:lang w:val="nl-NL"/>
        </w:rPr>
        <w:t>n</w:t>
      </w:r>
      <w:r w:rsidRPr="0013123E" w:rsidR="00FF45FB">
        <w:rPr>
          <w:lang w:val="nl-NL"/>
        </w:rPr>
        <w:t xml:space="preserve">bescherming </w:t>
      </w:r>
      <w:r w:rsidRPr="0013123E" w:rsidR="00F82055">
        <w:rPr>
          <w:lang w:val="nl-NL"/>
        </w:rPr>
        <w:t xml:space="preserve">en </w:t>
      </w:r>
      <w:r w:rsidRPr="0013123E" w:rsidR="00F82055">
        <w:rPr>
          <w:i/>
          <w:lang w:val="nl-NL"/>
        </w:rPr>
        <w:t>open government data</w:t>
      </w:r>
      <w:r w:rsidRPr="0013123E" w:rsidR="00F82055">
        <w:rPr>
          <w:lang w:val="nl-NL"/>
        </w:rPr>
        <w:t xml:space="preserve"> afgerond. De small groups over </w:t>
      </w:r>
      <w:r w:rsidRPr="0013123E" w:rsidR="00F82055">
        <w:rPr>
          <w:i/>
          <w:lang w:val="nl-NL"/>
        </w:rPr>
        <w:t>e-invoicing, paperless trade, electronic transaction frameworks</w:t>
      </w:r>
      <w:r w:rsidRPr="0013123E" w:rsidR="00F82055">
        <w:rPr>
          <w:lang w:val="nl-NL"/>
        </w:rPr>
        <w:t xml:space="preserve"> en </w:t>
      </w:r>
      <w:r w:rsidRPr="0013123E" w:rsidR="00F82055">
        <w:rPr>
          <w:i/>
          <w:lang w:val="nl-NL"/>
        </w:rPr>
        <w:t>open internet access</w:t>
      </w:r>
      <w:r w:rsidRPr="0013123E" w:rsidR="00F82055">
        <w:rPr>
          <w:lang w:val="nl-NL"/>
        </w:rPr>
        <w:t xml:space="preserve"> </w:t>
      </w:r>
      <w:r w:rsidRPr="0013123E" w:rsidR="00FF45FB">
        <w:rPr>
          <w:lang w:val="nl-NL"/>
        </w:rPr>
        <w:t>gaan de goede kant op.</w:t>
      </w:r>
      <w:r w:rsidRPr="0013123E" w:rsidR="00F82055">
        <w:rPr>
          <w:lang w:val="nl-NL"/>
        </w:rPr>
        <w:t xml:space="preserve"> </w:t>
      </w:r>
      <w:r w:rsidRPr="0013123E" w:rsidR="0013123E">
        <w:rPr>
          <w:lang w:val="nl-NL"/>
        </w:rPr>
        <w:t xml:space="preserve">De </w:t>
      </w:r>
      <w:r w:rsidR="006C76F9">
        <w:rPr>
          <w:lang w:val="nl-NL"/>
        </w:rPr>
        <w:t>c</w:t>
      </w:r>
      <w:r w:rsidRPr="0013123E" w:rsidR="0013123E">
        <w:rPr>
          <w:lang w:val="nl-NL"/>
        </w:rPr>
        <w:t>o-conveners die de onderhandelingen voorzitten streven naar afronding van zoveel mogelijk onderwerpen voor MC12. Ook streven zij ernaar een tijdspad te presenteren voor afr</w:t>
      </w:r>
      <w:r w:rsidR="003C07A4">
        <w:rPr>
          <w:lang w:val="nl-NL"/>
        </w:rPr>
        <w:t>onding van de onderhandelingen.</w:t>
      </w:r>
    </w:p>
    <w:p w:rsidRPr="00DA6067" w:rsidR="00000FE9" w:rsidP="00000FE9" w:rsidRDefault="00000FE9" w14:paraId="1D80E8EA" w14:textId="77777777">
      <w:pPr>
        <w:pStyle w:val="BodyText"/>
        <w:rPr>
          <w:highlight w:val="yellow"/>
          <w:lang w:val="nl-NL"/>
        </w:rPr>
      </w:pPr>
    </w:p>
    <w:p w:rsidRPr="00DA6067" w:rsidR="00000FE9" w:rsidP="00000FE9" w:rsidRDefault="00000FE9" w14:paraId="75742D13" w14:textId="77777777">
      <w:pPr>
        <w:pStyle w:val="BodyText"/>
        <w:rPr>
          <w:highlight w:val="yellow"/>
          <w:lang w:val="nl-NL"/>
        </w:rPr>
      </w:pPr>
    </w:p>
    <w:p w:rsidRPr="003D0370" w:rsidR="00000FE9" w:rsidP="00000FE9" w:rsidRDefault="00000FE9" w14:paraId="04F22A77" w14:textId="77777777">
      <w:pPr>
        <w:pStyle w:val="ListParagraph"/>
        <w:numPr>
          <w:ilvl w:val="0"/>
          <w:numId w:val="2"/>
        </w:numPr>
        <w:tabs>
          <w:tab w:val="left" w:pos="377"/>
        </w:tabs>
        <w:ind w:left="0" w:firstLine="0"/>
        <w:rPr>
          <w:sz w:val="18"/>
          <w:szCs w:val="18"/>
        </w:rPr>
      </w:pPr>
      <w:r w:rsidRPr="003D0370">
        <w:rPr>
          <w:sz w:val="18"/>
          <w:szCs w:val="18"/>
          <w:u w:val="single"/>
        </w:rPr>
        <w:t>Bilaterale</w:t>
      </w:r>
      <w:r w:rsidRPr="003D0370">
        <w:rPr>
          <w:spacing w:val="-17"/>
          <w:sz w:val="18"/>
          <w:szCs w:val="18"/>
          <w:u w:val="single"/>
        </w:rPr>
        <w:t xml:space="preserve"> </w:t>
      </w:r>
      <w:r w:rsidRPr="003D0370">
        <w:rPr>
          <w:sz w:val="18"/>
          <w:szCs w:val="18"/>
          <w:u w:val="single"/>
        </w:rPr>
        <w:t>handelsakkoorden</w:t>
      </w:r>
    </w:p>
    <w:p w:rsidRPr="00DA6067" w:rsidR="00000FE9" w:rsidP="00000FE9" w:rsidRDefault="00000FE9" w14:paraId="5953D4BF" w14:textId="77777777">
      <w:pPr>
        <w:pStyle w:val="BodyText"/>
        <w:rPr>
          <w:highlight w:val="yellow"/>
        </w:rPr>
      </w:pPr>
    </w:p>
    <w:p w:rsidRPr="00C1251B" w:rsidR="00000FE9" w:rsidP="00000FE9" w:rsidRDefault="00000FE9" w14:paraId="0015821A" w14:textId="32E435D6">
      <w:pPr>
        <w:pStyle w:val="ListParagraph"/>
        <w:numPr>
          <w:ilvl w:val="1"/>
          <w:numId w:val="2"/>
        </w:numPr>
        <w:tabs>
          <w:tab w:val="left" w:pos="490"/>
        </w:tabs>
        <w:ind w:left="0" w:firstLine="0"/>
        <w:rPr>
          <w:sz w:val="18"/>
          <w:szCs w:val="18"/>
          <w:u w:val="single"/>
        </w:rPr>
      </w:pPr>
      <w:r w:rsidRPr="00C1251B">
        <w:rPr>
          <w:i/>
          <w:sz w:val="18"/>
          <w:szCs w:val="18"/>
          <w:u w:val="single"/>
        </w:rPr>
        <w:t>Afrika</w:t>
      </w:r>
      <w:r w:rsidRPr="00C1251B" w:rsidR="00FC25AE">
        <w:rPr>
          <w:sz w:val="18"/>
          <w:szCs w:val="18"/>
          <w:u w:val="single"/>
        </w:rPr>
        <w:t>:</w:t>
      </w:r>
    </w:p>
    <w:p w:rsidRPr="00DA6067" w:rsidR="00000FE9" w:rsidP="00000FE9" w:rsidRDefault="00000FE9" w14:paraId="542CC356" w14:textId="77777777">
      <w:pPr>
        <w:pStyle w:val="ListParagraph"/>
        <w:tabs>
          <w:tab w:val="left" w:pos="490"/>
        </w:tabs>
        <w:ind w:left="0" w:firstLine="0"/>
        <w:rPr>
          <w:sz w:val="18"/>
          <w:szCs w:val="18"/>
          <w:highlight w:val="yellow"/>
          <w:u w:val="single"/>
        </w:rPr>
      </w:pPr>
    </w:p>
    <w:p w:rsidRPr="003D0370" w:rsidR="00000FE9" w:rsidP="00000FE9" w:rsidRDefault="00000FE9" w14:paraId="544E944E" w14:textId="7B631E2E">
      <w:pPr>
        <w:pStyle w:val="Default"/>
      </w:pPr>
      <w:r w:rsidRPr="00357EF8">
        <w:rPr>
          <w:rFonts w:ascii="Verdana" w:hAnsi="Verdana"/>
          <w:sz w:val="18"/>
          <w:szCs w:val="18"/>
        </w:rPr>
        <w:t>In 2002 zijn onderhandelingen gestart met landen in Afrika, de Cariben en de Stille Oceaan (ACS-landen) over een Economisch Part</w:t>
      </w:r>
      <w:r w:rsidRPr="00C814E5">
        <w:rPr>
          <w:rFonts w:ascii="Verdana" w:hAnsi="Verdana"/>
          <w:sz w:val="18"/>
          <w:szCs w:val="18"/>
        </w:rPr>
        <w:t>nerschapsakkoord (EPA). De landen zijn verdeeld in zeven regio’s, waarvan er vijf in Afrika liggen, één in de Cariben en één in de Stille Oceaan. Nog niet alle EPA’s zijn volledig in werking; in de tussentijd heeft de EU (interim-)EPA’s gesloten met afzonderlijke landen (Kameroen, Ivoorkust, Ghana)</w:t>
      </w:r>
      <w:r w:rsidR="00DD3DB3">
        <w:rPr>
          <w:rStyle w:val="FootnoteReference"/>
          <w:rFonts w:ascii="Verdana" w:hAnsi="Verdana"/>
          <w:sz w:val="18"/>
          <w:szCs w:val="18"/>
        </w:rPr>
        <w:footnoteReference w:id="5"/>
      </w:r>
      <w:r w:rsidRPr="00357EF8">
        <w:rPr>
          <w:rFonts w:ascii="Verdana" w:hAnsi="Verdana"/>
          <w:sz w:val="18"/>
          <w:szCs w:val="18"/>
        </w:rPr>
        <w:t xml:space="preserve">. </w:t>
      </w:r>
    </w:p>
    <w:p w:rsidRPr="00DA6067" w:rsidR="00000FE9" w:rsidP="00000FE9" w:rsidRDefault="00000FE9" w14:paraId="659C688C" w14:textId="77777777">
      <w:pPr>
        <w:pStyle w:val="BodyText"/>
        <w:rPr>
          <w:highlight w:val="yellow"/>
          <w:u w:val="single"/>
          <w:lang w:val="nl-NL"/>
        </w:rPr>
      </w:pPr>
    </w:p>
    <w:p w:rsidRPr="006D12D9" w:rsidR="00000FE9" w:rsidP="00000FE9" w:rsidRDefault="00000FE9" w14:paraId="3C63B87F" w14:textId="77777777">
      <w:pPr>
        <w:pStyle w:val="BodyText"/>
        <w:rPr>
          <w:color w:val="000000" w:themeColor="text1"/>
          <w:lang w:val="nl-NL"/>
        </w:rPr>
      </w:pPr>
      <w:r w:rsidRPr="006D12D9">
        <w:rPr>
          <w:color w:val="000000" w:themeColor="text1"/>
          <w:u w:val="single"/>
          <w:lang w:val="nl-NL"/>
        </w:rPr>
        <w:t>Economisch Partnerschap Centraal Afrika (Centraal Afrika-EU EPA)</w:t>
      </w:r>
      <w:r w:rsidRPr="006D12D9">
        <w:rPr>
          <w:color w:val="000000" w:themeColor="text1"/>
          <w:lang w:val="nl-NL"/>
        </w:rPr>
        <w:t xml:space="preserve">: </w:t>
      </w:r>
    </w:p>
    <w:p w:rsidRPr="00DA6067" w:rsidR="00000FE9" w:rsidP="00000FE9" w:rsidRDefault="00000FE9" w14:paraId="58A9C0B8" w14:textId="6A176450">
      <w:pPr>
        <w:pStyle w:val="Default"/>
        <w:rPr>
          <w:rFonts w:ascii="Verdana" w:hAnsi="Verdana" w:cs="Arial"/>
          <w:sz w:val="18"/>
          <w:szCs w:val="18"/>
          <w:highlight w:val="yellow"/>
        </w:rPr>
      </w:pPr>
      <w:r w:rsidRPr="006D12D9">
        <w:rPr>
          <w:rFonts w:ascii="Verdana" w:hAnsi="Verdana"/>
          <w:color w:val="000000" w:themeColor="text1"/>
          <w:sz w:val="18"/>
          <w:szCs w:val="18"/>
        </w:rPr>
        <w:t xml:space="preserve">In deze regio is de EPA alleen getekend door Kameroen. Met dat land vindt overleg plaats over een mogelijke verdieping van de overeenkomst. De laatste onderhandelingsronde vond in </w:t>
      </w:r>
      <w:r w:rsidRPr="006D12D9" w:rsidR="00F45242">
        <w:rPr>
          <w:rFonts w:ascii="Verdana" w:hAnsi="Verdana"/>
          <w:color w:val="000000" w:themeColor="text1"/>
          <w:sz w:val="18"/>
          <w:szCs w:val="18"/>
        </w:rPr>
        <w:t>april 2021</w:t>
      </w:r>
      <w:r>
        <w:rPr>
          <w:rFonts w:ascii="Verdana" w:hAnsi="Verdana"/>
          <w:color w:val="000000" w:themeColor="text1"/>
          <w:sz w:val="18"/>
          <w:szCs w:val="18"/>
        </w:rPr>
        <w:t xml:space="preserve"> </w:t>
      </w:r>
      <w:r w:rsidRPr="006D12D9">
        <w:rPr>
          <w:rFonts w:ascii="Verdana" w:hAnsi="Verdana"/>
          <w:color w:val="000000" w:themeColor="text1"/>
          <w:sz w:val="18"/>
          <w:szCs w:val="18"/>
        </w:rPr>
        <w:t>plaats</w:t>
      </w:r>
      <w:r w:rsidRPr="006D12D9" w:rsidR="00F45242">
        <w:rPr>
          <w:rFonts w:ascii="Verdana" w:hAnsi="Verdana"/>
          <w:color w:val="000000" w:themeColor="text1"/>
          <w:sz w:val="18"/>
          <w:szCs w:val="18"/>
        </w:rPr>
        <w:t xml:space="preserve"> </w:t>
      </w:r>
      <w:r w:rsidR="000203DE">
        <w:rPr>
          <w:rFonts w:ascii="Verdana" w:hAnsi="Verdana"/>
          <w:color w:val="000000" w:themeColor="text1"/>
          <w:sz w:val="18"/>
          <w:szCs w:val="18"/>
        </w:rPr>
        <w:t xml:space="preserve">en ging </w:t>
      </w:r>
      <w:r w:rsidRPr="006D12D9" w:rsidR="00F45242">
        <w:rPr>
          <w:rFonts w:ascii="Verdana" w:hAnsi="Verdana"/>
          <w:color w:val="000000" w:themeColor="text1"/>
          <w:sz w:val="18"/>
          <w:szCs w:val="18"/>
        </w:rPr>
        <w:t>o.a. over</w:t>
      </w:r>
      <w:r w:rsidRPr="006D12D9" w:rsidR="00C33FE6">
        <w:rPr>
          <w:rFonts w:ascii="Verdana" w:hAnsi="Verdana"/>
          <w:color w:val="000000" w:themeColor="text1"/>
          <w:sz w:val="18"/>
          <w:szCs w:val="18"/>
        </w:rPr>
        <w:t xml:space="preserve"> oorsprongsregels.</w:t>
      </w:r>
      <w:r w:rsidRPr="006D12D9">
        <w:rPr>
          <w:rFonts w:ascii="Verdana" w:hAnsi="Verdana"/>
          <w:color w:val="000000" w:themeColor="text1"/>
          <w:sz w:val="18"/>
          <w:szCs w:val="18"/>
        </w:rPr>
        <w:t xml:space="preserve"> Onderhandelingen met andere landen in Centraal-Afrika verlopen moeizaam. </w:t>
      </w:r>
      <w:r w:rsidRPr="006D12D9">
        <w:rPr>
          <w:rFonts w:ascii="Verdana" w:hAnsi="Verdana"/>
          <w:sz w:val="18"/>
          <w:szCs w:val="18"/>
        </w:rPr>
        <w:t>Congo komt in aanmerking voor preferenties onder het Algemeen Preferentieel Stelsel. Sinds 1 januari 2014 komt Gabon daar niet meer voor in aanmerking. De overige landen van deze regio vallen onder de ‘minst ontwikkelde landen’ en genieten daarom rechten- en quota-vrije to</w:t>
      </w:r>
      <w:r w:rsidRPr="006D12D9">
        <w:rPr>
          <w:rFonts w:ascii="Verdana" w:hAnsi="Verdana" w:eastAsia="Times New Roman" w:cs="Times New Roman"/>
          <w:sz w:val="18"/>
          <w:szCs w:val="18"/>
          <w:lang w:eastAsia="nl-NL"/>
        </w:rPr>
        <w:t>egang tot de EU-markt onder het zogenoemde ‘</w:t>
      </w:r>
      <w:r w:rsidRPr="006D12D9">
        <w:rPr>
          <w:rFonts w:ascii="Verdana" w:hAnsi="Verdana" w:eastAsia="Times New Roman" w:cs="Times New Roman"/>
          <w:i/>
          <w:sz w:val="18"/>
          <w:szCs w:val="18"/>
          <w:lang w:eastAsia="nl-NL"/>
        </w:rPr>
        <w:t>Everything but Arms</w:t>
      </w:r>
      <w:r w:rsidRPr="006D12D9">
        <w:rPr>
          <w:rFonts w:ascii="Verdana" w:hAnsi="Verdana" w:eastAsia="Times New Roman" w:cs="Times New Roman"/>
          <w:sz w:val="18"/>
          <w:szCs w:val="18"/>
          <w:lang w:eastAsia="nl-NL"/>
        </w:rPr>
        <w:t>’ schema.</w:t>
      </w:r>
      <w:r w:rsidRPr="006D12D9">
        <w:rPr>
          <w:rFonts w:ascii="Verdana" w:hAnsi="Verdana" w:cs="Calibri,Bold"/>
          <w:b/>
          <w:sz w:val="18"/>
          <w:szCs w:val="18"/>
        </w:rPr>
        <w:t xml:space="preserve"> </w:t>
      </w:r>
    </w:p>
    <w:p w:rsidRPr="00DA6067" w:rsidR="00000FE9" w:rsidP="00000FE9" w:rsidRDefault="00000FE9" w14:paraId="035331DB" w14:textId="77777777">
      <w:pPr>
        <w:pStyle w:val="BodyText"/>
        <w:rPr>
          <w:highlight w:val="yellow"/>
          <w:lang w:val="nl-NL"/>
        </w:rPr>
      </w:pPr>
    </w:p>
    <w:p w:rsidRPr="003D0370" w:rsidR="00000FE9" w:rsidP="00000FE9" w:rsidRDefault="00000FE9" w14:paraId="29AC5E53" w14:textId="77777777">
      <w:pPr>
        <w:pStyle w:val="BodyText"/>
        <w:rPr>
          <w:lang w:val="nl-NL"/>
        </w:rPr>
      </w:pPr>
      <w:r w:rsidRPr="003D0370">
        <w:rPr>
          <w:u w:val="single"/>
          <w:lang w:val="nl-NL"/>
        </w:rPr>
        <w:t>Economisch Partnerschap Westelijk Afrika (ECOWAS-EU EPA)</w:t>
      </w:r>
      <w:r w:rsidRPr="003D0370">
        <w:rPr>
          <w:lang w:val="nl-NL"/>
        </w:rPr>
        <w:t xml:space="preserve">: </w:t>
      </w:r>
    </w:p>
    <w:p w:rsidRPr="003D0370" w:rsidR="00000FE9" w:rsidP="00000FE9" w:rsidRDefault="00000FE9" w14:paraId="54AB5FBC" w14:textId="570BFBE8">
      <w:pPr>
        <w:pStyle w:val="Default"/>
        <w:rPr>
          <w:rFonts w:ascii="Verdana" w:hAnsi="Verdana" w:cs="Arial"/>
          <w:color w:val="000000" w:themeColor="text1"/>
          <w:sz w:val="18"/>
          <w:szCs w:val="18"/>
        </w:rPr>
      </w:pPr>
      <w:r w:rsidRPr="003D0370">
        <w:rPr>
          <w:rFonts w:ascii="Verdana" w:hAnsi="Verdana"/>
          <w:sz w:val="18"/>
          <w:szCs w:val="18"/>
        </w:rPr>
        <w:t xml:space="preserve">Eind 2014 is een akkoord over een EPA bereikt met de zestien landen in de Westelijk Afrikaanse regio (verenigd in de </w:t>
      </w:r>
      <w:r w:rsidRPr="003D0370">
        <w:rPr>
          <w:rFonts w:ascii="Verdana" w:hAnsi="Verdana"/>
          <w:i/>
          <w:sz w:val="18"/>
          <w:szCs w:val="18"/>
        </w:rPr>
        <w:t>Economic Community of West African States</w:t>
      </w:r>
      <w:r w:rsidRPr="003D0370">
        <w:rPr>
          <w:rFonts w:ascii="Verdana" w:hAnsi="Verdana"/>
          <w:sz w:val="18"/>
          <w:szCs w:val="18"/>
        </w:rPr>
        <w:t>, ECOWAS). Van hen hebben dertien landen het akkoord direct getekend. In 2018 hebben ook Gambia en Mauritanië getekend, waarmee Nigeria het enige land in West-Afrika is dat de EPA niet getekend heeft. Het akkoord komt in aanmerking voor voorlopige toepassing wanneer alle ECOWAS-lidstaten het akkoord getekend hebben en minimaal twee derde van de ECOWAS-lidstaten het akkoord hebben geratificeerd. In 2016 zijn interim-EPA’s met Ghana en Ivoorkust tot stand gekomen. Beide worden voorlopig toegepast.</w:t>
      </w:r>
      <w:r w:rsidR="002E339F">
        <w:rPr>
          <w:rFonts w:ascii="Verdana" w:hAnsi="Verdana"/>
          <w:sz w:val="18"/>
          <w:szCs w:val="18"/>
        </w:rPr>
        <w:t xml:space="preserve"> </w:t>
      </w:r>
      <w:r w:rsidR="00B96952">
        <w:rPr>
          <w:rFonts w:ascii="Verdana" w:hAnsi="Verdana"/>
          <w:sz w:val="18"/>
          <w:szCs w:val="18"/>
        </w:rPr>
        <w:t>R</w:t>
      </w:r>
      <w:r w:rsidR="002E339F">
        <w:rPr>
          <w:rFonts w:ascii="Verdana" w:hAnsi="Verdana"/>
          <w:sz w:val="18"/>
          <w:szCs w:val="18"/>
        </w:rPr>
        <w:t xml:space="preserve">ecent </w:t>
      </w:r>
      <w:r w:rsidR="00B96952">
        <w:rPr>
          <w:rFonts w:ascii="Verdana" w:hAnsi="Verdana"/>
          <w:sz w:val="18"/>
          <w:szCs w:val="18"/>
        </w:rPr>
        <w:t xml:space="preserve">is een </w:t>
      </w:r>
      <w:r w:rsidR="002E339F">
        <w:rPr>
          <w:rFonts w:ascii="Verdana" w:hAnsi="Verdana"/>
          <w:sz w:val="18"/>
          <w:szCs w:val="18"/>
        </w:rPr>
        <w:t xml:space="preserve">dialoog gestart met beide landen voor duurzame </w:t>
      </w:r>
      <w:r w:rsidR="00B96952">
        <w:rPr>
          <w:rFonts w:ascii="Verdana" w:hAnsi="Verdana"/>
          <w:sz w:val="18"/>
          <w:szCs w:val="18"/>
        </w:rPr>
        <w:t>cacao</w:t>
      </w:r>
      <w:r w:rsidR="002E339F">
        <w:rPr>
          <w:rFonts w:ascii="Verdana" w:hAnsi="Verdana"/>
          <w:sz w:val="18"/>
          <w:szCs w:val="18"/>
        </w:rPr>
        <w:t xml:space="preserve">; het </w:t>
      </w:r>
      <w:r w:rsidRPr="006C76F9" w:rsidR="002E339F">
        <w:rPr>
          <w:rFonts w:ascii="Verdana" w:hAnsi="Verdana"/>
          <w:i/>
          <w:sz w:val="18"/>
          <w:szCs w:val="18"/>
        </w:rPr>
        <w:t>Sustainable Cocoa Initiative</w:t>
      </w:r>
      <w:r w:rsidR="002E339F">
        <w:rPr>
          <w:rFonts w:ascii="Verdana" w:hAnsi="Verdana"/>
          <w:sz w:val="18"/>
          <w:szCs w:val="18"/>
        </w:rPr>
        <w:t xml:space="preserve">. Het Initiative heeft drie doelen; het inkomen van </w:t>
      </w:r>
      <w:r w:rsidR="00B96952">
        <w:rPr>
          <w:rFonts w:ascii="Verdana" w:hAnsi="Verdana"/>
          <w:sz w:val="18"/>
          <w:szCs w:val="18"/>
        </w:rPr>
        <w:t>ca</w:t>
      </w:r>
      <w:r w:rsidR="002E339F">
        <w:rPr>
          <w:rFonts w:ascii="Verdana" w:hAnsi="Verdana"/>
          <w:sz w:val="18"/>
          <w:szCs w:val="18"/>
        </w:rPr>
        <w:t xml:space="preserve">caoboeren </w:t>
      </w:r>
      <w:r w:rsidR="00B96952">
        <w:rPr>
          <w:rFonts w:ascii="Verdana" w:hAnsi="Verdana"/>
          <w:sz w:val="18"/>
          <w:szCs w:val="18"/>
        </w:rPr>
        <w:t xml:space="preserve">op duurzame wijze </w:t>
      </w:r>
      <w:r w:rsidR="002E339F">
        <w:rPr>
          <w:rFonts w:ascii="Verdana" w:hAnsi="Verdana"/>
          <w:sz w:val="18"/>
          <w:szCs w:val="18"/>
        </w:rPr>
        <w:t xml:space="preserve">te verbeteren, de kinderarbeid </w:t>
      </w:r>
      <w:r w:rsidR="00B96952">
        <w:rPr>
          <w:rFonts w:ascii="Verdana" w:hAnsi="Verdana"/>
          <w:sz w:val="18"/>
          <w:szCs w:val="18"/>
        </w:rPr>
        <w:t xml:space="preserve">in de cacaosector te </w:t>
      </w:r>
      <w:r w:rsidR="002E339F">
        <w:rPr>
          <w:rFonts w:ascii="Verdana" w:hAnsi="Verdana"/>
          <w:sz w:val="18"/>
          <w:szCs w:val="18"/>
        </w:rPr>
        <w:t xml:space="preserve">elimineren en </w:t>
      </w:r>
      <w:r w:rsidR="00B96952">
        <w:rPr>
          <w:rFonts w:ascii="Verdana" w:hAnsi="Verdana"/>
          <w:sz w:val="18"/>
          <w:szCs w:val="18"/>
        </w:rPr>
        <w:t xml:space="preserve">de </w:t>
      </w:r>
      <w:r w:rsidR="002E339F">
        <w:rPr>
          <w:rFonts w:ascii="Verdana" w:hAnsi="Verdana"/>
          <w:sz w:val="18"/>
          <w:szCs w:val="18"/>
        </w:rPr>
        <w:t>ontbossing tegen te gaan.</w:t>
      </w:r>
    </w:p>
    <w:p w:rsidRPr="00DA6067" w:rsidR="00000FE9" w:rsidP="00000FE9" w:rsidRDefault="00000FE9" w14:paraId="4D848803" w14:textId="77777777">
      <w:pPr>
        <w:pStyle w:val="Default"/>
        <w:rPr>
          <w:rFonts w:ascii="Verdana" w:hAnsi="Verdana" w:cs="Arial"/>
          <w:color w:val="000000" w:themeColor="text1"/>
          <w:sz w:val="18"/>
          <w:szCs w:val="18"/>
          <w:highlight w:val="yellow"/>
        </w:rPr>
      </w:pPr>
    </w:p>
    <w:p w:rsidRPr="006D12D9" w:rsidR="00000FE9" w:rsidP="00000FE9" w:rsidRDefault="00000FE9" w14:paraId="7062B753" w14:textId="77777777">
      <w:pPr>
        <w:pStyle w:val="BodyText"/>
        <w:rPr>
          <w:lang w:val="nl-NL"/>
        </w:rPr>
      </w:pPr>
      <w:r w:rsidRPr="006D12D9">
        <w:rPr>
          <w:u w:val="single"/>
          <w:lang w:val="nl-NL"/>
        </w:rPr>
        <w:t>Economisch Partnerschap Oostelijk Afrika (EAC-EU EPA)</w:t>
      </w:r>
      <w:r w:rsidRPr="006D12D9">
        <w:rPr>
          <w:lang w:val="nl-NL"/>
        </w:rPr>
        <w:t xml:space="preserve">: </w:t>
      </w:r>
    </w:p>
    <w:p w:rsidRPr="006D12D9" w:rsidR="00000FE9" w:rsidP="00000FE9" w:rsidRDefault="00000FE9" w14:paraId="161FDBFF" w14:textId="5AFF32F3">
      <w:pPr>
        <w:widowControl/>
        <w:adjustRightInd w:val="0"/>
        <w:rPr>
          <w:sz w:val="18"/>
          <w:szCs w:val="18"/>
          <w:lang w:val="nl-NL"/>
        </w:rPr>
      </w:pPr>
      <w:r w:rsidRPr="006D12D9">
        <w:rPr>
          <w:sz w:val="18"/>
          <w:szCs w:val="18"/>
          <w:lang w:val="nl-NL"/>
        </w:rPr>
        <w:t xml:space="preserve">Eind 2014 is een akkoord bereikt met de vijf landen in de Oostelijk Afrikaanse regio (de </w:t>
      </w:r>
      <w:r w:rsidRPr="006D12D9">
        <w:rPr>
          <w:i/>
          <w:sz w:val="18"/>
          <w:szCs w:val="18"/>
          <w:lang w:val="nl-NL"/>
        </w:rPr>
        <w:t>East African Community</w:t>
      </w:r>
      <w:r w:rsidRPr="006D12D9">
        <w:rPr>
          <w:sz w:val="18"/>
          <w:szCs w:val="18"/>
          <w:lang w:val="nl-NL"/>
        </w:rPr>
        <w:t xml:space="preserve">, EAC) over een EPA. Op 1 september 2016 tekenden Kenia en Rwanda de overeenkomst. Ook alle EU-lidstaten en de EU hebben de overeenkomst getekend. Op de EAC-Top van 20 mei 2017 is de EU ingegaan op zorgpunten van enkele EAC-leden. Op de EAC-Top van 1 februari 2019 werd </w:t>
      </w:r>
      <w:r w:rsidRPr="006D12D9">
        <w:rPr>
          <w:sz w:val="18"/>
          <w:szCs w:val="18"/>
          <w:lang w:val="nl-NL"/>
        </w:rPr>
        <w:lastRenderedPageBreak/>
        <w:t>afgesproken om binnen vier maanden meer helderheid te krijgen over deze zorgpunten en de EU bood ook technische assistentie aan, maar voortgang is sindsdien uitgebleven</w:t>
      </w:r>
      <w:r w:rsidRPr="006D12D9" w:rsidR="00265311">
        <w:rPr>
          <w:rStyle w:val="FootnoteReference"/>
          <w:sz w:val="18"/>
          <w:szCs w:val="18"/>
          <w:lang w:val="nl-NL"/>
        </w:rPr>
        <w:footnoteReference w:id="6"/>
      </w:r>
      <w:r w:rsidRPr="006D12D9">
        <w:rPr>
          <w:sz w:val="18"/>
          <w:szCs w:val="18"/>
          <w:lang w:val="nl-NL"/>
        </w:rPr>
        <w:t xml:space="preserve">. </w:t>
      </w:r>
      <w:r w:rsidRPr="006D12D9" w:rsidR="00965910">
        <w:rPr>
          <w:sz w:val="18"/>
          <w:szCs w:val="18"/>
          <w:lang w:val="nl-NL"/>
        </w:rPr>
        <w:t xml:space="preserve">Tijdens de top van 28 februari </w:t>
      </w:r>
      <w:r w:rsidRPr="006D12D9" w:rsidR="00265311">
        <w:rPr>
          <w:sz w:val="18"/>
          <w:szCs w:val="18"/>
          <w:lang w:val="nl-NL"/>
        </w:rPr>
        <w:t xml:space="preserve">2021 </w:t>
      </w:r>
      <w:r w:rsidRPr="006D12D9" w:rsidR="00965910">
        <w:rPr>
          <w:sz w:val="18"/>
          <w:szCs w:val="18"/>
          <w:lang w:val="nl-NL"/>
        </w:rPr>
        <w:t xml:space="preserve">riep Kenia op alvast de onderhandelingen met de EU te beginnen in afwachting </w:t>
      </w:r>
      <w:r w:rsidRPr="006D12D9" w:rsidR="005307D0">
        <w:rPr>
          <w:sz w:val="18"/>
          <w:szCs w:val="18"/>
          <w:lang w:val="nl-NL"/>
        </w:rPr>
        <w:t xml:space="preserve">van </w:t>
      </w:r>
      <w:r w:rsidRPr="006D12D9" w:rsidR="00965910">
        <w:rPr>
          <w:sz w:val="18"/>
          <w:szCs w:val="18"/>
          <w:lang w:val="nl-NL"/>
        </w:rPr>
        <w:t>de inwerkingtreding van het akkoord. De EU be</w:t>
      </w:r>
      <w:r w:rsidRPr="006D12D9" w:rsidR="004C00CB">
        <w:rPr>
          <w:sz w:val="18"/>
          <w:szCs w:val="18"/>
          <w:lang w:val="nl-NL"/>
        </w:rPr>
        <w:t xml:space="preserve">vestigde </w:t>
      </w:r>
      <w:r w:rsidRPr="006D12D9" w:rsidR="00965910">
        <w:rPr>
          <w:sz w:val="18"/>
          <w:szCs w:val="18"/>
          <w:lang w:val="nl-NL"/>
        </w:rPr>
        <w:t xml:space="preserve">het overleg te kunnen starten met de landen die daartoe bereid zijn. </w:t>
      </w:r>
      <w:r w:rsidRPr="006D12D9" w:rsidR="006D12D9">
        <w:rPr>
          <w:sz w:val="18"/>
          <w:szCs w:val="18"/>
          <w:lang w:val="nl-NL"/>
        </w:rPr>
        <w:t xml:space="preserve">Een </w:t>
      </w:r>
      <w:r w:rsidRPr="006C76F9" w:rsidR="006D12D9">
        <w:rPr>
          <w:i/>
          <w:sz w:val="18"/>
          <w:szCs w:val="18"/>
          <w:lang w:val="nl-NL"/>
        </w:rPr>
        <w:t>joint Task Force</w:t>
      </w:r>
      <w:r w:rsidRPr="006D12D9" w:rsidR="006D12D9">
        <w:rPr>
          <w:sz w:val="18"/>
          <w:szCs w:val="18"/>
          <w:lang w:val="nl-NL"/>
        </w:rPr>
        <w:t xml:space="preserve"> is hiervoor inmiddels opgericht. </w:t>
      </w:r>
    </w:p>
    <w:p w:rsidRPr="00DA6067" w:rsidR="00000FE9" w:rsidP="00000FE9" w:rsidRDefault="00000FE9" w14:paraId="5F478E64" w14:textId="77777777">
      <w:pPr>
        <w:pStyle w:val="BodyText"/>
        <w:rPr>
          <w:highlight w:val="yellow"/>
          <w:lang w:val="nl-NL"/>
        </w:rPr>
      </w:pPr>
    </w:p>
    <w:p w:rsidRPr="001472C6" w:rsidR="00000FE9" w:rsidP="00000FE9" w:rsidRDefault="00000FE9" w14:paraId="2D1D8698" w14:textId="77777777">
      <w:pPr>
        <w:pStyle w:val="BodyText"/>
        <w:rPr>
          <w:lang w:val="nl-NL"/>
        </w:rPr>
      </w:pPr>
      <w:r w:rsidRPr="001472C6">
        <w:rPr>
          <w:u w:val="single"/>
          <w:lang w:val="nl-NL"/>
        </w:rPr>
        <w:t>Economisch Partnerschap Oostelijk en Zuidelijk Afrika (ESA-EU EPA)</w:t>
      </w:r>
      <w:r w:rsidRPr="001472C6">
        <w:rPr>
          <w:lang w:val="nl-NL"/>
        </w:rPr>
        <w:t>:</w:t>
      </w:r>
    </w:p>
    <w:p w:rsidRPr="001472C6" w:rsidR="00000FE9" w:rsidP="00000FE9" w:rsidRDefault="00000FE9" w14:paraId="60C13AC0" w14:textId="59060F27">
      <w:pPr>
        <w:pStyle w:val="BodyText"/>
        <w:rPr>
          <w:lang w:val="nl-NL"/>
        </w:rPr>
      </w:pPr>
      <w:r w:rsidRPr="001472C6">
        <w:rPr>
          <w:lang w:val="nl-NL"/>
        </w:rPr>
        <w:t>Sinds 2012 is voor Madagaskar, Mauritius, de Seychellen en Zimbabwe een EPA van kracht. In januari 2019 kwamen partijen overeen om de overeenkomst te verdiepen</w:t>
      </w:r>
      <w:r>
        <w:rPr>
          <w:lang w:val="nl-NL"/>
        </w:rPr>
        <w:t xml:space="preserve">. </w:t>
      </w:r>
      <w:r w:rsidR="00AF5BED">
        <w:rPr>
          <w:lang w:val="nl-NL"/>
        </w:rPr>
        <w:t xml:space="preserve">De eerste onderhandelingen hierover gingen van start in oktober 2019. </w:t>
      </w:r>
      <w:r w:rsidR="006D12D9">
        <w:rPr>
          <w:lang w:val="nl-NL"/>
        </w:rPr>
        <w:t>I</w:t>
      </w:r>
      <w:r w:rsidR="00AF5BED">
        <w:rPr>
          <w:lang w:val="nl-NL"/>
        </w:rPr>
        <w:t>nmiddels hebben vijf</w:t>
      </w:r>
      <w:r w:rsidR="006D12D9">
        <w:rPr>
          <w:lang w:val="nl-NL"/>
        </w:rPr>
        <w:t xml:space="preserve"> onderhandelingsrondes plaatsgevonden waarvan de laatste </w:t>
      </w:r>
      <w:r w:rsidR="00AF5BED">
        <w:rPr>
          <w:lang w:val="nl-NL"/>
        </w:rPr>
        <w:t xml:space="preserve">plaats vond van 19-23 juli jl. </w:t>
      </w:r>
      <w:r w:rsidR="006D12D9">
        <w:rPr>
          <w:lang w:val="nl-NL"/>
        </w:rPr>
        <w:t xml:space="preserve">Er </w:t>
      </w:r>
      <w:r w:rsidRPr="001472C6">
        <w:rPr>
          <w:lang w:val="nl-NL"/>
        </w:rPr>
        <w:t xml:space="preserve">met name voortgang geboekt op </w:t>
      </w:r>
      <w:r w:rsidR="00AF5BED">
        <w:rPr>
          <w:lang w:val="nl-NL"/>
        </w:rPr>
        <w:t xml:space="preserve">oorsprongsregels, </w:t>
      </w:r>
      <w:r w:rsidRPr="001472C6">
        <w:rPr>
          <w:lang w:val="nl-NL"/>
        </w:rPr>
        <w:t>technische handelsbarrières, douane, handelsfacilitatie,</w:t>
      </w:r>
      <w:r>
        <w:rPr>
          <w:lang w:val="nl-NL"/>
        </w:rPr>
        <w:t xml:space="preserve"> voedselveiligheid en landbouw</w:t>
      </w:r>
      <w:r w:rsidR="00AF5BED">
        <w:rPr>
          <w:lang w:val="nl-NL"/>
        </w:rPr>
        <w:t xml:space="preserve"> en verkennend</w:t>
      </w:r>
      <w:r>
        <w:rPr>
          <w:lang w:val="nl-NL"/>
        </w:rPr>
        <w:t xml:space="preserve"> gesproken over diensten</w:t>
      </w:r>
      <w:r w:rsidR="00AF5BED">
        <w:rPr>
          <w:lang w:val="nl-NL"/>
        </w:rPr>
        <w:t>,</w:t>
      </w:r>
      <w:r>
        <w:rPr>
          <w:lang w:val="nl-NL"/>
        </w:rPr>
        <w:t xml:space="preserve"> investeringen</w:t>
      </w:r>
      <w:r w:rsidR="00AF5BED">
        <w:rPr>
          <w:lang w:val="nl-NL"/>
        </w:rPr>
        <w:t xml:space="preserve"> en duurzame ontwikkeling. </w:t>
      </w:r>
      <w:r w:rsidRPr="001472C6">
        <w:rPr>
          <w:lang w:val="nl-NL"/>
        </w:rPr>
        <w:t xml:space="preserve">De ambitie is te komen tot een veelomvattend modern akkoord met </w:t>
      </w:r>
      <w:r w:rsidRPr="001472C6">
        <w:rPr>
          <w:color w:val="000000" w:themeColor="text1"/>
          <w:lang w:val="nl-NL"/>
        </w:rPr>
        <w:t>betrokkenheid van de ‘</w:t>
      </w:r>
      <w:r w:rsidRPr="001472C6">
        <w:rPr>
          <w:i/>
          <w:color w:val="000000" w:themeColor="text1"/>
          <w:lang w:val="nl-NL"/>
        </w:rPr>
        <w:t>civil society</w:t>
      </w:r>
      <w:r w:rsidRPr="001472C6">
        <w:rPr>
          <w:color w:val="000000" w:themeColor="text1"/>
          <w:lang w:val="nl-NL"/>
        </w:rPr>
        <w:t>’ en d</w:t>
      </w:r>
      <w:r w:rsidRPr="001472C6" w:rsidR="001B0713">
        <w:rPr>
          <w:color w:val="000000" w:themeColor="text1"/>
          <w:lang w:val="nl-NL"/>
        </w:rPr>
        <w:t>e parlementen</w:t>
      </w:r>
      <w:r w:rsidR="001B0713">
        <w:rPr>
          <w:color w:val="000000" w:themeColor="text1"/>
          <w:lang w:val="nl-NL"/>
        </w:rPr>
        <w:t>.</w:t>
      </w:r>
      <w:r w:rsidRPr="001472C6" w:rsidR="001B0713">
        <w:rPr>
          <w:color w:val="000000" w:themeColor="text1"/>
          <w:lang w:val="nl-NL"/>
        </w:rPr>
        <w:t xml:space="preserve"> </w:t>
      </w:r>
    </w:p>
    <w:p w:rsidRPr="003D0370" w:rsidR="00000FE9" w:rsidP="00000FE9" w:rsidRDefault="00000FE9" w14:paraId="6FF7C72A" w14:textId="77777777">
      <w:pPr>
        <w:pStyle w:val="BodyText"/>
        <w:rPr>
          <w:color w:val="000000" w:themeColor="text1"/>
          <w:lang w:val="nl-NL"/>
        </w:rPr>
      </w:pPr>
    </w:p>
    <w:p w:rsidRPr="00DD3DB3" w:rsidR="00000FE9" w:rsidP="00000FE9" w:rsidRDefault="00000FE9" w14:paraId="0FA09A49" w14:textId="77777777">
      <w:pPr>
        <w:pStyle w:val="BodyText"/>
        <w:rPr>
          <w:lang w:val="nl-NL"/>
        </w:rPr>
      </w:pPr>
      <w:r w:rsidRPr="00DD3DB3">
        <w:rPr>
          <w:u w:val="single"/>
          <w:lang w:val="nl-NL"/>
        </w:rPr>
        <w:t>Economisch Partnerschap Zuidelijk Afrika (SADC-EU EPA)</w:t>
      </w:r>
      <w:r w:rsidRPr="00DD3DB3">
        <w:rPr>
          <w:lang w:val="nl-NL"/>
        </w:rPr>
        <w:t>:</w:t>
      </w:r>
      <w:r w:rsidRPr="00DD3DB3">
        <w:rPr>
          <w:rFonts w:eastAsia="Times New Roman" w:cs="Times New Roman"/>
          <w:lang w:val="nl-NL" w:eastAsia="nl-NL"/>
        </w:rPr>
        <w:t xml:space="preserve"> </w:t>
      </w:r>
    </w:p>
    <w:p w:rsidRPr="00DD3DB3" w:rsidR="00000FE9" w:rsidP="00000FE9" w:rsidRDefault="00000FE9" w14:paraId="1F4B9818" w14:textId="719913F7">
      <w:pPr>
        <w:pStyle w:val="BodyText"/>
        <w:rPr>
          <w:lang w:val="nl-NL"/>
        </w:rPr>
      </w:pPr>
      <w:r w:rsidRPr="00DD3DB3">
        <w:rPr>
          <w:lang w:val="nl-NL"/>
        </w:rPr>
        <w:t xml:space="preserve">In juni 2016 kwam een akkoord tot stand met zes landen in de Zuidelijk Afrikaanse regio: </w:t>
      </w:r>
      <w:r w:rsidRPr="00DD3DB3">
        <w:rPr>
          <w:lang w:val="nl-NL" w:eastAsia="nl-NL"/>
        </w:rPr>
        <w:t>Botswana, Lesotho, Mozambique, Namibië, Zuid-Afrika en Eswatini (voorheen Swaziland). Angola heeft formeel haar ‘</w:t>
      </w:r>
      <w:r w:rsidRPr="00DD3DB3">
        <w:rPr>
          <w:i/>
          <w:lang w:val="nl-NL" w:eastAsia="nl-NL"/>
        </w:rPr>
        <w:t>accession negotiation letter’</w:t>
      </w:r>
      <w:r w:rsidRPr="00DD3DB3">
        <w:rPr>
          <w:lang w:val="nl-NL" w:eastAsia="nl-NL"/>
        </w:rPr>
        <w:t xml:space="preserve"> ingediend en de toetredingsprocedure is in gang gezet. D</w:t>
      </w:r>
      <w:r w:rsidRPr="00DD3DB3">
        <w:rPr>
          <w:lang w:val="nl-NL"/>
        </w:rPr>
        <w:t>e SADC-EPA (</w:t>
      </w:r>
      <w:r w:rsidRPr="00DD3DB3">
        <w:rPr>
          <w:i/>
          <w:lang w:val="nl-NL"/>
        </w:rPr>
        <w:t xml:space="preserve">Southern African Development Community) </w:t>
      </w:r>
      <w:r w:rsidRPr="00DD3DB3">
        <w:rPr>
          <w:lang w:val="nl-NL"/>
        </w:rPr>
        <w:t>wordt sinds 10 oktober 2016 voorlopig toegepast. Toen ook Mozambique vanaf februari 2018 de EPA toepaste, werd dit de eerste volledig operationele regionale EPA in Afrika. De zes andere landen in de SADC-regio (te weten: d</w:t>
      </w:r>
      <w:r w:rsidRPr="00DD3DB3">
        <w:rPr>
          <w:lang w:val="nl-NL" w:eastAsia="nl-NL"/>
        </w:rPr>
        <w:t>e Democratische Republiek Congo, Madagaskar, Malawi, Mauritius, Zambia en Zimbabwe), maken deel uit van andere regionale groepen waarmee de EU samenwerkt, te weten Centraal Afrika</w:t>
      </w:r>
      <w:r w:rsidRPr="00DD3DB3" w:rsidR="003D3113">
        <w:rPr>
          <w:lang w:val="nl-NL" w:eastAsia="nl-NL"/>
        </w:rPr>
        <w:t>,</w:t>
      </w:r>
      <w:r w:rsidRPr="00DD3DB3">
        <w:rPr>
          <w:lang w:val="nl-NL" w:eastAsia="nl-NL"/>
        </w:rPr>
        <w:t xml:space="preserve"> respectievelijk </w:t>
      </w:r>
      <w:r w:rsidRPr="00DD3DB3">
        <w:rPr>
          <w:lang w:val="nl-NL"/>
        </w:rPr>
        <w:t>Oostelijk en Zuidelijk Afrika.</w:t>
      </w:r>
      <w:r w:rsidRPr="00DD3DB3" w:rsidR="00AF5BED">
        <w:rPr>
          <w:lang w:val="nl-NL"/>
        </w:rPr>
        <w:t xml:space="preserve"> </w:t>
      </w:r>
      <w:r w:rsidRPr="00DD3DB3" w:rsidR="006D12D9">
        <w:rPr>
          <w:lang w:val="nl-NL"/>
        </w:rPr>
        <w:t>Z</w:t>
      </w:r>
      <w:r w:rsidRPr="00DD3DB3" w:rsidR="00AF5BED">
        <w:rPr>
          <w:lang w:val="nl-NL"/>
        </w:rPr>
        <w:t>even</w:t>
      </w:r>
      <w:r w:rsidRPr="00DD3DB3" w:rsidR="006D12D9">
        <w:rPr>
          <w:lang w:val="nl-NL"/>
        </w:rPr>
        <w:t xml:space="preserve"> onderhandelingsrondes hebben inmiddels plaatsgevonden</w:t>
      </w:r>
      <w:r w:rsidRPr="00DD3DB3" w:rsidR="00AF5BED">
        <w:rPr>
          <w:lang w:val="nl-NL"/>
        </w:rPr>
        <w:t xml:space="preserve">. De onderhandelingen verlopen moeizaam. De voorbereidingen voor de review van de EPA zijn </w:t>
      </w:r>
      <w:r w:rsidRPr="00DD3DB3" w:rsidR="00DD3DB3">
        <w:rPr>
          <w:lang w:val="nl-NL"/>
        </w:rPr>
        <w:t xml:space="preserve">in oktober </w:t>
      </w:r>
      <w:r w:rsidRPr="00DD3DB3" w:rsidR="00AF5BED">
        <w:rPr>
          <w:lang w:val="nl-NL"/>
        </w:rPr>
        <w:t xml:space="preserve">gestart. De betrokkenheid van maatschappelijk middenveld </w:t>
      </w:r>
      <w:r w:rsidRPr="00DD3DB3" w:rsidR="00DD3DB3">
        <w:rPr>
          <w:lang w:val="nl-NL"/>
        </w:rPr>
        <w:t xml:space="preserve">in het monitoren van de EPA </w:t>
      </w:r>
      <w:r w:rsidRPr="00DD3DB3" w:rsidR="00AF5BED">
        <w:rPr>
          <w:lang w:val="nl-NL"/>
        </w:rPr>
        <w:t xml:space="preserve">stuit op weerstand van de zijde van SADC. Verder houdt Zuid Afrika de toetreding van Angola </w:t>
      </w:r>
      <w:r w:rsidRPr="00DD3DB3" w:rsidR="00DD3DB3">
        <w:rPr>
          <w:lang w:val="nl-NL"/>
        </w:rPr>
        <w:t xml:space="preserve">tot de EPA </w:t>
      </w:r>
      <w:r w:rsidRPr="00DD3DB3" w:rsidR="00AF5BED">
        <w:rPr>
          <w:lang w:val="nl-NL"/>
        </w:rPr>
        <w:t xml:space="preserve">tegen. </w:t>
      </w:r>
    </w:p>
    <w:p w:rsidRPr="00DA6067" w:rsidR="00000FE9" w:rsidP="00000FE9" w:rsidRDefault="00000FE9" w14:paraId="715C2741" w14:textId="0E3CA4CA">
      <w:pPr>
        <w:pStyle w:val="BodyText"/>
        <w:rPr>
          <w:highlight w:val="yellow"/>
          <w:lang w:val="nl-NL"/>
        </w:rPr>
      </w:pPr>
    </w:p>
    <w:p w:rsidRPr="003D0370" w:rsidR="00000FE9" w:rsidP="00000FE9" w:rsidRDefault="00000FE9" w14:paraId="775AEB36" w14:textId="64695BCC">
      <w:pPr>
        <w:rPr>
          <w:sz w:val="18"/>
          <w:szCs w:val="18"/>
        </w:rPr>
      </w:pPr>
      <w:r w:rsidRPr="003D0370">
        <w:rPr>
          <w:sz w:val="18"/>
          <w:szCs w:val="18"/>
          <w:u w:val="single"/>
        </w:rPr>
        <w:t>Egypte (</w:t>
      </w:r>
      <w:r w:rsidRPr="003D0370">
        <w:rPr>
          <w:i/>
          <w:sz w:val="18"/>
          <w:szCs w:val="18"/>
          <w:u w:val="single"/>
        </w:rPr>
        <w:t xml:space="preserve">Deep and Comprehensive Free Trade Agreement </w:t>
      </w:r>
      <w:r w:rsidRPr="003D0370">
        <w:rPr>
          <w:sz w:val="18"/>
          <w:szCs w:val="18"/>
          <w:u w:val="single"/>
        </w:rPr>
        <w:t>(DCFTA)</w:t>
      </w:r>
      <w:r w:rsidRPr="003D0370" w:rsidR="0051235C">
        <w:rPr>
          <w:sz w:val="18"/>
          <w:szCs w:val="18"/>
          <w:u w:val="single"/>
        </w:rPr>
        <w:t>)</w:t>
      </w:r>
      <w:r w:rsidRPr="003D0370">
        <w:rPr>
          <w:sz w:val="18"/>
          <w:szCs w:val="18"/>
        </w:rPr>
        <w:t>:</w:t>
      </w:r>
    </w:p>
    <w:p w:rsidRPr="003D0370" w:rsidR="00000FE9" w:rsidP="00000FE9" w:rsidRDefault="00000FE9" w14:paraId="75FE6788" w14:textId="77777777">
      <w:pPr>
        <w:pStyle w:val="BodyText"/>
        <w:rPr>
          <w:lang w:val="nl-NL"/>
        </w:rPr>
      </w:pPr>
      <w:r w:rsidRPr="003D0370">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 over verbreding en verdieping van het akkoord, met afspraken over onder meer handel in diensten en investeringen. Een dialoog daarover is gestart in juni 2013, maar er is nog geen zicht op opening van de onderhandelingen.</w:t>
      </w:r>
    </w:p>
    <w:p w:rsidRPr="00DA6067" w:rsidR="00000FE9" w:rsidP="00000FE9" w:rsidRDefault="00000FE9" w14:paraId="3BD6C26B" w14:textId="77777777">
      <w:pPr>
        <w:pStyle w:val="BodyText"/>
        <w:rPr>
          <w:highlight w:val="yellow"/>
          <w:lang w:val="nl-NL"/>
        </w:rPr>
      </w:pPr>
    </w:p>
    <w:p w:rsidRPr="003D0370" w:rsidR="00000FE9" w:rsidP="00000FE9" w:rsidRDefault="00000FE9" w14:paraId="38ED6002" w14:textId="50E78BDE">
      <w:pPr>
        <w:rPr>
          <w:sz w:val="18"/>
          <w:szCs w:val="18"/>
        </w:rPr>
      </w:pPr>
      <w:r w:rsidRPr="003D0370">
        <w:rPr>
          <w:sz w:val="18"/>
          <w:szCs w:val="18"/>
          <w:u w:val="single"/>
        </w:rPr>
        <w:t>Marokko (</w:t>
      </w:r>
      <w:r w:rsidRPr="003D0370">
        <w:rPr>
          <w:i/>
          <w:sz w:val="18"/>
          <w:szCs w:val="18"/>
          <w:u w:val="single"/>
        </w:rPr>
        <w:t xml:space="preserve">Deep and Comprehensive Free Trade Agreement </w:t>
      </w:r>
      <w:r w:rsidRPr="003D0370">
        <w:rPr>
          <w:sz w:val="18"/>
          <w:szCs w:val="18"/>
          <w:u w:val="single"/>
        </w:rPr>
        <w:t>(DCFTA)</w:t>
      </w:r>
      <w:r w:rsidRPr="003D0370" w:rsidR="0051235C">
        <w:rPr>
          <w:sz w:val="18"/>
          <w:szCs w:val="18"/>
          <w:u w:val="single"/>
        </w:rPr>
        <w:t>)</w:t>
      </w:r>
      <w:r w:rsidRPr="003D0370">
        <w:rPr>
          <w:sz w:val="18"/>
          <w:szCs w:val="18"/>
        </w:rPr>
        <w:t>:</w:t>
      </w:r>
    </w:p>
    <w:p w:rsidRPr="00DA6067" w:rsidR="00000FE9" w:rsidP="00000FE9" w:rsidRDefault="00000FE9" w14:paraId="0588FE1A" w14:textId="0584184A">
      <w:pPr>
        <w:rPr>
          <w:rFonts w:cs="Calibri" w:eastAsiaTheme="minorHAnsi"/>
          <w:sz w:val="18"/>
          <w:szCs w:val="18"/>
          <w:highlight w:val="yellow"/>
          <w:lang w:val="nl-NL"/>
        </w:rPr>
      </w:pPr>
      <w:r w:rsidRPr="003D0370">
        <w:rPr>
          <w:sz w:val="18"/>
          <w:szCs w:val="18"/>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Tijdens de EU-Marokko Associatieraad in juni 2019 is nog gesproken over hervatting van de onderhandelingen.</w:t>
      </w:r>
      <w:r w:rsidRPr="003D0370">
        <w:rPr>
          <w:rStyle w:val="FootnoteReference"/>
          <w:sz w:val="18"/>
          <w:szCs w:val="18"/>
          <w:lang w:val="nl-NL"/>
        </w:rPr>
        <w:footnoteReference w:id="7"/>
      </w:r>
      <w:r w:rsidRPr="003D0370" w:rsidR="0097475F">
        <w:rPr>
          <w:sz w:val="18"/>
          <w:szCs w:val="18"/>
          <w:lang w:val="nl-NL"/>
        </w:rPr>
        <w:t xml:space="preserve"> Deze hervatting is nog niet gepland</w:t>
      </w:r>
      <w:r w:rsidRPr="003D0370" w:rsidR="00CC273F">
        <w:rPr>
          <w:sz w:val="18"/>
          <w:szCs w:val="18"/>
          <w:lang w:val="nl-NL"/>
        </w:rPr>
        <w:t xml:space="preserve"> of verder besproken.</w:t>
      </w:r>
      <w:r w:rsidRPr="00DA6067">
        <w:rPr>
          <w:sz w:val="18"/>
          <w:szCs w:val="18"/>
          <w:highlight w:val="yellow"/>
          <w:lang w:val="nl-NL"/>
        </w:rPr>
        <w:br/>
      </w:r>
    </w:p>
    <w:p w:rsidRPr="003D0370" w:rsidR="00000FE9" w:rsidP="00000FE9" w:rsidRDefault="00000FE9" w14:paraId="7388E8F5" w14:textId="647C8E60">
      <w:pPr>
        <w:pStyle w:val="BodyText"/>
        <w:spacing w:after="240"/>
        <w:rPr>
          <w:lang w:val="nl-NL"/>
        </w:rPr>
      </w:pPr>
      <w:r w:rsidRPr="003D0370">
        <w:rPr>
          <w:u w:val="single"/>
          <w:lang w:val="nl-NL"/>
        </w:rPr>
        <w:t>Tunesië (</w:t>
      </w:r>
      <w:r w:rsidRPr="003D0370">
        <w:rPr>
          <w:i/>
          <w:u w:val="single"/>
          <w:lang w:val="nl-NL"/>
        </w:rPr>
        <w:t xml:space="preserve">Deep and Comprehensive Free Trade Agreement </w:t>
      </w:r>
      <w:r w:rsidRPr="003D0370">
        <w:rPr>
          <w:u w:val="single"/>
          <w:lang w:val="nl-NL"/>
        </w:rPr>
        <w:t>(DCFTA)</w:t>
      </w:r>
      <w:r w:rsidRPr="003D0370" w:rsidR="0051235C">
        <w:rPr>
          <w:u w:val="single"/>
          <w:lang w:val="nl-NL"/>
        </w:rPr>
        <w:t>)</w:t>
      </w:r>
      <w:r w:rsidRPr="003D0370">
        <w:rPr>
          <w:lang w:val="nl-NL"/>
        </w:rPr>
        <w:t>:</w:t>
      </w:r>
      <w:r w:rsidRPr="003D0370">
        <w:rPr>
          <w:rFonts w:cs="Calibri" w:eastAsiaTheme="minorHAnsi"/>
          <w:lang w:val="nl-NL"/>
        </w:rPr>
        <w:br/>
      </w:r>
      <w:r w:rsidRPr="003D0370">
        <w:rPr>
          <w:lang w:val="nl-NL"/>
        </w:rPr>
        <w:t xml:space="preserve">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w:t>
      </w:r>
      <w:r w:rsidRPr="003D0370">
        <w:rPr>
          <w:lang w:val="nl-NL"/>
        </w:rPr>
        <w:lastRenderedPageBreak/>
        <w:t>onder meer handel in diensten en investeringen. De EU-tekstvoorstellen en verslagen van de onderhandelingsrondes zijn online beschikbaar.</w:t>
      </w:r>
      <w:r w:rsidRPr="003D0370">
        <w:rPr>
          <w:rStyle w:val="FootnoteReference"/>
          <w:lang w:val="nl-NL"/>
        </w:rPr>
        <w:footnoteReference w:id="8"/>
      </w:r>
      <w:r w:rsidRPr="003D0370">
        <w:rPr>
          <w:lang w:val="nl-NL"/>
        </w:rPr>
        <w:t xml:space="preserve"> De vierde onderhandelingsronde vond plaats van 29 april tot en met 3 mei 2019 in Tunis. Het verslag van deze onderhandelingsronde is ook online beschikbaar.</w:t>
      </w:r>
      <w:r w:rsidRPr="003D0370">
        <w:rPr>
          <w:rStyle w:val="FootnoteReference"/>
          <w:lang w:val="nl-NL"/>
        </w:rPr>
        <w:footnoteReference w:id="9"/>
      </w:r>
      <w:r w:rsidRPr="003D0370">
        <w:rPr>
          <w:lang w:val="nl-NL"/>
        </w:rPr>
        <w:t xml:space="preserve"> Er is nog geen datum bekend voor de vijfde onderhandelingsronde. </w:t>
      </w:r>
    </w:p>
    <w:p w:rsidRPr="006474D1" w:rsidR="00000FE9" w:rsidP="00000FE9" w:rsidRDefault="00000FE9" w14:paraId="665E0413" w14:textId="77777777">
      <w:pPr>
        <w:pStyle w:val="ListParagraph"/>
        <w:numPr>
          <w:ilvl w:val="1"/>
          <w:numId w:val="2"/>
        </w:numPr>
        <w:tabs>
          <w:tab w:val="left" w:pos="489"/>
        </w:tabs>
        <w:ind w:left="0" w:firstLine="0"/>
        <w:rPr>
          <w:sz w:val="18"/>
          <w:szCs w:val="18"/>
          <w:lang w:val="nl-NL"/>
        </w:rPr>
      </w:pPr>
      <w:r w:rsidRPr="006474D1">
        <w:rPr>
          <w:i/>
          <w:sz w:val="18"/>
          <w:szCs w:val="18"/>
          <w:u w:val="single"/>
          <w:lang w:val="nl-NL"/>
        </w:rPr>
        <w:t>Azië</w:t>
      </w:r>
      <w:r w:rsidRPr="006474D1">
        <w:rPr>
          <w:sz w:val="18"/>
          <w:szCs w:val="18"/>
          <w:lang w:val="nl-NL"/>
        </w:rPr>
        <w:t>:</w:t>
      </w:r>
    </w:p>
    <w:p w:rsidRPr="006474D1" w:rsidR="00000FE9" w:rsidP="00000FE9" w:rsidRDefault="00000FE9" w14:paraId="3FCF3D85" w14:textId="77777777">
      <w:pPr>
        <w:pStyle w:val="ListParagraph"/>
        <w:tabs>
          <w:tab w:val="left" w:pos="489"/>
        </w:tabs>
        <w:ind w:left="0" w:firstLine="0"/>
        <w:rPr>
          <w:sz w:val="18"/>
          <w:szCs w:val="18"/>
          <w:lang w:val="nl-NL"/>
        </w:rPr>
      </w:pPr>
    </w:p>
    <w:p w:rsidRPr="006474D1" w:rsidR="00000FE9" w:rsidP="00000FE9" w:rsidRDefault="00000FE9" w14:paraId="0C77F162" w14:textId="77777777">
      <w:pPr>
        <w:rPr>
          <w:sz w:val="18"/>
          <w:szCs w:val="18"/>
        </w:rPr>
      </w:pPr>
      <w:r w:rsidRPr="006474D1">
        <w:rPr>
          <w:sz w:val="18"/>
          <w:szCs w:val="18"/>
          <w:u w:val="single"/>
        </w:rPr>
        <w:t>ASEAN (</w:t>
      </w:r>
      <w:r w:rsidRPr="006474D1">
        <w:rPr>
          <w:i/>
          <w:sz w:val="18"/>
          <w:szCs w:val="18"/>
          <w:u w:val="single"/>
        </w:rPr>
        <w:t>Association of Southeast Asian Nations</w:t>
      </w:r>
      <w:r w:rsidRPr="006474D1">
        <w:rPr>
          <w:sz w:val="18"/>
          <w:szCs w:val="18"/>
          <w:u w:val="single"/>
        </w:rPr>
        <w:t>)</w:t>
      </w:r>
      <w:r w:rsidRPr="006474D1">
        <w:rPr>
          <w:sz w:val="18"/>
          <w:szCs w:val="18"/>
        </w:rPr>
        <w:t>:</w:t>
      </w:r>
    </w:p>
    <w:p w:rsidRPr="006474D1" w:rsidR="00130CA8" w:rsidP="006474D1" w:rsidRDefault="00000FE9" w14:paraId="08E4FC3B" w14:textId="2AECDFC0">
      <w:pPr>
        <w:pStyle w:val="BodyText"/>
        <w:rPr>
          <w:highlight w:val="yellow"/>
          <w:lang w:val="nl-NL"/>
        </w:rPr>
      </w:pPr>
      <w:r w:rsidRPr="006474D1">
        <w:rPr>
          <w:lang w:val="nl-NL"/>
        </w:rPr>
        <w:t xml:space="preserve">In 2007 zijn de onderhandelingen gestart tussen de EU en de </w:t>
      </w:r>
      <w:r w:rsidRPr="006474D1">
        <w:rPr>
          <w:i/>
          <w:lang w:val="nl-NL"/>
        </w:rPr>
        <w:t>Association of Southeast Asian Nations</w:t>
      </w:r>
      <w:r w:rsidRPr="006474D1">
        <w:rPr>
          <w:lang w:val="nl-NL"/>
        </w:rPr>
        <w:t xml:space="preserve"> (ASEAN)</w:t>
      </w:r>
      <w:r w:rsidRPr="006474D1">
        <w:rPr>
          <w:rStyle w:val="FootnoteReference"/>
          <w:lang w:val="nl-NL"/>
        </w:rPr>
        <w:footnoteReference w:id="10"/>
      </w:r>
      <w:r w:rsidRPr="006474D1">
        <w:rPr>
          <w:lang w:val="nl-NL"/>
        </w:rPr>
        <w:t xml:space="preserve"> om tot een regionaal handelsakkoord te komen. De basis hiervoor is het ASEAN-mandaat uit 2007. Na zeven onderhandelingsrondes hebben de EU-lidstaten in 2009 besloten om de onderhandelingen te vervolgen op het niveau van bilaterale handelsakkoorden met ASEAN-landen. Deze handelsakkoorden kunnen als bouwstenen dienen om later alsnog tot een regionaal handelsakkoord te komen.</w:t>
      </w:r>
      <w:r w:rsidRPr="006474D1" w:rsidR="00CC47D4">
        <w:rPr>
          <w:lang w:val="nl-NL"/>
        </w:rPr>
        <w:t xml:space="preserve"> </w:t>
      </w:r>
      <w:r w:rsidRPr="006474D1" w:rsidR="00130CA8">
        <w:rPr>
          <w:lang w:val="nl-NL"/>
        </w:rPr>
        <w:t>Op 1 december 2020 vond de 23</w:t>
      </w:r>
      <w:r w:rsidRPr="006474D1" w:rsidR="00130CA8">
        <w:rPr>
          <w:vertAlign w:val="superscript"/>
          <w:lang w:val="nl-NL"/>
        </w:rPr>
        <w:t>e</w:t>
      </w:r>
      <w:r w:rsidRPr="006474D1" w:rsidR="00130CA8">
        <w:rPr>
          <w:lang w:val="nl-NL"/>
        </w:rPr>
        <w:t xml:space="preserve"> ASEAN-EU ministeri</w:t>
      </w:r>
      <w:r w:rsidRPr="006474D1" w:rsidR="00092E37">
        <w:rPr>
          <w:lang w:val="nl-NL"/>
        </w:rPr>
        <w:t>ë</w:t>
      </w:r>
      <w:r w:rsidRPr="006474D1" w:rsidR="00130CA8">
        <w:rPr>
          <w:lang w:val="nl-NL"/>
        </w:rPr>
        <w:t>le ontmoeting (virtueel) plaats</w:t>
      </w:r>
      <w:r w:rsidRPr="006474D1" w:rsidR="00CC47D4">
        <w:rPr>
          <w:lang w:val="nl-NL"/>
        </w:rPr>
        <w:t xml:space="preserve">, waar </w:t>
      </w:r>
      <w:r w:rsidRPr="006474D1" w:rsidR="00130CA8">
        <w:rPr>
          <w:lang w:val="nl-NL"/>
        </w:rPr>
        <w:t>ASEAN</w:t>
      </w:r>
      <w:r w:rsidRPr="006474D1" w:rsidR="00CC47D4">
        <w:rPr>
          <w:lang w:val="nl-NL"/>
        </w:rPr>
        <w:t xml:space="preserve"> en de EU hun betrekkingen verdiepten</w:t>
      </w:r>
      <w:r w:rsidRPr="006474D1" w:rsidR="00130CA8">
        <w:rPr>
          <w:lang w:val="nl-NL"/>
        </w:rPr>
        <w:t xml:space="preserve"> door </w:t>
      </w:r>
      <w:r w:rsidRPr="006474D1" w:rsidR="00CC47D4">
        <w:rPr>
          <w:lang w:val="nl-NL"/>
        </w:rPr>
        <w:t xml:space="preserve">een strategisch partnerschap te sluiten. </w:t>
      </w:r>
      <w:r w:rsidRPr="006474D1" w:rsidR="00D13E05">
        <w:rPr>
          <w:lang w:val="nl-NL"/>
        </w:rPr>
        <w:t xml:space="preserve">Ook op de </w:t>
      </w:r>
      <w:r w:rsidRPr="006474D1" w:rsidR="00D13E05">
        <w:rPr>
          <w:i/>
          <w:lang w:val="nl-NL"/>
        </w:rPr>
        <w:t>Joint Cooperation</w:t>
      </w:r>
      <w:r w:rsidRPr="006474D1" w:rsidR="00D13E05">
        <w:rPr>
          <w:lang w:val="nl-NL"/>
        </w:rPr>
        <w:t xml:space="preserve"> </w:t>
      </w:r>
      <w:r w:rsidRPr="006474D1" w:rsidR="0059427E">
        <w:rPr>
          <w:i/>
          <w:lang w:val="nl-NL"/>
        </w:rPr>
        <w:t>Comité</w:t>
      </w:r>
      <w:r w:rsidRPr="006474D1" w:rsidR="00CC47D4">
        <w:rPr>
          <w:i/>
          <w:lang w:val="nl-NL"/>
        </w:rPr>
        <w:t xml:space="preserve"> </w:t>
      </w:r>
      <w:r w:rsidRPr="006474D1" w:rsidR="00D13E05">
        <w:rPr>
          <w:lang w:val="nl-NL"/>
        </w:rPr>
        <w:t xml:space="preserve">virtuele vergadering van 28 maart 2021 </w:t>
      </w:r>
      <w:r w:rsidRPr="006474D1" w:rsidR="00CC47D4">
        <w:rPr>
          <w:lang w:val="nl-NL"/>
        </w:rPr>
        <w:t>herbevestigden ASEAN en de EU hun intenties om uiteindelijk tot een reg</w:t>
      </w:r>
      <w:r w:rsidRPr="006474D1" w:rsidR="00D13E05">
        <w:rPr>
          <w:lang w:val="nl-NL"/>
        </w:rPr>
        <w:t xml:space="preserve">ionaal handelsakkoord te komen. </w:t>
      </w:r>
      <w:r w:rsidRPr="006474D1" w:rsidR="00092E37">
        <w:rPr>
          <w:lang w:val="nl-NL"/>
        </w:rPr>
        <w:t xml:space="preserve">Tijdens </w:t>
      </w:r>
      <w:r w:rsidRPr="006474D1" w:rsidR="00D13E05">
        <w:rPr>
          <w:lang w:val="nl-NL"/>
        </w:rPr>
        <w:t xml:space="preserve">deze </w:t>
      </w:r>
      <w:r w:rsidRPr="006474D1" w:rsidR="00092E37">
        <w:rPr>
          <w:lang w:val="nl-NL"/>
        </w:rPr>
        <w:t xml:space="preserve">vergadering </w:t>
      </w:r>
      <w:r w:rsidRPr="006474D1" w:rsidR="00D13E05">
        <w:rPr>
          <w:lang w:val="nl-NL"/>
        </w:rPr>
        <w:t xml:space="preserve">werd ook de samenwerking besproken op </w:t>
      </w:r>
      <w:r w:rsidRPr="006474D1" w:rsidR="00092E37">
        <w:rPr>
          <w:lang w:val="nl-NL"/>
        </w:rPr>
        <w:t xml:space="preserve">het gebied </w:t>
      </w:r>
      <w:r w:rsidRPr="006474D1" w:rsidR="00D13E05">
        <w:rPr>
          <w:lang w:val="nl-NL"/>
        </w:rPr>
        <w:t xml:space="preserve">van </w:t>
      </w:r>
      <w:r w:rsidRPr="006474D1" w:rsidR="00092E37">
        <w:rPr>
          <w:lang w:val="nl-NL"/>
        </w:rPr>
        <w:t>klimaat en d</w:t>
      </w:r>
      <w:r w:rsidRPr="006474D1" w:rsidR="00D13E05">
        <w:rPr>
          <w:lang w:val="nl-NL"/>
        </w:rPr>
        <w:t xml:space="preserve">uurzaamheid, zoals met betrekking tot </w:t>
      </w:r>
      <w:r w:rsidRPr="006474D1" w:rsidR="0059427E">
        <w:rPr>
          <w:lang w:val="nl-NL"/>
        </w:rPr>
        <w:t xml:space="preserve">bosbehoud, duurzame landbouw en visserij. </w:t>
      </w:r>
      <w:r w:rsidRPr="006474D1" w:rsidR="006474D1">
        <w:rPr>
          <w:rStyle w:val="jlqj4b"/>
          <w:lang w:val="nl-NL"/>
        </w:rPr>
        <w:t xml:space="preserve">ASEAN-lidstaten (AMS) en de Commissaris </w:t>
      </w:r>
      <w:r w:rsidR="006474D1">
        <w:rPr>
          <w:rStyle w:val="jlqj4b"/>
          <w:lang w:val="nl-NL"/>
        </w:rPr>
        <w:t>van H</w:t>
      </w:r>
      <w:r w:rsidRPr="006474D1" w:rsidR="006474D1">
        <w:rPr>
          <w:rStyle w:val="jlqj4b"/>
          <w:lang w:val="nl-NL"/>
        </w:rPr>
        <w:t>andel van de Europese Unie (EU) vergaderde</w:t>
      </w:r>
      <w:r w:rsidR="006474D1">
        <w:rPr>
          <w:rStyle w:val="jlqj4b"/>
          <w:lang w:val="nl-NL"/>
        </w:rPr>
        <w:t>n</w:t>
      </w:r>
      <w:r w:rsidRPr="006474D1" w:rsidR="006474D1">
        <w:rPr>
          <w:rStyle w:val="jlqj4b"/>
          <w:lang w:val="nl-NL"/>
        </w:rPr>
        <w:t xml:space="preserve"> virtueel op 14 september 2021.</w:t>
      </w:r>
      <w:r w:rsidRPr="00696E84" w:rsidR="006474D1">
        <w:rPr>
          <w:lang w:val="nl-NL"/>
        </w:rPr>
        <w:t xml:space="preserve"> </w:t>
      </w:r>
      <w:r w:rsidR="006C5CFB">
        <w:rPr>
          <w:lang w:val="nl-NL"/>
        </w:rPr>
        <w:t>Er werd afgesproken verder te werken aan de ontw</w:t>
      </w:r>
      <w:r w:rsidR="006474D1">
        <w:rPr>
          <w:rStyle w:val="jlqj4b"/>
          <w:lang w:val="nl-NL"/>
        </w:rPr>
        <w:t xml:space="preserve">ikkeling van </w:t>
      </w:r>
      <w:r w:rsidR="006C5CFB">
        <w:rPr>
          <w:rStyle w:val="jlqj4b"/>
          <w:lang w:val="nl-NL"/>
        </w:rPr>
        <w:t>parameters voor een toekomstig</w:t>
      </w:r>
      <w:r w:rsidRPr="006474D1" w:rsidR="006474D1">
        <w:rPr>
          <w:rStyle w:val="jlqj4b"/>
          <w:lang w:val="nl-NL"/>
        </w:rPr>
        <w:t xml:space="preserve"> ASEAN-EU-handels</w:t>
      </w:r>
      <w:r w:rsidR="006C5CFB">
        <w:rPr>
          <w:rStyle w:val="jlqj4b"/>
          <w:lang w:val="nl-NL"/>
        </w:rPr>
        <w:t>akkoord.</w:t>
      </w:r>
    </w:p>
    <w:p w:rsidRPr="00DA6067" w:rsidR="00000FE9" w:rsidP="00000FE9" w:rsidRDefault="00000FE9" w14:paraId="2CB6AAF4" w14:textId="77777777">
      <w:pPr>
        <w:pStyle w:val="BodyText"/>
        <w:rPr>
          <w:highlight w:val="yellow"/>
          <w:lang w:val="nl-NL"/>
        </w:rPr>
      </w:pPr>
    </w:p>
    <w:p w:rsidRPr="00135D2B" w:rsidR="00000FE9" w:rsidP="00000FE9" w:rsidRDefault="00000FE9" w14:paraId="76C921FD" w14:textId="77777777">
      <w:pPr>
        <w:rPr>
          <w:sz w:val="18"/>
          <w:szCs w:val="18"/>
        </w:rPr>
      </w:pPr>
      <w:r w:rsidRPr="00135D2B">
        <w:rPr>
          <w:sz w:val="18"/>
          <w:szCs w:val="18"/>
          <w:u w:val="single"/>
        </w:rPr>
        <w:t>China (</w:t>
      </w:r>
      <w:r w:rsidRPr="00135D2B">
        <w:rPr>
          <w:i/>
          <w:sz w:val="18"/>
          <w:szCs w:val="18"/>
          <w:u w:val="single"/>
        </w:rPr>
        <w:t>EU-China Investment Agreement</w:t>
      </w:r>
      <w:r w:rsidRPr="00135D2B">
        <w:rPr>
          <w:sz w:val="18"/>
          <w:szCs w:val="18"/>
          <w:u w:val="single"/>
        </w:rPr>
        <w:t>)</w:t>
      </w:r>
      <w:r w:rsidRPr="00135D2B">
        <w:rPr>
          <w:sz w:val="18"/>
          <w:szCs w:val="18"/>
        </w:rPr>
        <w:t>:</w:t>
      </w:r>
    </w:p>
    <w:p w:rsidR="009B48F2" w:rsidP="009B48F2" w:rsidRDefault="009B48F2" w14:paraId="6FAA7E2C" w14:textId="6E49E835">
      <w:pPr>
        <w:pStyle w:val="BodyText"/>
        <w:rPr>
          <w:lang w:val="nl-NL"/>
        </w:rPr>
      </w:pPr>
      <w:r w:rsidRPr="00135D2B">
        <w:rPr>
          <w:lang w:val="nl-NL"/>
        </w:rPr>
        <w:t xml:space="preserve">Op 30 december 2020 kondigden de EU en China aan een principeovereenkomst te hebben bereikt over het EU-China </w:t>
      </w:r>
      <w:r w:rsidRPr="00135D2B">
        <w:rPr>
          <w:i/>
          <w:lang w:val="nl-NL"/>
        </w:rPr>
        <w:t>Comprehensive Agreement on Investment</w:t>
      </w:r>
      <w:r w:rsidRPr="00135D2B">
        <w:rPr>
          <w:lang w:val="nl-NL"/>
        </w:rPr>
        <w:t xml:space="preserve"> (CAI). De Kamer is hierover geïnformeerd per brief</w:t>
      </w:r>
      <w:r w:rsidRPr="00135D2B">
        <w:rPr>
          <w:rStyle w:val="FootnoteReference"/>
          <w:lang w:val="nl-NL"/>
        </w:rPr>
        <w:footnoteReference w:id="11"/>
      </w:r>
      <w:r w:rsidRPr="00135D2B">
        <w:rPr>
          <w:lang w:val="nl-NL"/>
        </w:rPr>
        <w:t>. De onderhandelingen over het CAI waren gaande sinds 2013. De conceptteksten en de annexen zijn online gepubliceerd</w:t>
      </w:r>
      <w:r w:rsidRPr="00135D2B">
        <w:rPr>
          <w:rStyle w:val="FootnoteReference"/>
          <w:lang w:val="nl-NL"/>
        </w:rPr>
        <w:footnoteReference w:id="12"/>
      </w:r>
      <w:r w:rsidRPr="00135D2B">
        <w:rPr>
          <w:lang w:val="nl-NL"/>
        </w:rPr>
        <w:t xml:space="preserve">. Op basis van de tekst van de principeovereenkomst lijkt er sprake </w:t>
      </w:r>
      <w:r>
        <w:rPr>
          <w:lang w:val="nl-NL"/>
        </w:rPr>
        <w:t>v</w:t>
      </w:r>
      <w:r w:rsidRPr="00135D2B">
        <w:rPr>
          <w:lang w:val="nl-NL"/>
        </w:rPr>
        <w:t xml:space="preserve">an een </w:t>
      </w:r>
      <w:r w:rsidRPr="00135D2B">
        <w:rPr>
          <w:i/>
          <w:lang w:val="nl-NL"/>
        </w:rPr>
        <w:t>EU-only</w:t>
      </w:r>
      <w:r w:rsidRPr="00135D2B">
        <w:rPr>
          <w:lang w:val="nl-NL"/>
        </w:rPr>
        <w:t xml:space="preserve"> overeenkomst. Zoals vermeld in de beantwoording op Kamervragen over het CAI (Kamerstuk 21501-02, nr. 2255), kan het kabinet pas een volledige analyse van het akkoord maken als een definitieve tekst beschikbaar komt inclusief alle bijlagen</w:t>
      </w:r>
      <w:r w:rsidRPr="00135D2B">
        <w:rPr>
          <w:rStyle w:val="FootnoteReference"/>
          <w:lang w:val="nl-NL"/>
        </w:rPr>
        <w:footnoteReference w:id="13"/>
      </w:r>
      <w:r>
        <w:rPr>
          <w:lang w:val="nl-NL"/>
        </w:rPr>
        <w:t>.</w:t>
      </w:r>
    </w:p>
    <w:p w:rsidRPr="00135D2B" w:rsidR="009B48F2" w:rsidP="009B48F2" w:rsidRDefault="009B48F2" w14:paraId="245E1C89" w14:textId="77777777">
      <w:pPr>
        <w:pStyle w:val="BodyText"/>
        <w:rPr>
          <w:lang w:val="nl-NL"/>
        </w:rPr>
      </w:pPr>
    </w:p>
    <w:p w:rsidRPr="00135D2B" w:rsidR="001A005C" w:rsidP="00000FE9" w:rsidRDefault="00081E19" w14:paraId="33009AA0" w14:textId="1A644EDD">
      <w:pPr>
        <w:pStyle w:val="BodyText"/>
        <w:rPr>
          <w:lang w:val="nl-NL"/>
        </w:rPr>
      </w:pPr>
      <w:r w:rsidRPr="00135D2B">
        <w:rPr>
          <w:lang w:val="nl-NL"/>
        </w:rPr>
        <w:t>I</w:t>
      </w:r>
      <w:r w:rsidRPr="00081E19">
        <w:rPr>
          <w:lang w:val="nl-NL"/>
        </w:rPr>
        <w:t xml:space="preserve">n mei 2021 heeft </w:t>
      </w:r>
      <w:r w:rsidR="009B48F2">
        <w:rPr>
          <w:lang w:val="nl-NL"/>
        </w:rPr>
        <w:t xml:space="preserve">de Commissie bij monde van </w:t>
      </w:r>
      <w:r w:rsidRPr="00081E19">
        <w:rPr>
          <w:lang w:val="nl-NL"/>
        </w:rPr>
        <w:t xml:space="preserve">EVP Dombrovskis </w:t>
      </w:r>
      <w:r w:rsidR="009B48F2">
        <w:rPr>
          <w:lang w:val="nl-NL"/>
        </w:rPr>
        <w:t>aangegeven</w:t>
      </w:r>
      <w:r w:rsidRPr="00081E19">
        <w:rPr>
          <w:lang w:val="nl-NL"/>
        </w:rPr>
        <w:t xml:space="preserve"> dat de goedkeuringsprocedure van het EU-China </w:t>
      </w:r>
      <w:r w:rsidRPr="00135D2B">
        <w:rPr>
          <w:i/>
          <w:lang w:val="nl-NL"/>
        </w:rPr>
        <w:t>Comprehensive Agreement on Investment</w:t>
      </w:r>
      <w:r w:rsidRPr="00135D2B">
        <w:rPr>
          <w:lang w:val="nl-NL"/>
        </w:rPr>
        <w:t xml:space="preserve"> (CAI) wordt stilgelegd. Dit was in reactie op de Chinese sancties op Europese politici.</w:t>
      </w:r>
      <w:r w:rsidRPr="00135D2B" w:rsidR="001A005C">
        <w:rPr>
          <w:lang w:val="nl-NL"/>
        </w:rPr>
        <w:t xml:space="preserve"> Tevens heeft het EP uitgesloten het CAI te bespreken zolang de sancties van kracht zijn. </w:t>
      </w:r>
      <w:r w:rsidRPr="00135D2B">
        <w:rPr>
          <w:lang w:val="nl-NL"/>
        </w:rPr>
        <w:t xml:space="preserve"> De grote zorgen die NL al eerder had over de link tussen handel en mensenrechten in de EU-China relatie, lijken daarmee binnen de EU meer tractie te hebben gekregen. Een formele kabinetspositie over het CAI zal pas aan de orde zijn als de definitieve teksten zijn ontvangen. Oorspronkelijk was dat moment voorzien voor voorjaar 2022, maar inmiddels lijkt dat tijdspad onwaarschijnlijk.</w:t>
      </w:r>
      <w:r w:rsidR="009B48F2">
        <w:rPr>
          <w:lang w:val="nl-NL"/>
        </w:rPr>
        <w:t xml:space="preserve"> </w:t>
      </w:r>
      <w:r w:rsidRPr="00135D2B" w:rsidR="001A005C">
        <w:rPr>
          <w:lang w:val="nl-NL"/>
        </w:rPr>
        <w:t>V</w:t>
      </w:r>
      <w:r w:rsidR="009B48F2">
        <w:rPr>
          <w:lang w:val="nl-NL"/>
        </w:rPr>
        <w:t>oor Nederland</w:t>
      </w:r>
      <w:r w:rsidRPr="00135D2B" w:rsidR="001A005C">
        <w:rPr>
          <w:lang w:val="nl-NL"/>
        </w:rPr>
        <w:t xml:space="preserve"> geldt daarbij</w:t>
      </w:r>
      <w:r w:rsidR="009B48F2">
        <w:rPr>
          <w:lang w:val="nl-NL"/>
        </w:rPr>
        <w:t xml:space="preserve"> dat</w:t>
      </w:r>
      <w:r w:rsidRPr="00135D2B" w:rsidR="001A005C">
        <w:rPr>
          <w:lang w:val="nl-NL"/>
        </w:rPr>
        <w:t xml:space="preserve"> de mensenrechtensituatie in China zwaar weegt, waarbij in het bijzonder verbetering van de situatie t.a.v. dwangarbeid noodzakelijk is. NL zal aandacht blijven vragen voor de wisselwerking tussen handel en mensen</w:t>
      </w:r>
      <w:r w:rsidR="009B48F2">
        <w:rPr>
          <w:lang w:val="nl-NL"/>
        </w:rPr>
        <w:t>rechten in de EU-China relatie.</w:t>
      </w:r>
    </w:p>
    <w:p w:rsidRPr="00135D2B" w:rsidR="00001364" w:rsidP="00000FE9" w:rsidRDefault="00001364" w14:paraId="3092B609" w14:textId="52A86602">
      <w:pPr>
        <w:pStyle w:val="BodyText"/>
        <w:rPr>
          <w:lang w:val="nl-NL"/>
        </w:rPr>
      </w:pPr>
    </w:p>
    <w:p w:rsidRPr="00DA6067" w:rsidR="00E90767" w:rsidP="00000FE9" w:rsidRDefault="00E90767" w14:paraId="18AF3E65" w14:textId="77777777">
      <w:pPr>
        <w:pStyle w:val="BodyText"/>
        <w:rPr>
          <w:highlight w:val="yellow"/>
          <w:lang w:val="nl-NL"/>
        </w:rPr>
      </w:pPr>
    </w:p>
    <w:p w:rsidRPr="004351BB" w:rsidR="00000FE9" w:rsidP="00000FE9" w:rsidRDefault="00000FE9" w14:paraId="778A8074" w14:textId="77777777">
      <w:pPr>
        <w:rPr>
          <w:sz w:val="18"/>
          <w:szCs w:val="18"/>
        </w:rPr>
      </w:pPr>
      <w:r w:rsidRPr="004351BB">
        <w:rPr>
          <w:sz w:val="18"/>
          <w:szCs w:val="18"/>
          <w:u w:val="single"/>
        </w:rPr>
        <w:t>Filipijnen (</w:t>
      </w:r>
      <w:r w:rsidRPr="004351BB">
        <w:rPr>
          <w:i/>
          <w:sz w:val="18"/>
          <w:szCs w:val="18"/>
          <w:u w:val="single"/>
        </w:rPr>
        <w:t>EU-Philippines Free Trade Agreement</w:t>
      </w:r>
      <w:r w:rsidRPr="004351BB">
        <w:rPr>
          <w:sz w:val="18"/>
          <w:szCs w:val="18"/>
          <w:u w:val="single"/>
        </w:rPr>
        <w:t>)</w:t>
      </w:r>
      <w:r w:rsidRPr="004351BB">
        <w:rPr>
          <w:sz w:val="18"/>
          <w:szCs w:val="18"/>
        </w:rPr>
        <w:t>:</w:t>
      </w:r>
    </w:p>
    <w:p w:rsidRPr="004351BB" w:rsidR="00000FE9" w:rsidP="00000FE9" w:rsidRDefault="00000FE9" w14:paraId="176EC93F" w14:textId="0EEEF6FE">
      <w:pPr>
        <w:pStyle w:val="BodyText"/>
        <w:rPr>
          <w:lang w:val="nl-NL"/>
        </w:rPr>
      </w:pPr>
      <w:r w:rsidRPr="004351BB">
        <w:rPr>
          <w:lang w:val="nl-NL"/>
        </w:rPr>
        <w:t xml:space="preserve">In december 2015 zijn de onderhandelingen over een handelsakkoord tussen de EU en de Filipijnen aangekondigd. De Raad heeft eind 2015 ingestemd met een </w:t>
      </w:r>
      <w:r w:rsidRPr="004351BB" w:rsidR="00826EA9">
        <w:rPr>
          <w:lang w:val="nl-NL"/>
        </w:rPr>
        <w:t>v</w:t>
      </w:r>
      <w:r w:rsidRPr="004351BB">
        <w:rPr>
          <w:lang w:val="nl-NL"/>
        </w:rPr>
        <w:t xml:space="preserve">oorzitterschapsnotitie voor de start van </w:t>
      </w:r>
      <w:r w:rsidRPr="004351BB">
        <w:rPr>
          <w:lang w:val="nl-NL"/>
        </w:rPr>
        <w:lastRenderedPageBreak/>
        <w:t>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4351BB">
        <w:rPr>
          <w:rStyle w:val="FootnoteReference"/>
          <w:lang w:val="nl-NL"/>
        </w:rPr>
        <w:footnoteReference w:id="14"/>
      </w:r>
      <w:r w:rsidRPr="004351BB">
        <w:rPr>
          <w:lang w:val="nl-NL"/>
        </w:rPr>
        <w:t xml:space="preserve"> Op dit moment is geen volgende onderhandelingsronde gepland.</w:t>
      </w:r>
    </w:p>
    <w:p w:rsidRPr="00DA6067" w:rsidR="00000FE9" w:rsidP="00000FE9" w:rsidRDefault="00000FE9" w14:paraId="102B26F8" w14:textId="77777777">
      <w:pPr>
        <w:pStyle w:val="BodyText"/>
        <w:rPr>
          <w:highlight w:val="yellow"/>
          <w:lang w:val="nl-NL"/>
        </w:rPr>
      </w:pPr>
    </w:p>
    <w:p w:rsidRPr="00135D2B" w:rsidR="00000FE9" w:rsidP="00000FE9" w:rsidRDefault="00000FE9" w14:paraId="6282AA98" w14:textId="77777777">
      <w:pPr>
        <w:rPr>
          <w:sz w:val="18"/>
          <w:szCs w:val="18"/>
          <w:lang w:val="nl-NL"/>
        </w:rPr>
      </w:pPr>
      <w:r w:rsidRPr="00135D2B">
        <w:rPr>
          <w:sz w:val="18"/>
          <w:szCs w:val="18"/>
          <w:u w:val="single"/>
          <w:lang w:val="nl-NL"/>
        </w:rPr>
        <w:t>India (</w:t>
      </w:r>
      <w:r w:rsidRPr="00135D2B">
        <w:rPr>
          <w:i/>
          <w:sz w:val="18"/>
          <w:szCs w:val="18"/>
          <w:u w:val="single"/>
          <w:lang w:val="nl-NL"/>
        </w:rPr>
        <w:t>India-EU Free Trade Agreement</w:t>
      </w:r>
      <w:r w:rsidRPr="00135D2B">
        <w:rPr>
          <w:sz w:val="18"/>
          <w:szCs w:val="18"/>
          <w:u w:val="single"/>
          <w:lang w:val="nl-NL"/>
        </w:rPr>
        <w:t>)</w:t>
      </w:r>
      <w:r w:rsidRPr="00135D2B">
        <w:rPr>
          <w:sz w:val="18"/>
          <w:szCs w:val="18"/>
          <w:lang w:val="nl-NL"/>
        </w:rPr>
        <w:t xml:space="preserve">: </w:t>
      </w:r>
    </w:p>
    <w:p w:rsidRPr="004E51B1" w:rsidR="00000FE9" w:rsidP="00000FE9" w:rsidRDefault="00000FE9" w14:paraId="49D77364" w14:textId="23B506F5">
      <w:pPr>
        <w:widowControl/>
        <w:autoSpaceDE/>
        <w:autoSpaceDN/>
        <w:contextualSpacing/>
        <w:rPr>
          <w:rFonts w:cstheme="minorHAnsi"/>
          <w:sz w:val="18"/>
          <w:szCs w:val="18"/>
          <w:lang w:val="nl-NL"/>
        </w:rPr>
      </w:pPr>
      <w:r w:rsidRPr="00135D2B">
        <w:rPr>
          <w:sz w:val="18"/>
          <w:szCs w:val="18"/>
          <w:lang w:val="nl-NL" w:eastAsia="ja-JP"/>
        </w:rPr>
        <w:t xml:space="preserve">De EU en </w:t>
      </w:r>
      <w:r w:rsidRPr="00135D2B">
        <w:rPr>
          <w:sz w:val="18"/>
          <w:szCs w:val="18"/>
          <w:lang w:val="nl-NL"/>
        </w:rPr>
        <w:t>India</w:t>
      </w:r>
      <w:r w:rsidRPr="00135D2B">
        <w:rPr>
          <w:sz w:val="18"/>
          <w:szCs w:val="18"/>
          <w:lang w:val="nl-NL" w:eastAsia="ja-JP"/>
        </w:rPr>
        <w:t xml:space="preserve"> onderhandelen sinds 2007 over een handels- en investeringsakkoord. Sinds de zomer van 2013 liggen de onderhandelingen stil. Na verschillende pogingen om de </w:t>
      </w:r>
      <w:r w:rsidRPr="00135D2B">
        <w:rPr>
          <w:i/>
          <w:sz w:val="18"/>
          <w:szCs w:val="18"/>
          <w:lang w:val="nl-NL" w:eastAsia="ja-JP"/>
        </w:rPr>
        <w:t>EU-</w:t>
      </w:r>
      <w:r w:rsidRPr="00135D2B">
        <w:rPr>
          <w:i/>
          <w:sz w:val="18"/>
          <w:szCs w:val="18"/>
          <w:lang w:val="nl-NL"/>
        </w:rPr>
        <w:t>India</w:t>
      </w:r>
      <w:r w:rsidRPr="00135D2B">
        <w:rPr>
          <w:i/>
          <w:sz w:val="18"/>
          <w:szCs w:val="18"/>
          <w:lang w:val="nl-NL" w:eastAsia="ja-JP"/>
        </w:rPr>
        <w:t xml:space="preserve"> Free Trade Agreement</w:t>
      </w:r>
      <w:r w:rsidRPr="00135D2B">
        <w:rPr>
          <w:sz w:val="18"/>
          <w:szCs w:val="18"/>
          <w:lang w:val="nl-NL" w:eastAsia="ja-JP"/>
        </w:rPr>
        <w:t xml:space="preserve"> onderhandelingen te heropenen, is in juni 2018 besloten de onderhandelingen voorlopig niet te herstarten wegens een blijvend gebrek aan een gelijk ambitieniveau. </w:t>
      </w:r>
      <w:r w:rsidRPr="00135D2B" w:rsidR="00587145">
        <w:rPr>
          <w:sz w:val="18"/>
          <w:szCs w:val="18"/>
          <w:lang w:val="nl-NL" w:eastAsia="ja-JP"/>
        </w:rPr>
        <w:t xml:space="preserve">Sindsdien heeft de </w:t>
      </w:r>
      <w:r w:rsidRPr="00135D2B">
        <w:rPr>
          <w:sz w:val="18"/>
          <w:szCs w:val="18"/>
          <w:lang w:val="nl-NL" w:eastAsia="ja-JP"/>
        </w:rPr>
        <w:t>Commissie de strategische dialoog met India voort</w:t>
      </w:r>
      <w:r w:rsidRPr="00135D2B" w:rsidR="00587145">
        <w:rPr>
          <w:sz w:val="18"/>
          <w:szCs w:val="18"/>
          <w:lang w:val="nl-NL" w:eastAsia="ja-JP"/>
        </w:rPr>
        <w:t>gezet</w:t>
      </w:r>
      <w:r w:rsidRPr="00135D2B">
        <w:rPr>
          <w:sz w:val="18"/>
          <w:szCs w:val="18"/>
          <w:lang w:val="nl-NL" w:eastAsia="ja-JP"/>
        </w:rPr>
        <w:t xml:space="preserve"> om de onderhandelingen in de toekomst te kunnen heropenen</w:t>
      </w:r>
      <w:r w:rsidRPr="00135D2B" w:rsidR="00587145">
        <w:rPr>
          <w:sz w:val="18"/>
          <w:szCs w:val="18"/>
          <w:lang w:val="nl-NL" w:eastAsia="ja-JP"/>
        </w:rPr>
        <w:t xml:space="preserve"> en de mogelijkheden bekeken om</w:t>
      </w:r>
      <w:r w:rsidRPr="00135D2B" w:rsidR="0094214D">
        <w:rPr>
          <w:sz w:val="18"/>
          <w:szCs w:val="18"/>
          <w:lang w:val="nl-NL" w:eastAsia="ja-JP"/>
        </w:rPr>
        <w:t xml:space="preserve"> te komen tot </w:t>
      </w:r>
      <w:r w:rsidRPr="00135D2B">
        <w:rPr>
          <w:sz w:val="18"/>
          <w:szCs w:val="18"/>
          <w:lang w:val="nl-NL" w:eastAsia="ja-JP"/>
        </w:rPr>
        <w:t xml:space="preserve">een separaat investeringsakkoord. </w:t>
      </w:r>
      <w:r w:rsidRPr="00135D2B" w:rsidR="00587145">
        <w:rPr>
          <w:sz w:val="18"/>
          <w:szCs w:val="18"/>
          <w:lang w:val="nl-NL" w:eastAsia="ja-JP"/>
        </w:rPr>
        <w:t>Tijdens de</w:t>
      </w:r>
      <w:r w:rsidRPr="00135D2B" w:rsidR="003C42DD">
        <w:rPr>
          <w:sz w:val="18"/>
          <w:szCs w:val="18"/>
          <w:lang w:val="nl-NL"/>
        </w:rPr>
        <w:t xml:space="preserve"> EU-India Top op 8 mei 2021</w:t>
      </w:r>
      <w:r w:rsidRPr="00135D2B" w:rsidR="0094214D">
        <w:rPr>
          <w:sz w:val="18"/>
          <w:szCs w:val="18"/>
          <w:lang w:val="nl-NL"/>
        </w:rPr>
        <w:t xml:space="preserve"> is </w:t>
      </w:r>
      <w:r w:rsidRPr="00135D2B" w:rsidR="00587145">
        <w:rPr>
          <w:sz w:val="18"/>
          <w:szCs w:val="18"/>
          <w:lang w:val="nl-NL"/>
        </w:rPr>
        <w:t xml:space="preserve">besloten de onderhandelingen over een gebalanceerd, ambitieus, alomvattend en wederzijds voordelig handelsakkoord te hervatten. Tevens is afgesproken om de onderhandelingen over een separaat investeringsakkoord op te starten alsook over een separaat akkoord inzake de bescherming van geografische </w:t>
      </w:r>
      <w:r w:rsidRPr="00135D2B" w:rsidR="000D473B">
        <w:rPr>
          <w:sz w:val="18"/>
          <w:szCs w:val="18"/>
          <w:lang w:val="nl-NL"/>
        </w:rPr>
        <w:t>i</w:t>
      </w:r>
      <w:r w:rsidRPr="00135D2B" w:rsidR="00587145">
        <w:rPr>
          <w:sz w:val="18"/>
          <w:szCs w:val="18"/>
          <w:lang w:val="nl-NL"/>
        </w:rPr>
        <w:t>ndicaties.</w:t>
      </w:r>
    </w:p>
    <w:p w:rsidRPr="004351BB" w:rsidR="00000FE9" w:rsidP="00000FE9" w:rsidRDefault="00000FE9" w14:paraId="6972ABED" w14:textId="77777777">
      <w:pPr>
        <w:pStyle w:val="Default"/>
        <w:rPr>
          <w:rFonts w:ascii="Verdana" w:hAnsi="Verdana"/>
          <w:sz w:val="18"/>
          <w:szCs w:val="18"/>
        </w:rPr>
      </w:pPr>
    </w:p>
    <w:p w:rsidRPr="0013123E" w:rsidR="00000FE9" w:rsidP="00000FE9" w:rsidRDefault="00000FE9" w14:paraId="6F3A92D0" w14:textId="259248DF">
      <w:pPr>
        <w:pStyle w:val="BodyText"/>
      </w:pPr>
      <w:r w:rsidRPr="0013123E">
        <w:rPr>
          <w:u w:val="single"/>
        </w:rPr>
        <w:t>Indonesië (</w:t>
      </w:r>
      <w:r w:rsidRPr="0013123E">
        <w:rPr>
          <w:i/>
          <w:u w:val="single"/>
        </w:rPr>
        <w:t xml:space="preserve">Indonesia-EU Comprehensive Economic Partnership Agreement </w:t>
      </w:r>
      <w:r w:rsidRPr="0013123E">
        <w:rPr>
          <w:u w:val="single"/>
        </w:rPr>
        <w:t>(CEPA)</w:t>
      </w:r>
      <w:r w:rsidRPr="0013123E">
        <w:t>:</w:t>
      </w:r>
    </w:p>
    <w:p w:rsidRPr="004351BB" w:rsidR="00000FE9" w:rsidP="00000FE9" w:rsidRDefault="00000FE9" w14:paraId="085E9D8A" w14:textId="733524A3">
      <w:pPr>
        <w:pStyle w:val="BodyText"/>
        <w:rPr>
          <w:lang w:val="nl-NL"/>
        </w:rPr>
      </w:pPr>
      <w:r w:rsidRPr="004351BB">
        <w:rPr>
          <w:lang w:val="nl-NL"/>
        </w:rPr>
        <w:t xml:space="preserve">De Raad heeft op 18 juli 2016 ingestemd met een </w:t>
      </w:r>
      <w:r w:rsidRPr="004351BB" w:rsidR="00B95D66">
        <w:rPr>
          <w:lang w:val="nl-NL"/>
        </w:rPr>
        <w:t>v</w:t>
      </w:r>
      <w:r w:rsidRPr="004351BB">
        <w:rPr>
          <w:lang w:val="nl-NL"/>
        </w:rPr>
        <w:t>oorzitterschapsnotitie voor de start van de onderhandelingen over een handelsakk</w:t>
      </w:r>
      <w:r w:rsidRPr="004351BB" w:rsidR="006870CC">
        <w:rPr>
          <w:lang w:val="nl-NL"/>
        </w:rPr>
        <w:t xml:space="preserve">oord tussen de EU en Indonesië. </w:t>
      </w:r>
      <w:r w:rsidRPr="004351BB">
        <w:rPr>
          <w:lang w:val="nl-NL"/>
        </w:rPr>
        <w:t>Deze notitie vormt een aanvulling op het bestaande ASEAN-mandaat uit 2007. Van 15 tot 26 juni 2020 vond de onderhandelingsronde via videoconferentie plaats. Het verslag van de</w:t>
      </w:r>
      <w:r w:rsidRPr="004351BB" w:rsidR="00185453">
        <w:rPr>
          <w:lang w:val="nl-NL"/>
        </w:rPr>
        <w:t>ze</w:t>
      </w:r>
      <w:r w:rsidRPr="004351BB">
        <w:rPr>
          <w:lang w:val="nl-NL"/>
        </w:rPr>
        <w:t xml:space="preserve"> digitale ronde is te vinden op de website van de Europese Commissie.</w:t>
      </w:r>
      <w:r w:rsidRPr="004351BB">
        <w:rPr>
          <w:rStyle w:val="FootnoteReference"/>
          <w:lang w:val="nl-NL"/>
        </w:rPr>
        <w:footnoteReference w:id="15"/>
      </w:r>
      <w:r w:rsidRPr="004351BB">
        <w:rPr>
          <w:lang w:val="nl-NL"/>
        </w:rPr>
        <w:t xml:space="preserve"> Tijdens deze ronde hebben de EU en Indonesië onder andere voortgang geboekt op het gebied van regels van oorsprong en technische handelsbelemmeringen. Op andere onderwerpen, zoals handel in goederen en handel en duurzame ontwikkeling is weinig voortgang geboekt. Ook is nog geen markttoegangsaanbod op het gebied van overheidsopdrachten uitgewisseld. </w:t>
      </w:r>
      <w:r w:rsidRPr="004351BB" w:rsidR="001E53CF">
        <w:rPr>
          <w:lang w:val="nl-NL"/>
        </w:rPr>
        <w:t xml:space="preserve">In de laatste digitale ronde van 22-26 februari 2021 zijn er, zoals verwacht door de CIE, geen doorbraken geboekt. </w:t>
      </w:r>
      <w:r w:rsidRPr="004351BB" w:rsidR="00B81FAA">
        <w:rPr>
          <w:lang w:val="nl-NL"/>
        </w:rPr>
        <w:t>Op traditionele handelsonderdelen is 80% afgerond, maar er is weinig vooruitgang ten aanzien van meer moderne handelshoofdstukken zoals TSD, subsidies en overheidsaanbestedinge</w:t>
      </w:r>
      <w:r w:rsidRPr="004351BB" w:rsidR="005E609E">
        <w:rPr>
          <w:lang w:val="nl-NL"/>
        </w:rPr>
        <w:t>n.</w:t>
      </w:r>
      <w:r w:rsidRPr="004351BB" w:rsidR="005E609E">
        <w:rPr>
          <w:rStyle w:val="FootnoteReference"/>
          <w:lang w:val="nl-NL"/>
        </w:rPr>
        <w:footnoteReference w:id="16"/>
      </w:r>
      <w:r w:rsidRPr="004351BB" w:rsidR="00721CF1">
        <w:rPr>
          <w:lang w:val="nl-NL"/>
        </w:rPr>
        <w:t xml:space="preserve"> De volgende ronde zal </w:t>
      </w:r>
      <w:r w:rsidRPr="004351BB" w:rsidR="004351BB">
        <w:rPr>
          <w:lang w:val="nl-NL"/>
        </w:rPr>
        <w:t>plaatsvinden in de week van 8 november 2021.</w:t>
      </w:r>
    </w:p>
    <w:p w:rsidRPr="00DA6067" w:rsidR="00000FE9" w:rsidP="00000FE9" w:rsidRDefault="00000FE9" w14:paraId="27A91786" w14:textId="2F0BF32B">
      <w:pPr>
        <w:pStyle w:val="BodyText"/>
        <w:rPr>
          <w:highlight w:val="yellow"/>
          <w:lang w:val="nl-NL"/>
        </w:rPr>
      </w:pPr>
    </w:p>
    <w:p w:rsidRPr="003D0370" w:rsidR="00000FE9" w:rsidP="00000FE9" w:rsidRDefault="00000FE9" w14:paraId="1CF84074" w14:textId="77777777">
      <w:pPr>
        <w:rPr>
          <w:sz w:val="18"/>
          <w:szCs w:val="18"/>
        </w:rPr>
      </w:pPr>
      <w:r w:rsidRPr="003D0370">
        <w:rPr>
          <w:sz w:val="18"/>
          <w:szCs w:val="18"/>
          <w:u w:val="single"/>
        </w:rPr>
        <w:t>Jordanië (</w:t>
      </w:r>
      <w:r w:rsidRPr="003D0370">
        <w:rPr>
          <w:i/>
          <w:sz w:val="18"/>
          <w:szCs w:val="18"/>
          <w:u w:val="single"/>
        </w:rPr>
        <w:t xml:space="preserve">Deep and Comprehensive Free Trade Agreement </w:t>
      </w:r>
      <w:r w:rsidRPr="003D0370">
        <w:rPr>
          <w:sz w:val="18"/>
          <w:szCs w:val="18"/>
          <w:u w:val="single"/>
        </w:rPr>
        <w:t>(DCFTA))</w:t>
      </w:r>
      <w:r w:rsidRPr="003D0370">
        <w:rPr>
          <w:sz w:val="18"/>
          <w:szCs w:val="18"/>
        </w:rPr>
        <w:t>:</w:t>
      </w:r>
    </w:p>
    <w:p w:rsidRPr="00E8517F" w:rsidR="00000FE9" w:rsidP="00000FE9" w:rsidRDefault="00000FE9" w14:paraId="7ACD74A2" w14:textId="77777777">
      <w:pPr>
        <w:pStyle w:val="BodyText"/>
        <w:rPr>
          <w:lang w:val="nl-NL"/>
        </w:rPr>
      </w:pPr>
      <w:r w:rsidRPr="00E8517F">
        <w:rPr>
          <w:lang w:val="nl-NL"/>
        </w:rPr>
        <w:t>In 2002 is een associatieakkoord tussen de EU en Jordanië in werking getreden. Afschaffing van de invoertarieven is na een transitieperiode van twaalf jaar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 Er is voorlopig geen eerste onderhandelingsronde gepland.</w:t>
      </w:r>
    </w:p>
    <w:p w:rsidRPr="003D0370" w:rsidR="00000FE9" w:rsidP="00000FE9" w:rsidRDefault="00000FE9" w14:paraId="37006A88" w14:textId="77777777">
      <w:pPr>
        <w:pStyle w:val="BodyText"/>
        <w:rPr>
          <w:lang w:val="nl-NL"/>
        </w:rPr>
      </w:pPr>
    </w:p>
    <w:p w:rsidRPr="003D0370" w:rsidR="00000FE9" w:rsidP="00000FE9" w:rsidRDefault="00000FE9" w14:paraId="2603AAAA" w14:textId="77777777">
      <w:pPr>
        <w:rPr>
          <w:sz w:val="18"/>
          <w:szCs w:val="18"/>
          <w:lang w:val="nl-NL"/>
        </w:rPr>
      </w:pPr>
      <w:r w:rsidRPr="003D0370">
        <w:rPr>
          <w:sz w:val="18"/>
          <w:szCs w:val="18"/>
          <w:u w:val="single"/>
          <w:lang w:val="nl-NL"/>
        </w:rPr>
        <w:t>Kazachstan (</w:t>
      </w:r>
      <w:r w:rsidRPr="003D0370">
        <w:rPr>
          <w:i/>
          <w:sz w:val="18"/>
          <w:szCs w:val="18"/>
          <w:u w:val="single"/>
          <w:lang w:val="nl-NL"/>
        </w:rPr>
        <w:t xml:space="preserve">Enhanced Partnership and Cooperation Agreement </w:t>
      </w:r>
      <w:r w:rsidRPr="003D0370">
        <w:rPr>
          <w:sz w:val="18"/>
          <w:szCs w:val="18"/>
          <w:u w:val="single"/>
          <w:lang w:val="nl-NL"/>
        </w:rPr>
        <w:t>(EPCA))</w:t>
      </w:r>
      <w:r w:rsidRPr="003D0370">
        <w:rPr>
          <w:sz w:val="18"/>
          <w:szCs w:val="18"/>
          <w:lang w:val="nl-NL"/>
        </w:rPr>
        <w:t>:</w:t>
      </w:r>
    </w:p>
    <w:p w:rsidRPr="003D0370" w:rsidR="00000FE9" w:rsidP="00000FE9" w:rsidRDefault="00000FE9" w14:paraId="75B70BA1" w14:textId="77777777">
      <w:pPr>
        <w:pStyle w:val="BodyText"/>
        <w:rPr>
          <w:lang w:val="nl-NL"/>
        </w:rPr>
      </w:pPr>
      <w:r w:rsidRPr="003D0370">
        <w:rPr>
          <w:lang w:val="nl-NL"/>
        </w:rPr>
        <w:t xml:space="preserve">In december 2015 is het nieuwe akkoord ondertekend, gevolgd door voorlopige toepassing door de EU per 1 mei 2016. Kazachstan is lid van de Euraziatische Economische Unie (samen met Rusland, Armenië, Kirgizië en Wit-Rusland), daarom zijn er geen afspraken over tariefliberalisatie voor goederen in het akkoord opgenomen. Hier kan alleen met de Euraziatische Unie als geheel over onderhandeld worden. In 2011 zijn onderhandelingen van start gegaan tussen de Europese Commissie en Kazachstan over een hernieuwd </w:t>
      </w:r>
      <w:r w:rsidRPr="003D0370">
        <w:rPr>
          <w:i/>
          <w:lang w:val="nl-NL"/>
        </w:rPr>
        <w:t xml:space="preserve">Partnership and Cooperation Agreement </w:t>
      </w:r>
      <w:r w:rsidRPr="003D0370">
        <w:rPr>
          <w:lang w:val="nl-NL"/>
        </w:rPr>
        <w:t>(PCA)</w:t>
      </w:r>
      <w:r w:rsidRPr="003D0370">
        <w:rPr>
          <w:i/>
          <w:lang w:val="nl-NL"/>
        </w:rPr>
        <w:t xml:space="preserve">. </w:t>
      </w:r>
      <w:r w:rsidRPr="003D0370">
        <w:rPr>
          <w:lang w:val="nl-NL"/>
        </w:rPr>
        <w:t>In 2014 zijn de onderhandelingen na acht onderhandelingsrondes afgerond. De Raad van State heeft zijn advies gegeven over het akkoord. Op 29 oktober 2018 is de Memorie van Toelichting samen met het akkoord ter goedkeuring naar de Tweede Kamer en Eerste Kamer gestuurd. De Tweede Kamer heeft dit tijdens de plenaire behandeling op 7 februari 2019 aangenomen, waarna de Eerste Kamer op 5 maart 2019 heeft ingestemd. Het akkoord treedt pas in werking als alle partijen geratificeerd hebben.</w:t>
      </w:r>
    </w:p>
    <w:p w:rsidRPr="003D0370" w:rsidR="00000FE9" w:rsidP="00000FE9" w:rsidRDefault="00000FE9" w14:paraId="0A461175" w14:textId="77777777">
      <w:pPr>
        <w:pStyle w:val="BodyText"/>
        <w:rPr>
          <w:lang w:val="nl-NL"/>
        </w:rPr>
      </w:pPr>
    </w:p>
    <w:p w:rsidR="00D6763D" w:rsidP="00000FE9" w:rsidRDefault="00D6763D" w14:paraId="1BF13350" w14:textId="77777777">
      <w:pPr>
        <w:pStyle w:val="BodyText"/>
        <w:rPr>
          <w:u w:val="single"/>
        </w:rPr>
      </w:pPr>
    </w:p>
    <w:p w:rsidRPr="003D0370" w:rsidR="00000FE9" w:rsidP="00000FE9" w:rsidRDefault="00000FE9" w14:paraId="3D18739F" w14:textId="1072B75D">
      <w:pPr>
        <w:pStyle w:val="BodyText"/>
        <w:rPr>
          <w:u w:val="single"/>
        </w:rPr>
      </w:pPr>
      <w:r w:rsidRPr="003D0370">
        <w:rPr>
          <w:u w:val="single"/>
        </w:rPr>
        <w:lastRenderedPageBreak/>
        <w:t>Kirgizië (</w:t>
      </w:r>
      <w:r w:rsidRPr="003D0370">
        <w:rPr>
          <w:i/>
          <w:u w:val="single"/>
        </w:rPr>
        <w:t xml:space="preserve">Enhanced Partnership and Cooperation Agreement </w:t>
      </w:r>
      <w:r w:rsidRPr="003D0370">
        <w:rPr>
          <w:u w:val="single"/>
        </w:rPr>
        <w:t>(ECPA))</w:t>
      </w:r>
    </w:p>
    <w:p w:rsidRPr="003D0370" w:rsidR="00000FE9" w:rsidP="00000FE9" w:rsidRDefault="00000FE9" w14:paraId="6E18647D" w14:textId="6E8D4898">
      <w:pPr>
        <w:pStyle w:val="BodyText"/>
        <w:rPr>
          <w:lang w:val="nl-NL"/>
        </w:rPr>
      </w:pPr>
      <w:r w:rsidRPr="003D0370">
        <w:rPr>
          <w:lang w:val="nl-NL"/>
        </w:rPr>
        <w:t xml:space="preserve">De samenwerking tussen de EU en Kirgizië is vastgelegd in een </w:t>
      </w:r>
      <w:r w:rsidRPr="003D0370">
        <w:rPr>
          <w:i/>
          <w:lang w:val="nl-NL"/>
        </w:rPr>
        <w:t>Partnership and Cooperation Agreement</w:t>
      </w:r>
      <w:r w:rsidRPr="003D0370" w:rsidR="002F71BB">
        <w:rPr>
          <w:lang w:val="nl-NL"/>
        </w:rPr>
        <w:t xml:space="preserve"> (PCA), die</w:t>
      </w:r>
      <w:r w:rsidRPr="003D0370">
        <w:rPr>
          <w:lang w:val="nl-NL"/>
        </w:rPr>
        <w:t xml:space="preserve"> in 1999 in werking is getreden. Deze samenwerking omvat drie pilaren: een politieke dialoog, economische sa</w:t>
      </w:r>
      <w:bookmarkStart w:name="_GoBack" w:id="0"/>
      <w:bookmarkEnd w:id="0"/>
      <w:r w:rsidRPr="003D0370">
        <w:rPr>
          <w:lang w:val="nl-NL"/>
        </w:rPr>
        <w:t>menwerking (inclusief ontwikkelingshulp vanuit de EU) en samenwerking op een aantal concrete beleidsterreinen, zoals technologie en cultuur. Daarnaast heeft Kirgizië preferentiële markttoegang tot de EU op grond van het ‘</w:t>
      </w:r>
      <w:r w:rsidRPr="003D0370">
        <w:rPr>
          <w:i/>
          <w:lang w:val="nl-NL"/>
        </w:rPr>
        <w:t>APS+’</w:t>
      </w:r>
      <w:r w:rsidRPr="003D0370">
        <w:rPr>
          <w:lang w:val="nl-NL"/>
        </w:rPr>
        <w:t>-stelsel (Algemeen Preferentieel Stelsel). Op 2 juni 2017 heeft de Commissie een aanbeveling aan de Raad gedaan voor het openen van de onderhandelingen voor het moderniseren van het PCA, inclusief een voorstel voor een mandaat. Hierin stelt de Commissie voor om de samenwerking op alle drie de pijlers te verdiepen. De Raad heeft het onderhandelingsmandaat op 9 oktober 2017 goedgekeurd. Onderhandelingen over het handelsdeel zijn op 28 februari 2018 van start gegaan. Ten aanzien van handel zijn de onderhandelingsteksten gemodelleerd op het recent aangepaste akkoord met Kazachstan.</w:t>
      </w:r>
      <w:r w:rsidRPr="003D0370">
        <w:rPr>
          <w:rStyle w:val="FootnoteReference"/>
          <w:lang w:val="nl-NL"/>
        </w:rPr>
        <w:footnoteReference w:id="17"/>
      </w:r>
      <w:r w:rsidRPr="003D0370">
        <w:rPr>
          <w:lang w:val="nl-NL"/>
        </w:rPr>
        <w:t xml:space="preserve"> Er is geen sprake van tariefliberalisatie, omdat daarover alleen met de Euraziatische douane-unie als geheel onderhandeld kan worden. De zevende en laatste onderhandelingsronde vond plaats van 6 tot en met 8 juni 2019. Tijdens de EU–Centraal-Azië Ministeriële bijeenkomst hebben de EU en Kirgizië het politieke akkoord geparafeerd. De tekst van het handelsgedeelte van het akkoord wordt momenteel juridisch opgeschoond en vertaald.</w:t>
      </w:r>
      <w:r w:rsidRPr="003D0370">
        <w:rPr>
          <w:lang w:val="nl-NL"/>
        </w:rPr>
        <w:br/>
      </w:r>
    </w:p>
    <w:p w:rsidRPr="005A7E53" w:rsidR="00000FE9" w:rsidP="00000FE9" w:rsidRDefault="00000FE9" w14:paraId="38D4056C" w14:textId="77777777">
      <w:pPr>
        <w:rPr>
          <w:sz w:val="18"/>
          <w:szCs w:val="18"/>
          <w:lang w:val="nl-NL"/>
        </w:rPr>
      </w:pPr>
      <w:r w:rsidRPr="005A7E53">
        <w:rPr>
          <w:sz w:val="18"/>
          <w:szCs w:val="18"/>
          <w:u w:val="single"/>
          <w:lang w:val="nl-NL"/>
        </w:rPr>
        <w:t>Maleisië (</w:t>
      </w:r>
      <w:r w:rsidRPr="005A7E53">
        <w:rPr>
          <w:i/>
          <w:sz w:val="18"/>
          <w:szCs w:val="18"/>
          <w:u w:val="single"/>
          <w:lang w:val="nl-NL"/>
        </w:rPr>
        <w:t>Malaysia</w:t>
      </w:r>
      <w:r w:rsidRPr="005A7E53">
        <w:rPr>
          <w:sz w:val="18"/>
          <w:szCs w:val="18"/>
          <w:u w:val="single"/>
          <w:lang w:val="nl-NL"/>
        </w:rPr>
        <w:t>-</w:t>
      </w:r>
      <w:r w:rsidRPr="005A7E53">
        <w:rPr>
          <w:i/>
          <w:sz w:val="18"/>
          <w:szCs w:val="18"/>
          <w:u w:val="single"/>
          <w:lang w:val="nl-NL"/>
        </w:rPr>
        <w:t xml:space="preserve">EU FTA </w:t>
      </w:r>
      <w:r w:rsidRPr="005A7E53">
        <w:rPr>
          <w:sz w:val="18"/>
          <w:szCs w:val="18"/>
          <w:u w:val="single"/>
          <w:lang w:val="nl-NL"/>
        </w:rPr>
        <w:t>(MEUFTA))</w:t>
      </w:r>
      <w:r w:rsidRPr="005A7E53">
        <w:rPr>
          <w:sz w:val="18"/>
          <w:szCs w:val="18"/>
          <w:lang w:val="nl-NL"/>
        </w:rPr>
        <w:t>:</w:t>
      </w:r>
    </w:p>
    <w:p w:rsidRPr="005A7E53" w:rsidR="00000FE9" w:rsidP="00000FE9" w:rsidRDefault="00000FE9" w14:paraId="38E0DD5F" w14:textId="77777777">
      <w:pPr>
        <w:pStyle w:val="BodyText"/>
        <w:rPr>
          <w:lang w:val="nl-NL"/>
        </w:rPr>
      </w:pPr>
      <w:r w:rsidRPr="005A7E53">
        <w:rPr>
          <w:lang w:val="nl-NL"/>
        </w:rPr>
        <w:t>Onderhandelingen over een handelsakkoord tussen de EU en Maleisië zijn in oktober 2010 begonnen. Het ASEAN-mandaat uit 2007 lag hieraan ten grondslag. De zevende, en tot nu toe laatste ronde, vond plaats in april 2012. Op dit moment is nog geen zicht op hervatting van de onderhandelingen.</w:t>
      </w:r>
    </w:p>
    <w:p w:rsidRPr="00DA6067" w:rsidR="00000FE9" w:rsidP="00000FE9" w:rsidRDefault="00000FE9" w14:paraId="259956E3" w14:textId="77777777">
      <w:pPr>
        <w:pStyle w:val="BodyText"/>
        <w:rPr>
          <w:highlight w:val="yellow"/>
          <w:lang w:val="nl-NL"/>
        </w:rPr>
      </w:pPr>
    </w:p>
    <w:p w:rsidRPr="003D0370" w:rsidR="00000FE9" w:rsidP="00000FE9" w:rsidRDefault="00000FE9" w14:paraId="06A6FFFC" w14:textId="77777777">
      <w:pPr>
        <w:pStyle w:val="BodyText"/>
        <w:rPr>
          <w:lang w:val="nl-NL"/>
        </w:rPr>
      </w:pPr>
      <w:r w:rsidRPr="003D0370">
        <w:rPr>
          <w:u w:val="single"/>
          <w:lang w:val="nl-NL"/>
        </w:rPr>
        <w:t>Myanmar (</w:t>
      </w:r>
      <w:r w:rsidRPr="003D0370">
        <w:rPr>
          <w:i/>
          <w:u w:val="single"/>
          <w:lang w:val="nl-NL"/>
        </w:rPr>
        <w:t>EU-Myanmar Investment Protection Agreement</w:t>
      </w:r>
      <w:r w:rsidRPr="003D0370">
        <w:rPr>
          <w:u w:val="single"/>
          <w:lang w:val="nl-NL"/>
        </w:rPr>
        <w:t>)</w:t>
      </w:r>
      <w:r w:rsidRPr="003D0370">
        <w:rPr>
          <w:lang w:val="nl-NL"/>
        </w:rPr>
        <w:t>:</w:t>
      </w:r>
    </w:p>
    <w:p w:rsidRPr="003D0370" w:rsidR="00000FE9" w:rsidP="00000FE9" w:rsidRDefault="00000FE9" w14:paraId="4FB71EE4" w14:textId="26FEB8ED">
      <w:pPr>
        <w:pStyle w:val="BodyText"/>
        <w:rPr>
          <w:lang w:val="nl-NL"/>
        </w:rPr>
      </w:pPr>
      <w:r w:rsidRPr="003D0370">
        <w:rPr>
          <w:lang w:val="nl-NL"/>
        </w:rPr>
        <w:t xml:space="preserve">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 transparantie, duurzame ontwikkeling, investeringsbescherming en geschillenbeslechting. </w:t>
      </w:r>
      <w:r w:rsidRPr="003D0370" w:rsidR="00BC2904">
        <w:rPr>
          <w:lang w:val="nl-NL"/>
        </w:rPr>
        <w:t xml:space="preserve">Op </w:t>
      </w:r>
      <w:r w:rsidRPr="003D0370">
        <w:rPr>
          <w:lang w:val="nl-NL"/>
        </w:rPr>
        <w:t>26</w:t>
      </w:r>
      <w:r w:rsidRPr="003D0370" w:rsidR="00BC2904">
        <w:rPr>
          <w:lang w:val="nl-NL"/>
        </w:rPr>
        <w:t xml:space="preserve"> en </w:t>
      </w:r>
      <w:r w:rsidRPr="003D0370">
        <w:rPr>
          <w:lang w:val="nl-NL"/>
        </w:rPr>
        <w:t>27 april 2017 hebben technische besprekingen plaatsgevonden.</w:t>
      </w:r>
      <w:r w:rsidRPr="003D0370">
        <w:rPr>
          <w:rStyle w:val="FootnoteReference"/>
          <w:lang w:val="nl-NL"/>
        </w:rPr>
        <w:footnoteReference w:id="18"/>
      </w:r>
      <w:r w:rsidRPr="003D0370">
        <w:rPr>
          <w:lang w:val="nl-NL"/>
        </w:rPr>
        <w:t xml:space="preserve"> Er staat geen nadere onderhandelingsronde gepland.</w:t>
      </w:r>
    </w:p>
    <w:p w:rsidRPr="002C49DD" w:rsidR="00DB6D90" w:rsidP="00000FE9" w:rsidRDefault="00DB6D90" w14:paraId="15093138" w14:textId="77777777">
      <w:pPr>
        <w:pStyle w:val="BodyText"/>
        <w:rPr>
          <w:lang w:val="nl-NL"/>
        </w:rPr>
      </w:pPr>
    </w:p>
    <w:p w:rsidRPr="002C49DD" w:rsidR="00000FE9" w:rsidP="00000FE9" w:rsidRDefault="00000FE9" w14:paraId="23294C7B" w14:textId="77777777">
      <w:pPr>
        <w:rPr>
          <w:i/>
          <w:sz w:val="18"/>
          <w:szCs w:val="18"/>
          <w:u w:val="single"/>
        </w:rPr>
      </w:pPr>
      <w:r w:rsidRPr="002C49DD">
        <w:rPr>
          <w:sz w:val="18"/>
          <w:szCs w:val="18"/>
          <w:u w:val="single"/>
        </w:rPr>
        <w:t>Oezbekistan</w:t>
      </w:r>
      <w:r w:rsidRPr="002C49DD">
        <w:rPr>
          <w:i/>
          <w:sz w:val="18"/>
          <w:szCs w:val="18"/>
          <w:u w:val="single"/>
        </w:rPr>
        <w:t xml:space="preserve"> (Enhanced Partnership Cooperation Agreement)</w:t>
      </w:r>
    </w:p>
    <w:p w:rsidRPr="002C49DD" w:rsidR="00000FE9" w:rsidP="00000FE9" w:rsidRDefault="00000FE9" w14:paraId="0267CAE7" w14:textId="50A2C717">
      <w:pPr>
        <w:rPr>
          <w:sz w:val="18"/>
          <w:szCs w:val="18"/>
          <w:lang w:val="nl-NL"/>
        </w:rPr>
      </w:pPr>
      <w:r w:rsidRPr="002C49DD">
        <w:rPr>
          <w:sz w:val="18"/>
          <w:szCs w:val="18"/>
          <w:lang w:val="nl-NL"/>
        </w:rPr>
        <w:t xml:space="preserve">De samenwerking tussen de EU en Oezbekistan is vastgelegd in een </w:t>
      </w:r>
      <w:r w:rsidRPr="002C49DD">
        <w:rPr>
          <w:i/>
          <w:sz w:val="18"/>
          <w:szCs w:val="18"/>
          <w:lang w:val="nl-NL"/>
        </w:rPr>
        <w:t>Partnership and Cooperation Agreement</w:t>
      </w:r>
      <w:r w:rsidRPr="002C49DD">
        <w:rPr>
          <w:sz w:val="18"/>
          <w:szCs w:val="18"/>
          <w:lang w:val="nl-NL"/>
        </w:rPr>
        <w:t xml:space="preserve"> (PCA), dat in 1999 in werking is getreden. De EU en Oezbekistan onderhandelen over een overeenkomst ter modernisering en vervanging van het </w:t>
      </w:r>
      <w:r w:rsidRPr="002C49DD">
        <w:rPr>
          <w:i/>
          <w:sz w:val="18"/>
          <w:szCs w:val="18"/>
          <w:lang w:val="nl-NL"/>
        </w:rPr>
        <w:t>Partnership and Cooperation Agreement</w:t>
      </w:r>
      <w:r w:rsidRPr="002C49DD">
        <w:rPr>
          <w:sz w:val="18"/>
          <w:szCs w:val="18"/>
          <w:lang w:val="nl-NL"/>
        </w:rPr>
        <w:t xml:space="preserve"> (PCA) op basis van het mandaat dat de Raad op 16 juli 2018 heeft aangenomen. Op 23 november 2018 lanceerden de EU en Oezbekistan de onderhandelingen van het </w:t>
      </w:r>
      <w:r w:rsidRPr="002C49DD">
        <w:rPr>
          <w:i/>
          <w:sz w:val="18"/>
          <w:szCs w:val="18"/>
          <w:lang w:val="nl-NL"/>
        </w:rPr>
        <w:t>Enhanced Partnership Cooperation Agreement</w:t>
      </w:r>
      <w:r w:rsidRPr="002C49DD">
        <w:rPr>
          <w:sz w:val="18"/>
          <w:szCs w:val="18"/>
          <w:lang w:val="nl-NL"/>
        </w:rPr>
        <w:t xml:space="preserve"> formeel en marge van de EU-Centraal-Azië Ministeriële bijeenkomst. De meest recente en </w:t>
      </w:r>
      <w:r w:rsidRPr="002C49DD" w:rsidR="002C49DD">
        <w:rPr>
          <w:sz w:val="18"/>
          <w:szCs w:val="18"/>
          <w:lang w:val="nl-NL"/>
        </w:rPr>
        <w:t xml:space="preserve">achtste </w:t>
      </w:r>
      <w:r w:rsidRPr="002C49DD">
        <w:rPr>
          <w:sz w:val="18"/>
          <w:szCs w:val="18"/>
          <w:lang w:val="nl-NL"/>
        </w:rPr>
        <w:t>onde</w:t>
      </w:r>
      <w:r w:rsidRPr="002C49DD" w:rsidR="004A1467">
        <w:rPr>
          <w:sz w:val="18"/>
          <w:szCs w:val="18"/>
          <w:lang w:val="nl-NL"/>
        </w:rPr>
        <w:t>rhandelingsronde van het handels</w:t>
      </w:r>
      <w:r w:rsidRPr="002C49DD">
        <w:rPr>
          <w:sz w:val="18"/>
          <w:szCs w:val="18"/>
          <w:lang w:val="nl-NL"/>
        </w:rPr>
        <w:t xml:space="preserve">gedeelte vond plaats van </w:t>
      </w:r>
      <w:r w:rsidRPr="002C49DD" w:rsidR="002C49DD">
        <w:rPr>
          <w:sz w:val="18"/>
          <w:szCs w:val="18"/>
          <w:lang w:val="nl-NL"/>
        </w:rPr>
        <w:t>29</w:t>
      </w:r>
      <w:r w:rsidRPr="002C49DD" w:rsidR="004A1467">
        <w:rPr>
          <w:sz w:val="18"/>
          <w:szCs w:val="18"/>
          <w:lang w:val="nl-NL"/>
        </w:rPr>
        <w:t xml:space="preserve"> </w:t>
      </w:r>
      <w:r w:rsidRPr="002C49DD" w:rsidR="00694D49">
        <w:rPr>
          <w:sz w:val="18"/>
          <w:szCs w:val="18"/>
          <w:lang w:val="nl-NL"/>
        </w:rPr>
        <w:t>-</w:t>
      </w:r>
      <w:r w:rsidRPr="002C49DD" w:rsidR="002C49DD">
        <w:rPr>
          <w:sz w:val="18"/>
          <w:szCs w:val="18"/>
          <w:lang w:val="nl-NL"/>
        </w:rPr>
        <w:t>30 juni</w:t>
      </w:r>
      <w:r w:rsidRPr="002C49DD" w:rsidR="00694D49">
        <w:rPr>
          <w:sz w:val="18"/>
          <w:szCs w:val="18"/>
          <w:lang w:val="nl-NL"/>
        </w:rPr>
        <w:t xml:space="preserve"> 2021</w:t>
      </w:r>
      <w:r w:rsidR="002C49DD">
        <w:rPr>
          <w:rStyle w:val="FootnoteReference"/>
          <w:sz w:val="18"/>
          <w:szCs w:val="18"/>
          <w:lang w:val="nl-NL"/>
        </w:rPr>
        <w:footnoteReference w:id="19"/>
      </w:r>
      <w:r w:rsidRPr="002C49DD">
        <w:rPr>
          <w:sz w:val="18"/>
          <w:szCs w:val="18"/>
          <w:lang w:val="nl-NL"/>
        </w:rPr>
        <w:t xml:space="preserve">. </w:t>
      </w:r>
    </w:p>
    <w:p w:rsidRPr="00DA6067" w:rsidR="00000FE9" w:rsidP="00000FE9" w:rsidRDefault="00000FE9" w14:paraId="62DFA694" w14:textId="77777777">
      <w:pPr>
        <w:rPr>
          <w:sz w:val="18"/>
          <w:szCs w:val="18"/>
          <w:highlight w:val="yellow"/>
          <w:u w:val="single"/>
          <w:lang w:val="nl-NL"/>
        </w:rPr>
      </w:pPr>
    </w:p>
    <w:p w:rsidRPr="00696E84" w:rsidR="00000FE9" w:rsidP="00000FE9" w:rsidRDefault="00000FE9" w14:paraId="3906717B" w14:textId="77777777">
      <w:pPr>
        <w:rPr>
          <w:sz w:val="18"/>
          <w:szCs w:val="18"/>
        </w:rPr>
      </w:pPr>
      <w:r w:rsidRPr="00696E84">
        <w:rPr>
          <w:sz w:val="18"/>
          <w:szCs w:val="18"/>
          <w:u w:val="single"/>
        </w:rPr>
        <w:t>Singapore (</w:t>
      </w:r>
      <w:r w:rsidRPr="00696E84">
        <w:rPr>
          <w:i/>
          <w:sz w:val="18"/>
          <w:szCs w:val="18"/>
          <w:u w:val="single"/>
        </w:rPr>
        <w:t xml:space="preserve">European Union-Singapore Free Trade Agreement </w:t>
      </w:r>
      <w:r w:rsidRPr="00696E84">
        <w:rPr>
          <w:sz w:val="18"/>
          <w:szCs w:val="18"/>
          <w:u w:val="single"/>
        </w:rPr>
        <w:t>(EUSFTA))</w:t>
      </w:r>
      <w:r w:rsidRPr="00696E84">
        <w:rPr>
          <w:sz w:val="18"/>
          <w:szCs w:val="18"/>
        </w:rPr>
        <w:t>:</w:t>
      </w:r>
    </w:p>
    <w:p w:rsidRPr="00696E84" w:rsidR="00000FE9" w:rsidP="006F3D9A" w:rsidRDefault="007353B2" w14:paraId="473C53E0" w14:textId="74576A5C">
      <w:pPr>
        <w:widowControl/>
        <w:autoSpaceDE/>
        <w:autoSpaceDN/>
        <w:contextualSpacing/>
        <w:rPr>
          <w:sz w:val="18"/>
          <w:szCs w:val="18"/>
          <w:lang w:val="nl-NL"/>
        </w:rPr>
      </w:pPr>
      <w:r w:rsidRPr="00696E84">
        <w:rPr>
          <w:sz w:val="18"/>
          <w:szCs w:val="18"/>
          <w:lang w:val="nl-NL"/>
        </w:rPr>
        <w:t>De</w:t>
      </w:r>
      <w:r w:rsidRPr="00696E84" w:rsidR="00000FE9">
        <w:rPr>
          <w:sz w:val="18"/>
          <w:szCs w:val="18"/>
          <w:lang w:val="nl-NL"/>
        </w:rPr>
        <w:t xml:space="preserve"> EU-Singapore akkoord</w:t>
      </w:r>
      <w:r w:rsidRPr="00696E84">
        <w:rPr>
          <w:sz w:val="18"/>
          <w:szCs w:val="18"/>
          <w:lang w:val="nl-NL"/>
        </w:rPr>
        <w:t>en</w:t>
      </w:r>
      <w:r w:rsidRPr="00696E84" w:rsidR="00000FE9">
        <w:rPr>
          <w:sz w:val="18"/>
          <w:szCs w:val="18"/>
          <w:lang w:val="nl-NL"/>
        </w:rPr>
        <w:t xml:space="preserve"> </w:t>
      </w:r>
      <w:r w:rsidRPr="00696E84">
        <w:rPr>
          <w:sz w:val="18"/>
          <w:szCs w:val="18"/>
          <w:lang w:val="nl-NL"/>
        </w:rPr>
        <w:t>zijn</w:t>
      </w:r>
      <w:r w:rsidRPr="00696E84" w:rsidR="00000FE9">
        <w:rPr>
          <w:sz w:val="18"/>
          <w:szCs w:val="18"/>
          <w:lang w:val="nl-NL"/>
        </w:rPr>
        <w:t xml:space="preserve"> op 1</w:t>
      </w:r>
      <w:r w:rsidRPr="00696E84">
        <w:rPr>
          <w:sz w:val="18"/>
          <w:szCs w:val="18"/>
          <w:lang w:val="nl-NL"/>
        </w:rPr>
        <w:t>9</w:t>
      </w:r>
      <w:r w:rsidRPr="00696E84" w:rsidR="00000FE9">
        <w:rPr>
          <w:sz w:val="18"/>
          <w:szCs w:val="18"/>
          <w:lang w:val="nl-NL"/>
        </w:rPr>
        <w:t xml:space="preserve"> oktober 2018 ondertekend. </w:t>
      </w:r>
      <w:r w:rsidRPr="00696E84">
        <w:rPr>
          <w:sz w:val="18"/>
          <w:szCs w:val="18"/>
          <w:lang w:val="nl-NL"/>
        </w:rPr>
        <w:t>Het gaat om</w:t>
      </w:r>
      <w:r w:rsidRPr="00696E84" w:rsidR="00000FE9">
        <w:rPr>
          <w:sz w:val="18"/>
          <w:szCs w:val="18"/>
          <w:lang w:val="nl-NL"/>
        </w:rPr>
        <w:t xml:space="preserve"> een handelsakkoord en een investeringsakkoord. </w:t>
      </w:r>
      <w:r w:rsidRPr="00696E84">
        <w:rPr>
          <w:sz w:val="18"/>
          <w:szCs w:val="18"/>
          <w:lang w:val="nl-NL"/>
        </w:rPr>
        <w:t>De akkoorden</w:t>
      </w:r>
      <w:r w:rsidRPr="00696E84" w:rsidR="00000FE9">
        <w:rPr>
          <w:sz w:val="18"/>
          <w:szCs w:val="18"/>
          <w:lang w:val="nl-NL"/>
        </w:rPr>
        <w:t xml:space="preserve"> </w:t>
      </w:r>
      <w:r w:rsidRPr="00696E84" w:rsidR="0051235C">
        <w:rPr>
          <w:sz w:val="18"/>
          <w:szCs w:val="18"/>
          <w:lang w:val="nl-NL"/>
        </w:rPr>
        <w:t>vormen</w:t>
      </w:r>
      <w:r w:rsidRPr="00696E84" w:rsidR="009C3450">
        <w:rPr>
          <w:sz w:val="18"/>
          <w:szCs w:val="18"/>
          <w:lang w:val="nl-NL"/>
        </w:rPr>
        <w:t xml:space="preserve"> een</w:t>
      </w:r>
      <w:r w:rsidRPr="00696E84" w:rsidR="00000FE9">
        <w:rPr>
          <w:sz w:val="18"/>
          <w:szCs w:val="18"/>
          <w:lang w:val="nl-NL"/>
        </w:rPr>
        <w:t xml:space="preserve"> belangrijke kans voor het bedrijfsleven en z</w:t>
      </w:r>
      <w:r w:rsidRPr="00696E84">
        <w:rPr>
          <w:sz w:val="18"/>
          <w:szCs w:val="18"/>
          <w:lang w:val="nl-NL"/>
        </w:rPr>
        <w:t>u</w:t>
      </w:r>
      <w:r w:rsidRPr="00696E84" w:rsidR="00000FE9">
        <w:rPr>
          <w:sz w:val="18"/>
          <w:szCs w:val="18"/>
          <w:lang w:val="nl-NL"/>
        </w:rPr>
        <w:t>l</w:t>
      </w:r>
      <w:r w:rsidRPr="00696E84">
        <w:rPr>
          <w:sz w:val="18"/>
          <w:szCs w:val="18"/>
          <w:lang w:val="nl-NL"/>
        </w:rPr>
        <w:t>len</w:t>
      </w:r>
      <w:r w:rsidRPr="00696E84" w:rsidR="00000FE9">
        <w:rPr>
          <w:sz w:val="18"/>
          <w:szCs w:val="18"/>
          <w:lang w:val="nl-NL"/>
        </w:rPr>
        <w:t xml:space="preserve"> tevens een positieve impuls geven aan de bilaterale relatie tussen de EU en Singapore. Singapore heeft, net als Nederland, een bijzonder open economie. Singapore behoort tot de twintig belangrijkste exportmarkten van Nederland. </w:t>
      </w:r>
      <w:r w:rsidRPr="00696E84" w:rsidR="003D07B8">
        <w:rPr>
          <w:sz w:val="18"/>
          <w:szCs w:val="18"/>
          <w:lang w:val="nl-NL"/>
        </w:rPr>
        <w:t>Het handels</w:t>
      </w:r>
      <w:r w:rsidRPr="00696E84" w:rsidR="009F6F9E">
        <w:rPr>
          <w:sz w:val="18"/>
          <w:szCs w:val="18"/>
          <w:lang w:val="nl-NL"/>
        </w:rPr>
        <w:t xml:space="preserve">akkoord </w:t>
      </w:r>
      <w:r w:rsidRPr="00696E84" w:rsidR="003D07B8">
        <w:rPr>
          <w:sz w:val="18"/>
          <w:szCs w:val="18"/>
          <w:lang w:val="nl-NL"/>
        </w:rPr>
        <w:t xml:space="preserve">is op 21 november 2019 in werking getreden. Bij </w:t>
      </w:r>
      <w:r w:rsidRPr="00696E84" w:rsidR="006F3D9A">
        <w:rPr>
          <w:sz w:val="18"/>
          <w:szCs w:val="18"/>
          <w:lang w:val="nl-NL"/>
        </w:rPr>
        <w:t xml:space="preserve">de viering van </w:t>
      </w:r>
      <w:r w:rsidRPr="00696E84" w:rsidR="003D07B8">
        <w:rPr>
          <w:sz w:val="18"/>
          <w:szCs w:val="18"/>
          <w:lang w:val="nl-NL"/>
        </w:rPr>
        <w:t>het 1-jarig bestaan van het verdrag tekenden de EU en S</w:t>
      </w:r>
      <w:r w:rsidRPr="00696E84" w:rsidR="006F3D9A">
        <w:rPr>
          <w:sz w:val="18"/>
          <w:szCs w:val="18"/>
          <w:lang w:val="nl-NL"/>
        </w:rPr>
        <w:t>ingapore</w:t>
      </w:r>
      <w:r w:rsidRPr="00696E84" w:rsidR="003D07B8">
        <w:rPr>
          <w:sz w:val="18"/>
          <w:szCs w:val="18"/>
          <w:lang w:val="nl-NL"/>
        </w:rPr>
        <w:t xml:space="preserve"> </w:t>
      </w:r>
      <w:r w:rsidRPr="00696E84">
        <w:rPr>
          <w:sz w:val="18"/>
          <w:szCs w:val="18"/>
          <w:lang w:val="nl-NL"/>
        </w:rPr>
        <w:t xml:space="preserve">een </w:t>
      </w:r>
      <w:r w:rsidRPr="00696E84" w:rsidR="006F3D9A">
        <w:rPr>
          <w:sz w:val="18"/>
          <w:szCs w:val="18"/>
          <w:lang w:val="nl-NL"/>
        </w:rPr>
        <w:t>samenwerkingsovereenkomst “</w:t>
      </w:r>
      <w:r w:rsidRPr="00696E84" w:rsidR="006F3D9A">
        <w:rPr>
          <w:i/>
          <w:sz w:val="18"/>
          <w:szCs w:val="18"/>
          <w:lang w:val="nl-NL"/>
        </w:rPr>
        <w:t>A</w:t>
      </w:r>
      <w:r w:rsidRPr="00696E84" w:rsidR="003D07B8">
        <w:rPr>
          <w:i/>
          <w:sz w:val="18"/>
          <w:szCs w:val="18"/>
          <w:lang w:val="nl-NL"/>
        </w:rPr>
        <w:t>dministrative arrangement on cluster cooperation</w:t>
      </w:r>
      <w:r w:rsidRPr="00696E84" w:rsidR="0051235C">
        <w:rPr>
          <w:sz w:val="18"/>
          <w:szCs w:val="18"/>
          <w:lang w:val="nl-NL"/>
        </w:rPr>
        <w:t>”</w:t>
      </w:r>
      <w:r w:rsidRPr="00696E84" w:rsidR="003D07B8">
        <w:rPr>
          <w:sz w:val="18"/>
          <w:szCs w:val="18"/>
          <w:lang w:val="nl-NL"/>
        </w:rPr>
        <w:t>, een instrument voor het benut</w:t>
      </w:r>
      <w:r w:rsidRPr="00696E84" w:rsidR="006F3D9A">
        <w:rPr>
          <w:sz w:val="18"/>
          <w:szCs w:val="18"/>
          <w:lang w:val="nl-NL"/>
        </w:rPr>
        <w:t>ten van de voordelen van EUSFTA door middel van</w:t>
      </w:r>
      <w:r w:rsidRPr="00696E84" w:rsidR="003D07B8">
        <w:rPr>
          <w:sz w:val="18"/>
          <w:szCs w:val="18"/>
          <w:lang w:val="nl-NL"/>
        </w:rPr>
        <w:t xml:space="preserve"> regelmatige uitwisselingen en </w:t>
      </w:r>
      <w:r w:rsidRPr="00696E84" w:rsidR="003D07B8">
        <w:rPr>
          <w:i/>
          <w:sz w:val="18"/>
          <w:szCs w:val="18"/>
          <w:lang w:val="nl-NL"/>
        </w:rPr>
        <w:t>business matchmaking</w:t>
      </w:r>
      <w:r w:rsidRPr="00696E84" w:rsidR="003D07B8">
        <w:rPr>
          <w:sz w:val="18"/>
          <w:szCs w:val="18"/>
          <w:lang w:val="nl-NL"/>
        </w:rPr>
        <w:t xml:space="preserve"> voor </w:t>
      </w:r>
      <w:r w:rsidRPr="00696E84" w:rsidR="006F3D9A">
        <w:rPr>
          <w:sz w:val="18"/>
          <w:szCs w:val="18"/>
          <w:lang w:val="nl-NL"/>
        </w:rPr>
        <w:t>Singaporese</w:t>
      </w:r>
      <w:r w:rsidRPr="00696E84" w:rsidR="003D07B8">
        <w:rPr>
          <w:sz w:val="18"/>
          <w:szCs w:val="18"/>
          <w:lang w:val="nl-NL"/>
        </w:rPr>
        <w:t xml:space="preserve"> en Europese bedrijven. </w:t>
      </w:r>
      <w:r w:rsidRPr="00696E84" w:rsidR="00000FE9">
        <w:rPr>
          <w:sz w:val="18"/>
          <w:szCs w:val="18"/>
          <w:lang w:val="nl-NL"/>
        </w:rPr>
        <w:t>Het investerings</w:t>
      </w:r>
      <w:r w:rsidRPr="00696E84" w:rsidR="009F6F9E">
        <w:rPr>
          <w:sz w:val="18"/>
          <w:szCs w:val="18"/>
          <w:lang w:val="nl-NL"/>
        </w:rPr>
        <w:t xml:space="preserve">akkoord </w:t>
      </w:r>
      <w:r w:rsidRPr="00696E84" w:rsidR="00000FE9">
        <w:rPr>
          <w:sz w:val="18"/>
          <w:szCs w:val="18"/>
          <w:lang w:val="nl-NL"/>
        </w:rPr>
        <w:t xml:space="preserve">bevat alle vernieuwende elementen van de EU-inzet voor investeringsbescherming. Het EU-investeringsakkoord met Singapore zal het bestaande investeringsakkoord tussen Nederland en Singapore vervangen. Het Europees Parlement heeft het EU-handelsakkoord en het EU-investeringsakkoord op 13 februari 2019 </w:t>
      </w:r>
      <w:r w:rsidRPr="00696E84" w:rsidR="00000FE9">
        <w:rPr>
          <w:sz w:val="18"/>
          <w:szCs w:val="18"/>
          <w:lang w:val="nl-NL"/>
        </w:rPr>
        <w:lastRenderedPageBreak/>
        <w:t xml:space="preserve">goedgekeurd. Het investeringsakkoord is een gemengd akkoord en kan pas in werking treden nadat het is geratificeerd door alle EU-lidstaten. </w:t>
      </w:r>
      <w:r w:rsidRPr="00696E84" w:rsidR="005A6ECD">
        <w:rPr>
          <w:sz w:val="18"/>
          <w:szCs w:val="18"/>
          <w:lang w:val="nl-NL"/>
        </w:rPr>
        <w:t>In Nederland is de goedkeuring van het investeringsakkoord in voorbereiding.</w:t>
      </w:r>
      <w:r w:rsidRPr="00696E84" w:rsidR="00000FE9">
        <w:rPr>
          <w:sz w:val="18"/>
          <w:szCs w:val="18"/>
          <w:lang w:val="nl-NL"/>
        </w:rPr>
        <w:t xml:space="preserve"> </w:t>
      </w:r>
    </w:p>
    <w:p w:rsidRPr="00DA6067" w:rsidR="00000FE9" w:rsidP="00000FE9" w:rsidRDefault="00000FE9" w14:paraId="706A8A32" w14:textId="77777777">
      <w:pPr>
        <w:contextualSpacing/>
        <w:rPr>
          <w:sz w:val="18"/>
          <w:szCs w:val="18"/>
          <w:highlight w:val="yellow"/>
          <w:lang w:val="nl-NL"/>
        </w:rPr>
      </w:pPr>
    </w:p>
    <w:p w:rsidRPr="003D0370" w:rsidR="00000FE9" w:rsidP="00000FE9" w:rsidRDefault="00000FE9" w14:paraId="4244877E" w14:textId="77777777">
      <w:pPr>
        <w:widowControl/>
        <w:autoSpaceDE/>
        <w:autoSpaceDN/>
        <w:contextualSpacing/>
        <w:rPr>
          <w:sz w:val="18"/>
          <w:szCs w:val="18"/>
        </w:rPr>
      </w:pPr>
      <w:r w:rsidRPr="003D0370">
        <w:rPr>
          <w:sz w:val="18"/>
          <w:szCs w:val="18"/>
          <w:u w:val="single"/>
        </w:rPr>
        <w:t>Syrië (</w:t>
      </w:r>
      <w:r w:rsidRPr="003D0370">
        <w:rPr>
          <w:i/>
          <w:sz w:val="18"/>
          <w:szCs w:val="18"/>
          <w:u w:val="single"/>
        </w:rPr>
        <w:t>Euro-Mediterranean Agreement Establishing an Association</w:t>
      </w:r>
      <w:r w:rsidRPr="003D0370">
        <w:rPr>
          <w:sz w:val="18"/>
          <w:szCs w:val="18"/>
          <w:u w:val="single"/>
        </w:rPr>
        <w:t>)</w:t>
      </w:r>
      <w:r w:rsidRPr="003D0370">
        <w:rPr>
          <w:sz w:val="18"/>
          <w:szCs w:val="18"/>
        </w:rPr>
        <w:t>:</w:t>
      </w:r>
    </w:p>
    <w:p w:rsidRPr="003D0370" w:rsidR="00000FE9" w:rsidP="00000FE9" w:rsidRDefault="00000FE9" w14:paraId="5A0EB2D5" w14:textId="77777777">
      <w:pPr>
        <w:pStyle w:val="BodyText"/>
        <w:rPr>
          <w:lang w:val="nl-NL"/>
        </w:rPr>
      </w:pPr>
      <w:r w:rsidRPr="003D0370">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Pr="00DA6067" w:rsidR="00000FE9" w:rsidP="00000FE9" w:rsidRDefault="00000FE9" w14:paraId="00EF68DA" w14:textId="77777777">
      <w:pPr>
        <w:rPr>
          <w:sz w:val="18"/>
          <w:szCs w:val="18"/>
          <w:highlight w:val="yellow"/>
          <w:u w:val="single"/>
          <w:lang w:val="nl-NL"/>
        </w:rPr>
      </w:pPr>
    </w:p>
    <w:p w:rsidRPr="002E339F" w:rsidR="00000FE9" w:rsidP="00000FE9" w:rsidRDefault="00000FE9" w14:paraId="7B963401" w14:textId="77777777">
      <w:pPr>
        <w:rPr>
          <w:sz w:val="18"/>
          <w:szCs w:val="18"/>
          <w:lang w:val="nl-NL"/>
        </w:rPr>
      </w:pPr>
      <w:r w:rsidRPr="002E339F">
        <w:rPr>
          <w:sz w:val="18"/>
          <w:szCs w:val="18"/>
          <w:u w:val="single"/>
          <w:lang w:val="nl-NL"/>
        </w:rPr>
        <w:t>Thailand (</w:t>
      </w:r>
      <w:r w:rsidRPr="002E339F">
        <w:rPr>
          <w:i/>
          <w:sz w:val="18"/>
          <w:szCs w:val="18"/>
          <w:u w:val="single"/>
          <w:lang w:val="nl-NL"/>
        </w:rPr>
        <w:t>EU</w:t>
      </w:r>
      <w:r w:rsidRPr="002E339F">
        <w:rPr>
          <w:sz w:val="18"/>
          <w:szCs w:val="18"/>
          <w:u w:val="single"/>
          <w:lang w:val="nl-NL"/>
        </w:rPr>
        <w:t>-</w:t>
      </w:r>
      <w:r w:rsidRPr="002E339F">
        <w:rPr>
          <w:i/>
          <w:sz w:val="18"/>
          <w:szCs w:val="18"/>
          <w:u w:val="single"/>
          <w:lang w:val="nl-NL"/>
        </w:rPr>
        <w:t>Thailand Free Trade Agreement</w:t>
      </w:r>
      <w:r w:rsidRPr="002E339F">
        <w:rPr>
          <w:sz w:val="18"/>
          <w:szCs w:val="18"/>
          <w:u w:val="single"/>
          <w:lang w:val="nl-NL"/>
        </w:rPr>
        <w:t>)</w:t>
      </w:r>
      <w:r w:rsidRPr="002E339F">
        <w:rPr>
          <w:sz w:val="18"/>
          <w:szCs w:val="18"/>
          <w:lang w:val="nl-NL"/>
        </w:rPr>
        <w:t>:</w:t>
      </w:r>
    </w:p>
    <w:p w:rsidRPr="009A1947" w:rsidR="00000FE9" w:rsidP="00000FE9" w:rsidRDefault="00000FE9" w14:paraId="4C560F23" w14:textId="50CDD56C">
      <w:pPr>
        <w:rPr>
          <w:sz w:val="18"/>
          <w:szCs w:val="18"/>
          <w:lang w:val="nl-NL"/>
        </w:rPr>
      </w:pPr>
      <w:r w:rsidRPr="009A1947">
        <w:rPr>
          <w:sz w:val="18"/>
          <w:szCs w:val="18"/>
          <w:lang w:val="nl-NL"/>
        </w:rPr>
        <w:t xml:space="preserve">In februari 2013 zijn de onderhandelingen tussen de EU en Thailand gestart. Het ASEAN-mandaat uit 2007 vormt hiervoor de basis. De vierde onderhandelingsronde vond plaats van 8 tot en met 10 april 2014. Na de militaire coup in mei 2014 zijn de onderhandelingen stilgelegd. Conform de Raadsconclusies van 2017 zouden de onderhandelingen slechts worden heropend op het moment dat er een democratisch gekozen regering aan de macht is. Op 24 maart 2019 zijn er in Thailand democratische verkiezingen gehouden. Naar aanleiding hiervan </w:t>
      </w:r>
      <w:r w:rsidRPr="009A1947" w:rsidR="009A1947">
        <w:rPr>
          <w:sz w:val="18"/>
          <w:szCs w:val="18"/>
          <w:lang w:val="nl-NL"/>
        </w:rPr>
        <w:t>stelde</w:t>
      </w:r>
      <w:r w:rsidRPr="009A1947">
        <w:rPr>
          <w:sz w:val="18"/>
          <w:szCs w:val="18"/>
          <w:lang w:val="nl-NL"/>
        </w:rPr>
        <w:t xml:space="preserve"> de Raad</w:t>
      </w:r>
      <w:r w:rsidR="004E64FE">
        <w:rPr>
          <w:sz w:val="18"/>
          <w:szCs w:val="18"/>
          <w:lang w:val="nl-NL"/>
        </w:rPr>
        <w:t xml:space="preserve"> in</w:t>
      </w:r>
      <w:r w:rsidRPr="009A1947">
        <w:rPr>
          <w:sz w:val="18"/>
          <w:szCs w:val="18"/>
          <w:lang w:val="nl-NL"/>
        </w:rPr>
        <w:t xml:space="preserve"> </w:t>
      </w:r>
      <w:r w:rsidR="004E64FE">
        <w:rPr>
          <w:sz w:val="18"/>
          <w:szCs w:val="18"/>
          <w:lang w:val="nl-NL"/>
        </w:rPr>
        <w:t xml:space="preserve">haar </w:t>
      </w:r>
      <w:r w:rsidRPr="009A1947">
        <w:rPr>
          <w:sz w:val="18"/>
          <w:szCs w:val="18"/>
          <w:lang w:val="nl-NL"/>
        </w:rPr>
        <w:t>conclusies van 14 oktober 2019</w:t>
      </w:r>
      <w:r w:rsidRPr="009A1947" w:rsidR="00285BE0">
        <w:rPr>
          <w:rStyle w:val="FootnoteReference"/>
          <w:sz w:val="18"/>
          <w:szCs w:val="18"/>
          <w:lang w:val="nl-NL"/>
        </w:rPr>
        <w:footnoteReference w:id="20"/>
      </w:r>
      <w:r w:rsidRPr="009A1947">
        <w:rPr>
          <w:sz w:val="18"/>
          <w:szCs w:val="18"/>
          <w:lang w:val="nl-NL"/>
        </w:rPr>
        <w:t xml:space="preserve"> dat de nodige stappen moeten worden gezet om de </w:t>
      </w:r>
      <w:r w:rsidRPr="009A1947">
        <w:rPr>
          <w:rStyle w:val="Strong"/>
          <w:b w:val="0"/>
          <w:sz w:val="18"/>
          <w:szCs w:val="18"/>
          <w:lang w:val="nl-NL"/>
        </w:rPr>
        <w:t xml:space="preserve">onderhandelingen over een </w:t>
      </w:r>
      <w:r w:rsidRPr="009A1947" w:rsidR="009A1947">
        <w:rPr>
          <w:rStyle w:val="Strong"/>
          <w:b w:val="0"/>
          <w:sz w:val="18"/>
          <w:szCs w:val="18"/>
          <w:lang w:val="nl-NL"/>
        </w:rPr>
        <w:t xml:space="preserve">ambitieus </w:t>
      </w:r>
      <w:r w:rsidRPr="009A1947">
        <w:rPr>
          <w:rStyle w:val="Strong"/>
          <w:b w:val="0"/>
          <w:sz w:val="18"/>
          <w:szCs w:val="18"/>
          <w:lang w:val="nl-NL"/>
        </w:rPr>
        <w:t xml:space="preserve">en alomvattend </w:t>
      </w:r>
      <w:r w:rsidRPr="009A1947" w:rsidR="009A1947">
        <w:rPr>
          <w:rStyle w:val="Strong"/>
          <w:b w:val="0"/>
          <w:sz w:val="18"/>
          <w:szCs w:val="18"/>
          <w:lang w:val="nl-NL"/>
        </w:rPr>
        <w:t xml:space="preserve">handelsakkoord </w:t>
      </w:r>
      <w:r w:rsidRPr="009A1947">
        <w:rPr>
          <w:rStyle w:val="Strong"/>
          <w:b w:val="0"/>
          <w:sz w:val="18"/>
          <w:szCs w:val="18"/>
          <w:lang w:val="nl-NL"/>
        </w:rPr>
        <w:t>te hervatten</w:t>
      </w:r>
      <w:r w:rsidRPr="009A1947">
        <w:rPr>
          <w:sz w:val="18"/>
          <w:szCs w:val="18"/>
          <w:lang w:val="nl-NL"/>
        </w:rPr>
        <w:t>.</w:t>
      </w:r>
      <w:r w:rsidRPr="009A1947">
        <w:rPr>
          <w:b/>
          <w:sz w:val="18"/>
          <w:szCs w:val="18"/>
          <w:lang w:val="nl-NL"/>
        </w:rPr>
        <w:t xml:space="preserve"> </w:t>
      </w:r>
      <w:r w:rsidRPr="009A1947">
        <w:rPr>
          <w:sz w:val="18"/>
          <w:szCs w:val="18"/>
          <w:lang w:val="nl-NL"/>
        </w:rPr>
        <w:t>Nederland heeft tijdens de RBZ/Handel in november 2019 gesteld dat de EU zou moeten overwegen opnieuw naar de onderhandelingsinzet te kijken. Het is nog niet bekend of en wanneer de onderhandelingen met Thailand daadwerkelijk hervat zullen worden.</w:t>
      </w:r>
    </w:p>
    <w:p w:rsidRPr="00DA6067" w:rsidR="00000FE9" w:rsidP="00000FE9" w:rsidRDefault="00000FE9" w14:paraId="1C8F9200" w14:textId="77777777">
      <w:pPr>
        <w:rPr>
          <w:sz w:val="18"/>
          <w:szCs w:val="18"/>
          <w:highlight w:val="yellow"/>
          <w:lang w:val="nl-NL"/>
        </w:rPr>
      </w:pPr>
    </w:p>
    <w:p w:rsidRPr="006C3C83" w:rsidR="00000FE9" w:rsidP="00000FE9" w:rsidRDefault="00000FE9" w14:paraId="4AE0CD23" w14:textId="1F3A177D">
      <w:pPr>
        <w:rPr>
          <w:sz w:val="18"/>
          <w:szCs w:val="18"/>
        </w:rPr>
      </w:pPr>
      <w:r w:rsidRPr="006C3C83">
        <w:rPr>
          <w:sz w:val="18"/>
          <w:szCs w:val="18"/>
          <w:u w:val="single"/>
        </w:rPr>
        <w:t>Vietnam (</w:t>
      </w:r>
      <w:r w:rsidRPr="006C3C83">
        <w:rPr>
          <w:i/>
          <w:sz w:val="18"/>
          <w:szCs w:val="18"/>
          <w:u w:val="single"/>
        </w:rPr>
        <w:t>EU-Vietnam Free Trade Agreement</w:t>
      </w:r>
      <w:r w:rsidRPr="006C3C83">
        <w:rPr>
          <w:sz w:val="18"/>
          <w:szCs w:val="18"/>
          <w:u w:val="single"/>
        </w:rPr>
        <w:t>)</w:t>
      </w:r>
      <w:r w:rsidRPr="006C3C83">
        <w:rPr>
          <w:sz w:val="18"/>
          <w:szCs w:val="18"/>
        </w:rPr>
        <w:t>:</w:t>
      </w:r>
    </w:p>
    <w:p w:rsidRPr="006C3C83" w:rsidR="00000FE9" w:rsidP="00000FE9" w:rsidRDefault="00DB6D90" w14:paraId="739AE96B" w14:textId="01A2CFC8">
      <w:pPr>
        <w:contextualSpacing/>
        <w:rPr>
          <w:rFonts w:asciiTheme="minorHAnsi" w:hAnsiTheme="minorHAnsi" w:cstheme="minorHAnsi"/>
          <w:sz w:val="24"/>
          <w:szCs w:val="24"/>
          <w:lang w:val="nl-NL"/>
        </w:rPr>
      </w:pPr>
      <w:r w:rsidRPr="006C3C83">
        <w:rPr>
          <w:sz w:val="18"/>
          <w:szCs w:val="18"/>
          <w:lang w:val="nl-NL"/>
        </w:rPr>
        <w:t>P</w:t>
      </w:r>
      <w:r w:rsidRPr="006C3C83" w:rsidR="00000FE9">
        <w:rPr>
          <w:sz w:val="18"/>
          <w:szCs w:val="18"/>
          <w:lang w:val="nl-NL"/>
        </w:rPr>
        <w:t xml:space="preserve">er 1 augustus 2020 </w:t>
      </w:r>
      <w:r w:rsidRPr="006C3C83">
        <w:rPr>
          <w:sz w:val="18"/>
          <w:szCs w:val="18"/>
          <w:lang w:val="nl-NL"/>
        </w:rPr>
        <w:t xml:space="preserve">is het EU-Vietnam handelsakkoord </w:t>
      </w:r>
      <w:r w:rsidRPr="006C3C83" w:rsidR="00000FE9">
        <w:rPr>
          <w:sz w:val="18"/>
          <w:szCs w:val="18"/>
          <w:lang w:val="nl-NL"/>
        </w:rPr>
        <w:t xml:space="preserve">in werking getreden. </w:t>
      </w:r>
      <w:r w:rsidRPr="006C3C83">
        <w:rPr>
          <w:sz w:val="18"/>
          <w:szCs w:val="18"/>
          <w:lang w:val="nl-NL"/>
        </w:rPr>
        <w:t xml:space="preserve">Daarnaast is op 30 juni 2019 een investeringsakkoord tussen de EU en Vietnam ondertekend. Dit verdrag is op 12 februari 2020 door het Europees Parlement goedgekeurd. </w:t>
      </w:r>
      <w:r w:rsidRPr="006C3C83" w:rsidR="00000FE9">
        <w:rPr>
          <w:sz w:val="18"/>
          <w:szCs w:val="18"/>
          <w:lang w:val="nl-NL"/>
        </w:rPr>
        <w:t>Alvorens het investeringsakkoord in werking kan treden, dient het door de nationale parlementen van de EU-lidstaten te worden goedgekeurd.</w:t>
      </w:r>
      <w:r w:rsidRPr="006C3C83" w:rsidR="004E139F">
        <w:rPr>
          <w:sz w:val="18"/>
          <w:szCs w:val="18"/>
          <w:lang w:val="nl-NL"/>
        </w:rPr>
        <w:t xml:space="preserve"> </w:t>
      </w:r>
      <w:r w:rsidRPr="006C3C83">
        <w:rPr>
          <w:sz w:val="18"/>
          <w:szCs w:val="18"/>
          <w:lang w:val="nl-NL"/>
        </w:rPr>
        <w:t xml:space="preserve">In Nederland is de goedkeuring van het investeringsakkoord in voorbereiding. </w:t>
      </w:r>
      <w:r w:rsidRPr="006C3C83" w:rsidR="00000FE9">
        <w:rPr>
          <w:sz w:val="18"/>
          <w:szCs w:val="18"/>
          <w:lang w:val="nl-NL"/>
        </w:rPr>
        <w:t xml:space="preserve">Het investeringsakkoord lijkt sterk op het investeringsakkoord van het EU-Singapore akkoord. Dit betekent dat het investeringsakkoord de gemoderniseerde EU-inzet voor investeringsbescherming bevat, zoals het </w:t>
      </w:r>
      <w:r w:rsidRPr="006C3C83" w:rsidR="00000FE9">
        <w:rPr>
          <w:i/>
          <w:sz w:val="18"/>
          <w:szCs w:val="18"/>
          <w:lang w:val="nl-NL"/>
        </w:rPr>
        <w:t>Investment Court System</w:t>
      </w:r>
      <w:r w:rsidRPr="006C3C83" w:rsidR="00000FE9">
        <w:rPr>
          <w:sz w:val="18"/>
          <w:szCs w:val="18"/>
          <w:lang w:val="nl-NL"/>
        </w:rPr>
        <w:t>.</w:t>
      </w:r>
    </w:p>
    <w:p w:rsidRPr="00DA6067" w:rsidR="00000FE9" w:rsidP="00000FE9" w:rsidRDefault="00000FE9" w14:paraId="18F99666" w14:textId="77777777">
      <w:pPr>
        <w:pStyle w:val="ListParagraph"/>
        <w:tabs>
          <w:tab w:val="left" w:pos="489"/>
        </w:tabs>
        <w:ind w:left="0" w:firstLine="0"/>
        <w:rPr>
          <w:sz w:val="18"/>
          <w:szCs w:val="18"/>
          <w:highlight w:val="yellow"/>
          <w:lang w:val="nl-NL"/>
        </w:rPr>
      </w:pPr>
    </w:p>
    <w:p w:rsidRPr="003D0370" w:rsidR="00000FE9" w:rsidP="00000FE9" w:rsidRDefault="00000FE9" w14:paraId="3A0B8984" w14:textId="77777777">
      <w:pPr>
        <w:pStyle w:val="ListParagraph"/>
        <w:numPr>
          <w:ilvl w:val="1"/>
          <w:numId w:val="2"/>
        </w:numPr>
        <w:tabs>
          <w:tab w:val="left" w:pos="489"/>
        </w:tabs>
        <w:ind w:left="0" w:firstLine="0"/>
        <w:rPr>
          <w:sz w:val="18"/>
          <w:szCs w:val="18"/>
          <w:lang w:val="es-ES"/>
        </w:rPr>
      </w:pPr>
      <w:r w:rsidRPr="003D0370">
        <w:rPr>
          <w:i/>
          <w:sz w:val="18"/>
          <w:szCs w:val="18"/>
          <w:u w:val="single"/>
        </w:rPr>
        <w:t>Europa:</w:t>
      </w:r>
    </w:p>
    <w:p w:rsidRPr="00FC4A67" w:rsidR="00000FE9" w:rsidP="00000FE9" w:rsidRDefault="00000FE9" w14:paraId="67A76B36" w14:textId="77777777">
      <w:pPr>
        <w:pStyle w:val="ListParagraph"/>
        <w:tabs>
          <w:tab w:val="left" w:pos="489"/>
        </w:tabs>
        <w:ind w:left="0" w:firstLine="0"/>
        <w:rPr>
          <w:sz w:val="18"/>
          <w:szCs w:val="18"/>
          <w:lang w:val="es-ES"/>
        </w:rPr>
      </w:pPr>
      <w:r w:rsidRPr="00DA6067">
        <w:rPr>
          <w:sz w:val="18"/>
          <w:szCs w:val="18"/>
          <w:highlight w:val="yellow"/>
          <w:lang w:val="es-ES"/>
        </w:rPr>
        <w:br/>
      </w:r>
      <w:r w:rsidRPr="00FC4A67">
        <w:rPr>
          <w:sz w:val="18"/>
          <w:szCs w:val="18"/>
          <w:u w:val="single"/>
          <w:lang w:val="es-ES"/>
        </w:rPr>
        <w:t xml:space="preserve">Andorra, Monaco en San Marino (gezamenlijk </w:t>
      </w:r>
      <w:r w:rsidRPr="00FC4A67">
        <w:rPr>
          <w:i/>
          <w:sz w:val="18"/>
          <w:szCs w:val="18"/>
          <w:u w:val="single"/>
          <w:lang w:val="es-ES"/>
        </w:rPr>
        <w:t>Association Agreement</w:t>
      </w:r>
      <w:r w:rsidRPr="00FC4A67">
        <w:rPr>
          <w:sz w:val="18"/>
          <w:szCs w:val="18"/>
          <w:u w:val="single"/>
          <w:lang w:val="es-ES"/>
        </w:rPr>
        <w:t>)</w:t>
      </w:r>
      <w:r w:rsidRPr="00FC4A67">
        <w:rPr>
          <w:sz w:val="18"/>
          <w:szCs w:val="18"/>
          <w:lang w:val="es-ES"/>
        </w:rPr>
        <w:t>:</w:t>
      </w:r>
    </w:p>
    <w:p w:rsidRPr="00DA6067" w:rsidR="00000FE9" w:rsidP="00000FE9" w:rsidRDefault="00000FE9" w14:paraId="1CC8E3CA" w14:textId="77777777">
      <w:pPr>
        <w:pStyle w:val="BodyText"/>
        <w:rPr>
          <w:highlight w:val="yellow"/>
          <w:lang w:val="nl-NL"/>
        </w:rPr>
      </w:pPr>
      <w:r w:rsidRPr="00FC4A67">
        <w:rPr>
          <w:lang w:val="nl-NL"/>
        </w:rPr>
        <w:t>De huidige relatie tussen de EU en de drie micro-staten Andorra, Monaco en San Marino is gebaseerd op een groot aantal afzonderlijke akkoorden. Sinds 8 maart 2015 wordt er onderhandeld om deze afzonderlijke akkoorden te integreren in één associatieakkoord. De Raad heeft hiervoor op 4 december 2014 het mandaat verleend. Het doel is een significante verlaging van de handelsbarrières voor ondernemers uit Andorra, Monaco en San Marino, vergelijkbaar met de markttoegang voor EER-staten Noorwegen, IJsland en Liechtenstein. De onderhandelingen bevinden zich momenteel in de finale fase. Nederland is voorstander van een zo goed mogelijke integratie van Andorra, Monaco en San Marino in de Europese interne markt door middel van één gezamenlijk associatieakkoord voor de drie micro-staten. Nederland wenst dat het aantal uitzonderingsbepalingen voor het vrij verkeer van goederen, diensten, personen en kapitaal zo veel als mogelijk wordt beperkt, en door de micro-staten grondig wordt onderbouw</w:t>
      </w:r>
      <w:r w:rsidRPr="003D0370">
        <w:rPr>
          <w:lang w:val="nl-NL"/>
        </w:rPr>
        <w:t xml:space="preserve">d. </w:t>
      </w:r>
    </w:p>
    <w:p w:rsidRPr="00A971D2" w:rsidR="00000FE9" w:rsidP="00000FE9" w:rsidRDefault="00000FE9" w14:paraId="61D788CF" w14:textId="77777777">
      <w:pPr>
        <w:pStyle w:val="BodyText"/>
        <w:rPr>
          <w:u w:val="single"/>
          <w:lang w:val="nl-NL"/>
        </w:rPr>
      </w:pPr>
    </w:p>
    <w:p w:rsidRPr="00A971D2" w:rsidR="00000FE9" w:rsidP="00000FE9" w:rsidRDefault="00000FE9" w14:paraId="24A85188" w14:textId="7AE71683">
      <w:pPr>
        <w:pStyle w:val="BodyText"/>
      </w:pPr>
      <w:r w:rsidRPr="00A971D2">
        <w:rPr>
          <w:u w:val="single"/>
        </w:rPr>
        <w:t>Armenië (</w:t>
      </w:r>
      <w:r w:rsidRPr="00A971D2">
        <w:rPr>
          <w:i/>
          <w:u w:val="single"/>
        </w:rPr>
        <w:t>Comprehensive and Enhanced Partnership Agreement</w:t>
      </w:r>
      <w:r w:rsidRPr="00A971D2" w:rsidR="00D5601F">
        <w:rPr>
          <w:i/>
          <w:u w:val="single"/>
        </w:rPr>
        <w:t xml:space="preserve"> (</w:t>
      </w:r>
      <w:r w:rsidRPr="00A971D2">
        <w:rPr>
          <w:u w:val="single"/>
        </w:rPr>
        <w:t>CEPA)</w:t>
      </w:r>
      <w:r w:rsidRPr="00A971D2" w:rsidR="00D5601F">
        <w:rPr>
          <w:u w:val="single"/>
        </w:rPr>
        <w:t>)</w:t>
      </w:r>
      <w:r w:rsidRPr="00A971D2">
        <w:rPr>
          <w:u w:val="single"/>
        </w:rPr>
        <w:t>:</w:t>
      </w:r>
    </w:p>
    <w:p w:rsidRPr="00A971D2" w:rsidR="00000FE9" w:rsidP="00000FE9" w:rsidRDefault="00000FE9" w14:paraId="684C8A32" w14:textId="77777777">
      <w:pPr>
        <w:pStyle w:val="BodyText"/>
        <w:rPr>
          <w:lang w:val="nl-NL"/>
        </w:rPr>
      </w:pPr>
      <w:r w:rsidRPr="00A971D2">
        <w:rPr>
          <w:lang w:val="nl-NL"/>
        </w:rPr>
        <w:t xml:space="preserve">Per 1 juni 2018 is de </w:t>
      </w:r>
      <w:r w:rsidRPr="00A971D2">
        <w:rPr>
          <w:i/>
          <w:lang w:val="nl-NL"/>
        </w:rPr>
        <w:t>Comprehensive and Enhanced Partnership Agreement</w:t>
      </w:r>
      <w:r w:rsidRPr="00A971D2">
        <w:rPr>
          <w:lang w:val="nl-NL"/>
        </w:rPr>
        <w:t xml:space="preserve"> (CEPA) voorlopig in werking getreden. Op 26 februari 2017 bereikten de Europese Commissie en Armenië overeenstemming over dit akkoord. Op 24 november 2017 is het akkoord door beide partijen ondertekend. Deze CEPA vervangt het in 1999 in werking getreden </w:t>
      </w:r>
      <w:r w:rsidRPr="00A971D2">
        <w:rPr>
          <w:i/>
          <w:lang w:val="nl-NL"/>
        </w:rPr>
        <w:t xml:space="preserve">Partnership and Cooperation Agreement. </w:t>
      </w:r>
      <w:r w:rsidRPr="00A971D2">
        <w:rPr>
          <w:lang w:val="nl-NL"/>
        </w:rPr>
        <w:t xml:space="preserve">Armenië en de EU hadden als onderdeel van een associatieakkoord in 2013 reeds de onderhandelingen over een </w:t>
      </w:r>
      <w:r w:rsidRPr="00A971D2">
        <w:rPr>
          <w:i/>
          <w:lang w:val="nl-NL"/>
        </w:rPr>
        <w:t xml:space="preserve">Deep and Comprehensive Free Trade Agreement </w:t>
      </w:r>
      <w:r w:rsidRPr="00A971D2">
        <w:rPr>
          <w:lang w:val="nl-NL"/>
        </w:rPr>
        <w:t xml:space="preserve">(DCFTA) afgerond. Dit akkoord is nooit in werking getreden, vanwege het feit dat Armenië lid werd van de Euraziatische </w:t>
      </w:r>
      <w:r w:rsidRPr="00A971D2">
        <w:rPr>
          <w:lang w:val="nl-NL"/>
        </w:rPr>
        <w:lastRenderedPageBreak/>
        <w:t xml:space="preserve">Economische Unie (de douane-unie van Rusland, Kazachstan, Armenië, Kirgizië en Wit-Rusland). Deze afspraken zijn onverenigbaar met de preferentiële markttoegang voor goederen tot de Europese markt die volgt uit het DCFTA. In de Kaderovereenkomst hebben de EU en Armenië geprobeerd op de overige terreinen zo veel mogelijk afspraken uit het DCFTA in stand te houden. </w:t>
      </w:r>
    </w:p>
    <w:p w:rsidRPr="00DA6067" w:rsidR="00000FE9" w:rsidP="00000FE9" w:rsidRDefault="00000FE9" w14:paraId="5B5E9E6B" w14:textId="77777777">
      <w:pPr>
        <w:pStyle w:val="BodyText"/>
        <w:rPr>
          <w:highlight w:val="yellow"/>
          <w:u w:val="single"/>
          <w:lang w:val="nl-NL"/>
        </w:rPr>
      </w:pPr>
    </w:p>
    <w:p w:rsidRPr="00BA3998" w:rsidR="00000FE9" w:rsidP="00000FE9" w:rsidRDefault="00000FE9" w14:paraId="57F04B2E" w14:textId="77777777">
      <w:pPr>
        <w:rPr>
          <w:sz w:val="18"/>
          <w:szCs w:val="18"/>
          <w:u w:val="single"/>
          <w:lang w:val="nl-NL"/>
        </w:rPr>
      </w:pPr>
      <w:r w:rsidRPr="00BA3998">
        <w:rPr>
          <w:sz w:val="18"/>
          <w:szCs w:val="18"/>
          <w:u w:val="single"/>
          <w:lang w:val="nl-NL"/>
        </w:rPr>
        <w:t>Azerbeidzjan (</w:t>
      </w:r>
      <w:r w:rsidRPr="00BA3998">
        <w:rPr>
          <w:i/>
          <w:sz w:val="18"/>
          <w:szCs w:val="18"/>
          <w:u w:val="single"/>
          <w:lang w:val="nl-NL"/>
        </w:rPr>
        <w:t>Comprehensive Agreement</w:t>
      </w:r>
      <w:r w:rsidRPr="00BA3998">
        <w:rPr>
          <w:sz w:val="18"/>
          <w:szCs w:val="18"/>
          <w:u w:val="single"/>
          <w:lang w:val="nl-NL"/>
        </w:rPr>
        <w:t>):</w:t>
      </w:r>
    </w:p>
    <w:p w:rsidRPr="00BA3998" w:rsidR="00000FE9" w:rsidP="00000FE9" w:rsidRDefault="00000FE9" w14:paraId="38811B86" w14:textId="025220D1">
      <w:pPr>
        <w:rPr>
          <w:sz w:val="18"/>
          <w:szCs w:val="18"/>
          <w:lang w:val="nl-NL"/>
        </w:rPr>
      </w:pPr>
      <w:r w:rsidRPr="00BA3998">
        <w:rPr>
          <w:sz w:val="18"/>
          <w:szCs w:val="18"/>
          <w:lang w:val="nl-NL"/>
        </w:rPr>
        <w:t xml:space="preserve">De huidige relatie tussen de EU en Azerbeidzjan is gebaseerd op een </w:t>
      </w:r>
      <w:r w:rsidRPr="00BA3998">
        <w:rPr>
          <w:i/>
          <w:sz w:val="18"/>
          <w:szCs w:val="18"/>
          <w:lang w:val="nl-NL"/>
        </w:rPr>
        <w:t>Partnership and Cooperation Agreement</w:t>
      </w:r>
      <w:r w:rsidRPr="00BA3998">
        <w:rPr>
          <w:sz w:val="18"/>
          <w:szCs w:val="18"/>
          <w:lang w:val="nl-NL"/>
        </w:rPr>
        <w:t xml:space="preserve"> (PCA) uit 1996. Dit akkoord is in 1999 in werking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 akkoord vond plaats van 23 tot en met 25 april 2019 in Baku. </w:t>
      </w:r>
      <w:r w:rsidR="00BA3998">
        <w:rPr>
          <w:sz w:val="18"/>
          <w:szCs w:val="18"/>
          <w:lang w:val="nl-NL"/>
        </w:rPr>
        <w:t>De onderhandelingen vertraging opgelopen en sinds juli 2021 wordt gepoogd spoedig een nieuwe onderhandelingsronde te organiseren</w:t>
      </w:r>
      <w:r w:rsidRPr="00BA3998" w:rsidR="003C73CE">
        <w:rPr>
          <w:sz w:val="18"/>
          <w:szCs w:val="18"/>
          <w:lang w:val="nl-NL"/>
        </w:rPr>
        <w:t>.</w:t>
      </w:r>
      <w:r w:rsidR="00BA3998">
        <w:rPr>
          <w:sz w:val="18"/>
          <w:szCs w:val="18"/>
          <w:lang w:val="nl-NL"/>
        </w:rPr>
        <w:t xml:space="preserve"> Streven is dat de volgende ronde zal plaatsvinden wanneer voortgang is geboekt in technische</w:t>
      </w:r>
      <w:r w:rsidRPr="00BA3998" w:rsidR="003C73CE">
        <w:rPr>
          <w:sz w:val="18"/>
          <w:szCs w:val="18"/>
          <w:lang w:val="nl-NL"/>
        </w:rPr>
        <w:t xml:space="preserve"> </w:t>
      </w:r>
      <w:r w:rsidR="00BA3998">
        <w:rPr>
          <w:sz w:val="18"/>
          <w:szCs w:val="18"/>
          <w:lang w:val="nl-NL"/>
        </w:rPr>
        <w:t>discussies.</w:t>
      </w:r>
    </w:p>
    <w:p w:rsidRPr="00DA6067" w:rsidR="00000FE9" w:rsidP="00000FE9" w:rsidRDefault="00000FE9" w14:paraId="4C09A82A" w14:textId="77777777">
      <w:pPr>
        <w:pStyle w:val="Default"/>
        <w:rPr>
          <w:rFonts w:ascii="Verdana" w:hAnsi="Verdana"/>
          <w:sz w:val="18"/>
          <w:szCs w:val="18"/>
          <w:highlight w:val="yellow"/>
        </w:rPr>
      </w:pPr>
    </w:p>
    <w:p w:rsidRPr="001E0B00" w:rsidR="00000FE9" w:rsidP="00000FE9" w:rsidRDefault="00000FE9" w14:paraId="29852DD9" w14:textId="2A8EF5D7">
      <w:pPr>
        <w:rPr>
          <w:sz w:val="18"/>
          <w:szCs w:val="18"/>
        </w:rPr>
      </w:pPr>
      <w:r w:rsidRPr="001E0B00">
        <w:rPr>
          <w:sz w:val="18"/>
          <w:szCs w:val="18"/>
          <w:u w:val="single"/>
        </w:rPr>
        <w:t>Rusland (verdieping van het Partnership and Cooperation Agreement (PCA))</w:t>
      </w:r>
      <w:r w:rsidRPr="001E0B00">
        <w:rPr>
          <w:sz w:val="18"/>
          <w:szCs w:val="18"/>
        </w:rPr>
        <w:t>:</w:t>
      </w:r>
    </w:p>
    <w:p w:rsidRPr="001E0B00" w:rsidR="00000FE9" w:rsidP="00000FE9" w:rsidRDefault="00000FE9" w14:paraId="753CA875" w14:textId="77777777">
      <w:pPr>
        <w:pStyle w:val="BodyText"/>
        <w:rPr>
          <w:lang w:val="nl-NL"/>
        </w:rPr>
      </w:pPr>
      <w:r w:rsidRPr="001E0B00">
        <w:rPr>
          <w:lang w:val="nl-NL"/>
        </w:rPr>
        <w:t xml:space="preserve">De huidige relatie tussen de EU en Rusland is gebaseerd op een Partnership and Cooperation Agreement (PCA) uit 1994, dat in 1997 in werking is getreden. In 2008 zijn onderhandelingen begonnen over modernisering en uitbreiding van het PCA op basis van een mandaat van de Raad. Vanaf 2010 wordt er vooral over handel en investeringen onderhandeld. </w:t>
      </w:r>
    </w:p>
    <w:p w:rsidRPr="001E0B00" w:rsidR="00000FE9" w:rsidP="00000FE9" w:rsidRDefault="00000FE9" w14:paraId="33178D69" w14:textId="77777777">
      <w:pPr>
        <w:pStyle w:val="BodyText"/>
        <w:rPr>
          <w:lang w:val="nl-NL"/>
        </w:rPr>
      </w:pPr>
      <w:r w:rsidRPr="001E0B00">
        <w:rPr>
          <w:lang w:val="nl-NL"/>
        </w:rPr>
        <w:t>In maart 2014 heeft de Raad besloten om de onderhandelingen te schorsen. De reden hiervoor was de annexatie van de Krim door Rusland, alsook het conflict in</w:t>
      </w:r>
      <w:r w:rsidRPr="001E0B00">
        <w:rPr>
          <w:spacing w:val="-20"/>
          <w:lang w:val="nl-NL"/>
        </w:rPr>
        <w:t xml:space="preserve"> </w:t>
      </w:r>
      <w:r w:rsidRPr="001E0B00">
        <w:rPr>
          <w:lang w:val="nl-NL"/>
        </w:rPr>
        <w:t>Oost-Oekraïne.</w:t>
      </w:r>
    </w:p>
    <w:p w:rsidRPr="00DA6067" w:rsidR="00000FE9" w:rsidP="00000FE9" w:rsidRDefault="00000FE9" w14:paraId="2998C731" w14:textId="77777777">
      <w:pPr>
        <w:rPr>
          <w:sz w:val="18"/>
          <w:szCs w:val="18"/>
          <w:highlight w:val="yellow"/>
          <w:u w:val="single"/>
          <w:lang w:val="nl-NL"/>
        </w:rPr>
      </w:pPr>
    </w:p>
    <w:p w:rsidRPr="00DA6067" w:rsidR="00000FE9" w:rsidP="00000FE9" w:rsidRDefault="00000FE9" w14:paraId="651E78AB" w14:textId="77777777">
      <w:pPr>
        <w:rPr>
          <w:sz w:val="18"/>
          <w:szCs w:val="18"/>
          <w:highlight w:val="yellow"/>
          <w:lang w:val="nl-NL"/>
        </w:rPr>
      </w:pPr>
      <w:r w:rsidRPr="00C1251B">
        <w:rPr>
          <w:sz w:val="18"/>
          <w:szCs w:val="18"/>
          <w:u w:val="single"/>
          <w:lang w:val="nl-NL"/>
        </w:rPr>
        <w:t>Turkije (</w:t>
      </w:r>
      <w:r w:rsidRPr="00C1251B">
        <w:rPr>
          <w:i/>
          <w:sz w:val="18"/>
          <w:szCs w:val="18"/>
          <w:u w:val="single"/>
          <w:lang w:val="nl-NL"/>
        </w:rPr>
        <w:t>Modernised Customs Union</w:t>
      </w:r>
      <w:r w:rsidRPr="00C1251B">
        <w:rPr>
          <w:sz w:val="18"/>
          <w:szCs w:val="18"/>
          <w:u w:val="single"/>
          <w:lang w:val="nl-NL"/>
        </w:rPr>
        <w:t xml:space="preserve">): </w:t>
      </w:r>
    </w:p>
    <w:p w:rsidRPr="007B5BC3" w:rsidR="00D558A3" w:rsidP="00D558A3" w:rsidRDefault="00D558A3" w14:paraId="139714E4" w14:textId="77777777">
      <w:pPr>
        <w:rPr>
          <w:sz w:val="18"/>
          <w:szCs w:val="18"/>
          <w:lang w:val="nl-NL"/>
        </w:rPr>
      </w:pPr>
      <w:r w:rsidRPr="007B5BC3">
        <w:rPr>
          <w:sz w:val="18"/>
          <w:szCs w:val="18"/>
          <w:lang w:val="nl-NL"/>
        </w:rPr>
        <w:t>Sinds 1995 vormen de EU en Turkije gezamenlijk een douane-unie. Op 23 december 2016 heeft de Europese Commissie een aanbeveling voor een mandaat gedaan aan de Raad om de douane-unie te moderniseren. Tevens wenst de Commissie de douane-unie uit te breiden met afspraken op het gebied van landbouw, handel in diensten en overheidsaanbestedingen.</w:t>
      </w:r>
    </w:p>
    <w:p w:rsidRPr="007B5BC3" w:rsidR="007B5BC3" w:rsidP="007B5BC3" w:rsidRDefault="007B5BC3" w14:paraId="36FBF224" w14:textId="77777777">
      <w:pPr>
        <w:rPr>
          <w:rFonts w:ascii="Calibri" w:hAnsi="Calibri" w:cs="Calibri" w:eastAsiaTheme="minorHAnsi"/>
          <w:sz w:val="18"/>
          <w:szCs w:val="18"/>
          <w:lang w:val="nl-NL"/>
        </w:rPr>
      </w:pPr>
      <w:r w:rsidRPr="007B5BC3">
        <w:rPr>
          <w:sz w:val="18"/>
          <w:szCs w:val="18"/>
          <w:lang w:val="nl-NL"/>
        </w:rPr>
        <w:t xml:space="preserve">De ER herhaalde in juni, in lijn met zijn conclusies van maart,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r w:rsidRPr="006C76F9">
        <w:rPr>
          <w:i/>
          <w:sz w:val="18"/>
          <w:szCs w:val="18"/>
          <w:lang w:val="nl-NL"/>
        </w:rPr>
        <w:t>guidance</w:t>
      </w:r>
      <w:r w:rsidRPr="007B5BC3">
        <w:rPr>
          <w:sz w:val="18"/>
          <w:szCs w:val="18"/>
          <w:lang w:val="nl-NL"/>
        </w:rPr>
        <w:t xml:space="preserve"> van de Europese Raad nodig is voordat de Raad een dergelijk mandaat mag aannemen. De ER benadrukte eveneens dat Turkije de implementatie van de douane-unie moet verbeteren.</w:t>
      </w:r>
    </w:p>
    <w:p w:rsidRPr="00D6763D" w:rsidR="00A578EC" w:rsidRDefault="007B5BC3" w14:paraId="15F6F7E6" w14:textId="15F80859">
      <w:pPr>
        <w:rPr>
          <w:color w:val="1F497D"/>
          <w:sz w:val="18"/>
          <w:szCs w:val="18"/>
          <w:lang w:val="nl-NL"/>
        </w:rPr>
      </w:pPr>
      <w:r w:rsidRPr="007B5BC3">
        <w:rPr>
          <w:sz w:val="18"/>
          <w:szCs w:val="18"/>
          <w:lang w:val="nl-NL"/>
        </w:rPr>
        <w:t xml:space="preserve">Mede op Nederlands aandringen </w:t>
      </w:r>
      <w:r>
        <w:rPr>
          <w:sz w:val="18"/>
          <w:szCs w:val="18"/>
          <w:lang w:val="nl-NL"/>
        </w:rPr>
        <w:t>herhaald</w:t>
      </w:r>
      <w:r w:rsidR="006762CD">
        <w:rPr>
          <w:sz w:val="18"/>
          <w:szCs w:val="18"/>
          <w:lang w:val="nl-NL"/>
        </w:rPr>
        <w:t>e</w:t>
      </w:r>
      <w:r>
        <w:rPr>
          <w:sz w:val="18"/>
          <w:szCs w:val="18"/>
          <w:lang w:val="nl-NL"/>
        </w:rPr>
        <w:t xml:space="preserve"> </w:t>
      </w:r>
      <w:r w:rsidRPr="007B5BC3">
        <w:rPr>
          <w:sz w:val="18"/>
          <w:szCs w:val="18"/>
          <w:lang w:val="nl-NL"/>
        </w:rPr>
        <w:t>de ER dat een dialoog over mensenrechten en de rechtsstaat een integraal onderdeel van de betrekkingen tussen de EU en Turkije blijft.</w:t>
      </w:r>
    </w:p>
    <w:p w:rsidRPr="00DA6067" w:rsidR="00A578EC" w:rsidRDefault="00A578EC" w14:paraId="5349B4A3" w14:textId="77777777">
      <w:pPr>
        <w:rPr>
          <w:sz w:val="18"/>
          <w:szCs w:val="18"/>
          <w:highlight w:val="yellow"/>
          <w:lang w:val="nl-NL"/>
        </w:rPr>
      </w:pPr>
    </w:p>
    <w:p w:rsidRPr="00C1251B" w:rsidR="00000FE9" w:rsidP="00000FE9" w:rsidRDefault="00000FE9" w14:paraId="46FAAC13" w14:textId="77777777">
      <w:pPr>
        <w:pStyle w:val="ListParagraph"/>
        <w:numPr>
          <w:ilvl w:val="1"/>
          <w:numId w:val="2"/>
        </w:numPr>
        <w:tabs>
          <w:tab w:val="left" w:pos="490"/>
        </w:tabs>
        <w:ind w:left="0" w:firstLine="0"/>
        <w:rPr>
          <w:sz w:val="18"/>
          <w:szCs w:val="18"/>
          <w:lang w:val="nl-NL"/>
        </w:rPr>
      </w:pPr>
      <w:r w:rsidRPr="00C1251B">
        <w:rPr>
          <w:i/>
          <w:sz w:val="18"/>
          <w:szCs w:val="18"/>
          <w:u w:val="single"/>
          <w:lang w:val="nl-NL"/>
        </w:rPr>
        <w:t>Noord- en Midden-Amerika</w:t>
      </w:r>
      <w:r w:rsidRPr="00C1251B">
        <w:rPr>
          <w:sz w:val="18"/>
          <w:szCs w:val="18"/>
          <w:lang w:val="nl-NL"/>
        </w:rPr>
        <w:t>:</w:t>
      </w:r>
    </w:p>
    <w:p w:rsidRPr="00DA6067" w:rsidR="00000FE9" w:rsidP="00000FE9" w:rsidRDefault="00000FE9" w14:paraId="19A835F0" w14:textId="77777777">
      <w:pPr>
        <w:pStyle w:val="BodyText"/>
        <w:rPr>
          <w:highlight w:val="yellow"/>
          <w:lang w:val="nl-NL"/>
        </w:rPr>
      </w:pPr>
    </w:p>
    <w:p w:rsidRPr="008D3278" w:rsidR="00000FE9" w:rsidP="00000FE9" w:rsidRDefault="00000FE9" w14:paraId="6529F447" w14:textId="77777777">
      <w:pPr>
        <w:rPr>
          <w:sz w:val="18"/>
          <w:szCs w:val="18"/>
        </w:rPr>
      </w:pPr>
      <w:r w:rsidRPr="008D3278">
        <w:rPr>
          <w:sz w:val="18"/>
          <w:szCs w:val="18"/>
          <w:u w:val="single"/>
        </w:rPr>
        <w:t>Canada (</w:t>
      </w:r>
      <w:r w:rsidRPr="008D3278">
        <w:rPr>
          <w:i/>
          <w:sz w:val="18"/>
          <w:szCs w:val="18"/>
          <w:u w:val="single"/>
        </w:rPr>
        <w:t xml:space="preserve">Comprehensive Economic and Trade Agreement </w:t>
      </w:r>
      <w:r w:rsidRPr="008D3278">
        <w:rPr>
          <w:sz w:val="18"/>
          <w:szCs w:val="18"/>
          <w:u w:val="single"/>
        </w:rPr>
        <w:t>(CETA))</w:t>
      </w:r>
      <w:r w:rsidRPr="008D3278">
        <w:rPr>
          <w:sz w:val="18"/>
          <w:szCs w:val="18"/>
        </w:rPr>
        <w:t>:</w:t>
      </w:r>
    </w:p>
    <w:p w:rsidRPr="008D3278" w:rsidR="00000FE9" w:rsidP="00000FE9" w:rsidRDefault="00000FE9" w14:paraId="158D3B8F" w14:textId="2408B574">
      <w:pPr>
        <w:pStyle w:val="BodyText"/>
        <w:rPr>
          <w:lang w:val="nl-NL"/>
        </w:rPr>
      </w:pPr>
      <w:r w:rsidRPr="008D3278">
        <w:rPr>
          <w:lang w:val="nl-NL"/>
        </w:rPr>
        <w:t>Nederland heeft net als Canada, de EU en de andere EU-lidstaten het EU-handelsakkoord met Canada (CETA) in 2016 ondertekend. Op 15 februari 2017 heeft het Europees Parlement het akkoord goedgekeurd. De handelsafspraken in het akkoord worden sinds 21 september 2017 voorlopig toegepast. Daarnaast zijn de goedkeuringsprocessen in de EU-lidstaten opgestart. De Nederlandse CETA-goedkeuringswet is op 5 maart 2019 naar de Tweede Kamer gestuurd. In de loop van 2019 hebben een schriftelijke vragenronde, twee technische briefings en een rondetafelgesprek over CETA plaatsgevonden. De Tweede Kamer heeft ver</w:t>
      </w:r>
      <w:r w:rsidRPr="008D3278" w:rsidR="004B3251">
        <w:rPr>
          <w:lang w:val="nl-NL"/>
        </w:rPr>
        <w:t>volgens op 12 en 13 februari 2020</w:t>
      </w:r>
      <w:r w:rsidRPr="008D3278">
        <w:rPr>
          <w:lang w:val="nl-NL"/>
        </w:rPr>
        <w:t xml:space="preserve"> over CETA gedebatteerd en voor dit verdrag gestemd. De Eerste Kamer behandelt momenteel de goedkeuringswet.</w:t>
      </w:r>
      <w:r w:rsidR="00E73A36">
        <w:rPr>
          <w:lang w:val="nl-NL"/>
        </w:rPr>
        <w:t xml:space="preserve"> In de loop van 2020</w:t>
      </w:r>
      <w:r w:rsidRPr="008D3278" w:rsidR="00F26E25">
        <w:rPr>
          <w:lang w:val="nl-NL"/>
        </w:rPr>
        <w:t xml:space="preserve"> hebben twee schriftelijke </w:t>
      </w:r>
      <w:r w:rsidRPr="008D3278" w:rsidR="008D3278">
        <w:rPr>
          <w:lang w:val="nl-NL"/>
        </w:rPr>
        <w:t>vragen</w:t>
      </w:r>
      <w:r w:rsidRPr="008D3278" w:rsidR="00F26E25">
        <w:rPr>
          <w:lang w:val="nl-NL"/>
        </w:rPr>
        <w:t>ron</w:t>
      </w:r>
      <w:r w:rsidR="00E73A36">
        <w:rPr>
          <w:lang w:val="nl-NL"/>
        </w:rPr>
        <w:t xml:space="preserve">des en twee expertbijeenkomsten </w:t>
      </w:r>
      <w:r w:rsidRPr="008D3278" w:rsidR="00F26E25">
        <w:rPr>
          <w:lang w:val="nl-NL"/>
        </w:rPr>
        <w:t>plaatsgevonden.</w:t>
      </w:r>
      <w:r w:rsidRPr="008D3278">
        <w:rPr>
          <w:lang w:val="nl-NL"/>
        </w:rPr>
        <w:t xml:space="preserve"> CETA treedt volledig in werking na ratificatie door Canada, de EU en de EU-lidstaten.</w:t>
      </w:r>
    </w:p>
    <w:p w:rsidRPr="00DA6067" w:rsidR="00000FE9" w:rsidP="00000FE9" w:rsidRDefault="00000FE9" w14:paraId="6632A8C6" w14:textId="77777777">
      <w:pPr>
        <w:pStyle w:val="BodyText"/>
        <w:rPr>
          <w:highlight w:val="yellow"/>
          <w:u w:val="single"/>
          <w:lang w:val="nl-NL"/>
        </w:rPr>
      </w:pPr>
    </w:p>
    <w:p w:rsidRPr="00277D0B" w:rsidR="00000FE9" w:rsidP="00000FE9" w:rsidRDefault="00000FE9" w14:paraId="4081AD3D" w14:textId="77777777">
      <w:pPr>
        <w:pStyle w:val="BodyText"/>
        <w:rPr>
          <w:lang w:val="nl-NL"/>
        </w:rPr>
      </w:pPr>
      <w:r w:rsidRPr="00277D0B">
        <w:rPr>
          <w:u w:val="single"/>
          <w:lang w:val="nl-NL"/>
        </w:rPr>
        <w:t>Economisch Partnerschap met de landen in de Cariben (CARIFORUM-EU EPA)</w:t>
      </w:r>
      <w:r w:rsidRPr="00277D0B">
        <w:rPr>
          <w:lang w:val="nl-NL"/>
        </w:rPr>
        <w:t>:</w:t>
      </w:r>
    </w:p>
    <w:p w:rsidRPr="00DA6067" w:rsidR="00000FE9" w:rsidP="00000FE9" w:rsidRDefault="00000FE9" w14:paraId="49DFD9EC" w14:textId="74D5B75C">
      <w:pPr>
        <w:pStyle w:val="BodyText"/>
        <w:rPr>
          <w:highlight w:val="yellow"/>
          <w:lang w:val="nl-NL"/>
        </w:rPr>
      </w:pPr>
      <w:r w:rsidRPr="00277D0B">
        <w:rPr>
          <w:lang w:val="nl-NL"/>
        </w:rPr>
        <w:t>In 2008 zijn de onderhandelingen over de CARIFORUM-EU EPA afgerond, waarna de goedkeuringsprocedures zijn gestart en de EPA voorlopig wordt toegepast. Nederland heeft het akkoord geratificeerd. De EPA treedt definitief in werking wanneer alle partijen hebben geratificeerd. Aan implementatie van het akkoord wordt gestaag gewerkt</w:t>
      </w:r>
      <w:r w:rsidRPr="00277D0B">
        <w:rPr>
          <w:color w:val="000000"/>
          <w:lang w:val="nl-NL"/>
        </w:rPr>
        <w:t xml:space="preserve">. Op 27 en 28 november 2019 vond de </w:t>
      </w:r>
      <w:r w:rsidRPr="00277D0B">
        <w:rPr>
          <w:color w:val="000000"/>
          <w:lang w:val="nl-NL"/>
        </w:rPr>
        <w:lastRenderedPageBreak/>
        <w:t xml:space="preserve">negende bijeenkomst plaats van het Comité Handel en Ontwikkeling. </w:t>
      </w:r>
      <w:r w:rsidRPr="00277D0B">
        <w:rPr>
          <w:lang w:val="nl-NL"/>
        </w:rPr>
        <w:t xml:space="preserve">De volgende bijeenkomst van de gezamenlijke CARIFORUM-EU Raad </w:t>
      </w:r>
      <w:r w:rsidRPr="00277D0B">
        <w:rPr>
          <w:color w:val="000000"/>
          <w:lang w:val="nl-NL"/>
        </w:rPr>
        <w:t xml:space="preserve">was voorzien in de eerste helft van 2020, maar heeft nog niet plaatsgevonden. </w:t>
      </w:r>
      <w:r w:rsidRPr="00277D0B" w:rsidR="007D1C10">
        <w:rPr>
          <w:color w:val="000000"/>
          <w:lang w:val="nl-NL"/>
        </w:rPr>
        <w:t>Het evaluat</w:t>
      </w:r>
      <w:r w:rsidRPr="00277D0B" w:rsidR="005E7022">
        <w:rPr>
          <w:color w:val="000000"/>
          <w:lang w:val="nl-NL"/>
        </w:rPr>
        <w:t>ie rapport van CARIFORUM werd 21</w:t>
      </w:r>
      <w:r w:rsidRPr="00277D0B" w:rsidR="007D1C10">
        <w:rPr>
          <w:color w:val="000000"/>
          <w:lang w:val="nl-NL"/>
        </w:rPr>
        <w:t xml:space="preserve"> januari </w:t>
      </w:r>
      <w:r w:rsidRPr="00277D0B" w:rsidR="005E7022">
        <w:rPr>
          <w:color w:val="000000"/>
          <w:lang w:val="nl-NL"/>
        </w:rPr>
        <w:t xml:space="preserve">jl. </w:t>
      </w:r>
      <w:r w:rsidRPr="00277D0B" w:rsidR="007D1C10">
        <w:rPr>
          <w:color w:val="000000"/>
          <w:lang w:val="nl-NL"/>
        </w:rPr>
        <w:t>gepubliceerd en beslaat de periode 2008-2018</w:t>
      </w:r>
      <w:r w:rsidRPr="00277D0B" w:rsidR="002C3EB3">
        <w:rPr>
          <w:rStyle w:val="FootnoteReference"/>
          <w:color w:val="000000"/>
          <w:lang w:val="nl-NL"/>
        </w:rPr>
        <w:footnoteReference w:id="21"/>
      </w:r>
      <w:r w:rsidRPr="00277D0B" w:rsidR="007D1C10">
        <w:rPr>
          <w:color w:val="000000"/>
          <w:lang w:val="nl-NL"/>
        </w:rPr>
        <w:t xml:space="preserve">. Om de voordelen van de EPA </w:t>
      </w:r>
      <w:r w:rsidRPr="00277D0B" w:rsidR="005E7022">
        <w:rPr>
          <w:color w:val="000000"/>
          <w:lang w:val="nl-NL"/>
        </w:rPr>
        <w:t xml:space="preserve">beter te benutten </w:t>
      </w:r>
      <w:r w:rsidRPr="00277D0B" w:rsidR="007D1C10">
        <w:rPr>
          <w:color w:val="000000"/>
          <w:lang w:val="nl-NL"/>
        </w:rPr>
        <w:t>beveelt het rappor</w:t>
      </w:r>
      <w:r w:rsidRPr="00277D0B" w:rsidR="00822BB4">
        <w:rPr>
          <w:color w:val="000000"/>
          <w:lang w:val="nl-NL"/>
        </w:rPr>
        <w:t>t</w:t>
      </w:r>
      <w:r w:rsidRPr="00277D0B" w:rsidR="007D1C10">
        <w:rPr>
          <w:color w:val="000000"/>
          <w:lang w:val="nl-NL"/>
        </w:rPr>
        <w:t xml:space="preserve"> o.a. aan de transparantie en </w:t>
      </w:r>
      <w:r w:rsidRPr="00277D0B" w:rsidR="00722144">
        <w:rPr>
          <w:color w:val="000000"/>
          <w:lang w:val="nl-NL"/>
        </w:rPr>
        <w:t xml:space="preserve">de </w:t>
      </w:r>
      <w:r w:rsidRPr="00277D0B" w:rsidR="007D1C10">
        <w:rPr>
          <w:color w:val="000000"/>
          <w:lang w:val="nl-NL"/>
        </w:rPr>
        <w:t>bewustwording te verbeteren, een gunstiger ondernemingsklimaat te bevorderen en de capaciteit van de overheid te versterken</w:t>
      </w:r>
      <w:r w:rsidRPr="00277D0B" w:rsidR="002E74B1">
        <w:rPr>
          <w:color w:val="000000"/>
          <w:lang w:val="nl-NL"/>
        </w:rPr>
        <w:t xml:space="preserve"> in de CARIFORUM-landen</w:t>
      </w:r>
      <w:r w:rsidRPr="00277D0B" w:rsidR="007D1C10">
        <w:rPr>
          <w:color w:val="000000"/>
          <w:lang w:val="nl-NL"/>
        </w:rPr>
        <w:t xml:space="preserve">. </w:t>
      </w:r>
    </w:p>
    <w:p w:rsidRPr="00DA6067" w:rsidR="00000FE9" w:rsidP="00000FE9" w:rsidRDefault="00000FE9" w14:paraId="2BB807A1" w14:textId="77777777">
      <w:pPr>
        <w:pStyle w:val="BodyText"/>
        <w:rPr>
          <w:highlight w:val="yellow"/>
          <w:lang w:val="nl-NL"/>
        </w:rPr>
      </w:pPr>
    </w:p>
    <w:p w:rsidRPr="003D0370" w:rsidR="00000FE9" w:rsidP="00000FE9" w:rsidRDefault="00000FE9" w14:paraId="4E097D9C" w14:textId="77777777">
      <w:pPr>
        <w:pStyle w:val="BodyText"/>
        <w:rPr>
          <w:lang w:val="es-ES"/>
        </w:rPr>
      </w:pPr>
      <w:r w:rsidRPr="003D0370">
        <w:rPr>
          <w:u w:val="single"/>
          <w:lang w:val="es-ES"/>
        </w:rPr>
        <w:t xml:space="preserve">Mexico (modernisering </w:t>
      </w:r>
      <w:r w:rsidRPr="003D0370">
        <w:rPr>
          <w:i/>
          <w:u w:val="single"/>
          <w:lang w:val="es-ES"/>
        </w:rPr>
        <w:t>EU-Mexico Global Agreement</w:t>
      </w:r>
      <w:r w:rsidRPr="003D0370">
        <w:rPr>
          <w:u w:val="single"/>
          <w:lang w:val="es-ES"/>
        </w:rPr>
        <w:t>)</w:t>
      </w:r>
      <w:r w:rsidRPr="003D0370">
        <w:rPr>
          <w:lang w:val="es-ES"/>
        </w:rPr>
        <w:t xml:space="preserve">: </w:t>
      </w:r>
    </w:p>
    <w:p w:rsidRPr="003D0370" w:rsidR="00000FE9" w:rsidP="00000FE9" w:rsidRDefault="00000FE9" w14:paraId="5D24A682" w14:textId="5F93FE72">
      <w:pPr>
        <w:pStyle w:val="BodyText"/>
        <w:rPr>
          <w:lang w:val="nl-NL"/>
        </w:rPr>
      </w:pPr>
      <w:r w:rsidRPr="003D0370">
        <w:rPr>
          <w:lang w:val="nl-NL"/>
        </w:rPr>
        <w:t xml:space="preserve">Op 23 mei 2016 heeft de Raad het onderhandelingsmandaat ten behoeve van de modernisering van het bestaande </w:t>
      </w:r>
      <w:r w:rsidRPr="003D0370">
        <w:rPr>
          <w:i/>
          <w:lang w:val="nl-NL"/>
        </w:rPr>
        <w:t>EU-Mexico Global Agreement</w:t>
      </w:r>
      <w:r w:rsidRPr="003D0370">
        <w:rPr>
          <w:lang w:val="nl-NL"/>
        </w:rPr>
        <w:t xml:space="preserve"> uit 1997, dat sinds 2000 in werking is, goedgekeurd. Op 28 april 2020 is er een politiek akkoord bereikt tussen de </w:t>
      </w:r>
      <w:r w:rsidRPr="003D0370" w:rsidR="00822BB4">
        <w:rPr>
          <w:lang w:val="nl-NL"/>
        </w:rPr>
        <w:t xml:space="preserve">Europese </w:t>
      </w:r>
      <w:r w:rsidRPr="003D0370">
        <w:rPr>
          <w:lang w:val="nl-NL"/>
        </w:rPr>
        <w:t>Commissie en Mexico. Naar ver</w:t>
      </w:r>
      <w:r w:rsidRPr="003D0370" w:rsidR="00663471">
        <w:rPr>
          <w:lang w:val="nl-NL"/>
        </w:rPr>
        <w:t xml:space="preserve">wachting zal de Commissie </w:t>
      </w:r>
      <w:r w:rsidRPr="003D0370" w:rsidR="00A226C4">
        <w:rPr>
          <w:lang w:val="nl-NL"/>
        </w:rPr>
        <w:t xml:space="preserve">begin volgend </w:t>
      </w:r>
      <w:r w:rsidRPr="003D0370">
        <w:rPr>
          <w:lang w:val="nl-NL"/>
        </w:rPr>
        <w:t xml:space="preserve">jaar het akkoord ter besluitvorming voorleggen aan de Raad. </w:t>
      </w:r>
      <w:r w:rsidRPr="003D0370" w:rsidR="00277D0B">
        <w:rPr>
          <w:lang w:val="nl-NL"/>
        </w:rPr>
        <w:t xml:space="preserve">Het kabinet zal dan een standpunt innemen over de vorm en inhoud van het akkoord zoals aangeboden door de Europese Commissie aan de Raad. </w:t>
      </w:r>
      <w:r w:rsidRPr="003D0370">
        <w:rPr>
          <w:lang w:val="nl-NL"/>
        </w:rPr>
        <w:t xml:space="preserve">Het handels- en investeringsdeel van de </w:t>
      </w:r>
      <w:r w:rsidRPr="003D0370">
        <w:rPr>
          <w:i/>
          <w:lang w:val="nl-NL"/>
        </w:rPr>
        <w:t>Global Agreement</w:t>
      </w:r>
      <w:r w:rsidRPr="003D0370">
        <w:rPr>
          <w:lang w:val="nl-NL"/>
        </w:rPr>
        <w:t xml:space="preserve"> zet in op 97% liberalisering van de handel in goederen. Voor Nederland is</w:t>
      </w:r>
      <w:r w:rsidRPr="003D0370" w:rsidR="00F45242">
        <w:rPr>
          <w:lang w:val="nl-NL"/>
        </w:rPr>
        <w:t xml:space="preserve"> </w:t>
      </w:r>
      <w:r w:rsidRPr="003D0370" w:rsidR="00E117CC">
        <w:rPr>
          <w:lang w:val="nl-NL"/>
        </w:rPr>
        <w:t xml:space="preserve">van belang </w:t>
      </w:r>
      <w:r w:rsidRPr="003D0370" w:rsidR="00F45242">
        <w:rPr>
          <w:lang w:val="nl-NL"/>
        </w:rPr>
        <w:t xml:space="preserve">het wegnemen van onnodige belemmeringen, zoals niet-tarifaire obstakels, </w:t>
      </w:r>
      <w:r w:rsidRPr="003D0370" w:rsidR="00E117CC">
        <w:rPr>
          <w:lang w:val="nl-NL"/>
        </w:rPr>
        <w:t xml:space="preserve">het </w:t>
      </w:r>
      <w:r w:rsidRPr="003D0370" w:rsidR="00F45242">
        <w:rPr>
          <w:lang w:val="nl-NL"/>
        </w:rPr>
        <w:t>openstellen van aanbestedingspro</w:t>
      </w:r>
      <w:r w:rsidRPr="003D0370" w:rsidR="00E117CC">
        <w:rPr>
          <w:lang w:val="nl-NL"/>
        </w:rPr>
        <w:t xml:space="preserve">cedures op subfederaal niveau en </w:t>
      </w:r>
      <w:r w:rsidRPr="003D0370">
        <w:rPr>
          <w:lang w:val="nl-NL"/>
        </w:rPr>
        <w:t xml:space="preserve">de </w:t>
      </w:r>
      <w:r w:rsidRPr="003D0370" w:rsidR="00E117CC">
        <w:rPr>
          <w:lang w:val="nl-NL"/>
        </w:rPr>
        <w:t xml:space="preserve">afspraken voor </w:t>
      </w:r>
      <w:r w:rsidRPr="003D0370" w:rsidR="00277D0B">
        <w:rPr>
          <w:lang w:val="nl-NL"/>
        </w:rPr>
        <w:t xml:space="preserve">vergrote markttoegang </w:t>
      </w:r>
      <w:r w:rsidRPr="003D0370">
        <w:rPr>
          <w:lang w:val="nl-NL"/>
        </w:rPr>
        <w:t xml:space="preserve">voor landbouwproducten, zoals zuivel, pluimvee, varkens, eierproducten, aardappelen, bloembollen en granen. </w:t>
      </w:r>
    </w:p>
    <w:p w:rsidRPr="003D0370" w:rsidR="00000FE9" w:rsidP="00000FE9" w:rsidRDefault="00000FE9" w14:paraId="6214A516" w14:textId="77777777">
      <w:pPr>
        <w:pStyle w:val="BodyText"/>
        <w:rPr>
          <w:lang w:val="nl-NL"/>
        </w:rPr>
      </w:pPr>
    </w:p>
    <w:p w:rsidRPr="003D0370" w:rsidR="00000FE9" w:rsidP="00000FE9" w:rsidRDefault="00000FE9" w14:paraId="4D0E315B" w14:textId="77777777">
      <w:pPr>
        <w:pStyle w:val="BodyText"/>
        <w:rPr>
          <w:lang w:val="nl-NL"/>
        </w:rPr>
      </w:pPr>
      <w:r w:rsidRPr="003D0370">
        <w:rPr>
          <w:lang w:val="nl-NL"/>
        </w:rPr>
        <w:t xml:space="preserve">Voor geschillenbeslechting is Mexico akkoord gegaan met het voorstel van de EU voor de oprichting van het </w:t>
      </w:r>
      <w:r w:rsidRPr="003D0370">
        <w:rPr>
          <w:i/>
          <w:lang w:val="nl-NL"/>
        </w:rPr>
        <w:t>Investment Court System</w:t>
      </w:r>
      <w:r w:rsidRPr="003D0370">
        <w:rPr>
          <w:lang w:val="nl-NL"/>
        </w:rPr>
        <w:t xml:space="preserve">. Ten opzichte van de bestaande EU-Mexico overeenkomst zijn nu ook anti-corruptiebepalingen en een hoofdstuk over duurzame ontwikkeling opgenomen. Ook zal voor het eerst het maatschappelijk middenveld een rol krijgen in de monitoring van het akkoord. </w:t>
      </w:r>
    </w:p>
    <w:p w:rsidRPr="00485E21" w:rsidR="00000FE9" w:rsidP="00000FE9" w:rsidRDefault="00000FE9" w14:paraId="34884D45" w14:textId="77777777">
      <w:pPr>
        <w:pStyle w:val="BodyText"/>
        <w:rPr>
          <w:lang w:val="nl-NL"/>
        </w:rPr>
      </w:pPr>
    </w:p>
    <w:p w:rsidRPr="00485E21" w:rsidR="00000FE9" w:rsidP="00000FE9" w:rsidRDefault="00000FE9" w14:paraId="6C092868" w14:textId="77777777">
      <w:pPr>
        <w:rPr>
          <w:sz w:val="18"/>
          <w:szCs w:val="18"/>
          <w:lang w:val="nl-NL"/>
        </w:rPr>
      </w:pPr>
      <w:r w:rsidRPr="00485E21">
        <w:rPr>
          <w:sz w:val="18"/>
          <w:szCs w:val="18"/>
          <w:u w:val="single"/>
          <w:lang w:val="nl-NL"/>
        </w:rPr>
        <w:t>Verenigde Staten</w:t>
      </w:r>
      <w:r w:rsidRPr="00485E21">
        <w:rPr>
          <w:sz w:val="18"/>
          <w:szCs w:val="18"/>
          <w:lang w:val="nl-NL"/>
        </w:rPr>
        <w:t xml:space="preserve">: </w:t>
      </w:r>
    </w:p>
    <w:p w:rsidRPr="00485E21" w:rsidR="00000FE9" w:rsidP="00000FE9" w:rsidRDefault="00B171F9" w14:paraId="435FC8D1" w14:textId="633A6DD4">
      <w:pPr>
        <w:pStyle w:val="BodyText"/>
        <w:rPr>
          <w:lang w:val="nl-NL"/>
        </w:rPr>
      </w:pPr>
      <w:r w:rsidRPr="00485E21">
        <w:rPr>
          <w:lang w:val="nl-NL"/>
        </w:rPr>
        <w:t xml:space="preserve">Op 15 april 2019 </w:t>
      </w:r>
      <w:r w:rsidRPr="00485E21" w:rsidR="00005787">
        <w:rPr>
          <w:lang w:val="nl-NL"/>
        </w:rPr>
        <w:t>is een Raadsbesluit aangenomen waarmee twee mandaten aan de Europese Commissie zijn verleend voor onderhandelingen met de Verenigde Staten. Het gaat om (1) een mandaat voor onderhandelingen over een handelsakkoord beperkt tot tariefverlaging voor industriële goederen, inclusief visserij, en (2) een mandaat voor onderhandelingen over een akkoord met betrekking tot erkenning van elkaars conformiteitsbeoordeling.</w:t>
      </w:r>
      <w:r w:rsidRPr="00485E21" w:rsidR="00005787">
        <w:rPr>
          <w:rStyle w:val="FootnoteReference"/>
          <w:lang w:val="nl-NL"/>
        </w:rPr>
        <w:footnoteReference w:id="22"/>
      </w:r>
      <w:r w:rsidRPr="00485E21" w:rsidR="00005787">
        <w:rPr>
          <w:lang w:val="nl-NL"/>
        </w:rPr>
        <w:t xml:space="preserve"> </w:t>
      </w:r>
      <w:r w:rsidRPr="00485E21" w:rsidR="00B90AD7">
        <w:rPr>
          <w:lang w:val="nl-NL"/>
        </w:rPr>
        <w:t xml:space="preserve">Er zijn geen ontwikkelingen geweest met betrekking tot de nieuwe twee mandaten. In </w:t>
      </w:r>
      <w:r w:rsidRPr="00485E21" w:rsidR="00005787">
        <w:rPr>
          <w:lang w:val="nl-NL"/>
        </w:rPr>
        <w:t xml:space="preserve">het Raadsbesluit </w:t>
      </w:r>
      <w:r w:rsidRPr="00485E21" w:rsidR="00B90AD7">
        <w:rPr>
          <w:lang w:val="nl-NL"/>
        </w:rPr>
        <w:t xml:space="preserve">van 15 april 2019 </w:t>
      </w:r>
      <w:r w:rsidRPr="00485E21" w:rsidR="00005787">
        <w:rPr>
          <w:lang w:val="nl-NL"/>
        </w:rPr>
        <w:t xml:space="preserve">is </w:t>
      </w:r>
      <w:r w:rsidRPr="00485E21" w:rsidR="00B90AD7">
        <w:rPr>
          <w:lang w:val="nl-NL"/>
        </w:rPr>
        <w:t xml:space="preserve">tevens </w:t>
      </w:r>
      <w:r w:rsidRPr="00485E21" w:rsidR="00005787">
        <w:rPr>
          <w:lang w:val="nl-NL"/>
        </w:rPr>
        <w:t xml:space="preserve">het onderhandelingsmandaat voor de </w:t>
      </w:r>
      <w:r w:rsidRPr="00485E21" w:rsidR="00005787">
        <w:rPr>
          <w:i/>
          <w:lang w:val="nl-NL"/>
        </w:rPr>
        <w:t xml:space="preserve">Transatlantic Trade and Investment Partnership </w:t>
      </w:r>
      <w:r w:rsidRPr="00485E21" w:rsidR="00005787">
        <w:rPr>
          <w:lang w:val="nl-NL"/>
        </w:rPr>
        <w:t xml:space="preserve">(TTIP) als verouderd en niet meer relevant verklaard. </w:t>
      </w:r>
    </w:p>
    <w:p w:rsidRPr="00DA6067" w:rsidR="00000FE9" w:rsidP="00000FE9" w:rsidRDefault="00000FE9" w14:paraId="3FEF4B8D" w14:textId="1BB92292">
      <w:pPr>
        <w:pStyle w:val="BodyText"/>
        <w:rPr>
          <w:highlight w:val="yellow"/>
          <w:lang w:val="nl-NL"/>
        </w:rPr>
      </w:pPr>
    </w:p>
    <w:p w:rsidRPr="00ED4183" w:rsidR="00000FE9" w:rsidP="00000FE9" w:rsidRDefault="00000FE9" w14:paraId="5A3238C9" w14:textId="77777777">
      <w:pPr>
        <w:pStyle w:val="ListParagraph"/>
        <w:numPr>
          <w:ilvl w:val="1"/>
          <w:numId w:val="2"/>
        </w:numPr>
        <w:tabs>
          <w:tab w:val="left" w:pos="490"/>
        </w:tabs>
        <w:ind w:left="0" w:firstLine="0"/>
        <w:rPr>
          <w:i/>
          <w:sz w:val="18"/>
          <w:szCs w:val="18"/>
          <w:u w:val="single"/>
          <w:lang w:val="nl-NL"/>
        </w:rPr>
      </w:pPr>
      <w:r w:rsidRPr="00ED4183">
        <w:rPr>
          <w:i/>
          <w:sz w:val="18"/>
          <w:szCs w:val="18"/>
          <w:u w:val="single"/>
          <w:lang w:val="nl-NL"/>
        </w:rPr>
        <w:t>Oceanië:</w:t>
      </w:r>
    </w:p>
    <w:p w:rsidRPr="00DA6067" w:rsidR="00000FE9" w:rsidP="00000FE9" w:rsidRDefault="00000FE9" w14:paraId="53B96BAF" w14:textId="77777777">
      <w:pPr>
        <w:pStyle w:val="BodyText"/>
        <w:rPr>
          <w:highlight w:val="yellow"/>
          <w:lang w:val="nl-NL"/>
        </w:rPr>
      </w:pPr>
    </w:p>
    <w:p w:rsidRPr="00FB27CC" w:rsidR="00000FE9" w:rsidP="00000FE9" w:rsidRDefault="00000FE9" w14:paraId="0B64EB4C" w14:textId="245FA10A">
      <w:pPr>
        <w:rPr>
          <w:sz w:val="18"/>
          <w:szCs w:val="18"/>
          <w:lang w:val="nl-NL"/>
        </w:rPr>
      </w:pPr>
      <w:r w:rsidRPr="00A72BB0">
        <w:rPr>
          <w:sz w:val="18"/>
          <w:szCs w:val="18"/>
          <w:u w:val="single"/>
          <w:lang w:val="nl-NL"/>
        </w:rPr>
        <w:t>Australië (</w:t>
      </w:r>
      <w:r w:rsidRPr="00A72BB0">
        <w:rPr>
          <w:i/>
          <w:sz w:val="18"/>
          <w:szCs w:val="18"/>
          <w:u w:val="single"/>
          <w:lang w:val="nl-NL"/>
        </w:rPr>
        <w:t>EU-Australia Free Trade Agreement</w:t>
      </w:r>
      <w:r w:rsidRPr="00A72BB0">
        <w:rPr>
          <w:sz w:val="18"/>
          <w:szCs w:val="18"/>
          <w:u w:val="single"/>
          <w:lang w:val="nl-NL"/>
        </w:rPr>
        <w:t>)</w:t>
      </w:r>
      <w:r w:rsidRPr="00A72BB0">
        <w:rPr>
          <w:sz w:val="18"/>
          <w:szCs w:val="18"/>
          <w:lang w:val="nl-NL"/>
        </w:rPr>
        <w:t>:</w:t>
      </w:r>
      <w:r w:rsidRPr="00A72BB0">
        <w:rPr>
          <w:sz w:val="18"/>
          <w:szCs w:val="18"/>
          <w:lang w:val="nl-NL"/>
        </w:rPr>
        <w:br/>
        <w:t>Het mandaat om te onderhandelen over een handelsakkoord tussen de EU en Australië is op 22 mei 2018 door de Raad vastgesteld.</w:t>
      </w:r>
      <w:r w:rsidRPr="00A72BB0">
        <w:rPr>
          <w:rStyle w:val="FootnoteReference"/>
          <w:sz w:val="18"/>
          <w:szCs w:val="18"/>
        </w:rPr>
        <w:footnoteReference w:id="23"/>
      </w:r>
      <w:r w:rsidRPr="00A72BB0">
        <w:rPr>
          <w:sz w:val="18"/>
          <w:szCs w:val="18"/>
          <w:lang w:val="nl-NL"/>
        </w:rPr>
        <w:t xml:space="preserve"> Er wordt onderhandeld over een handelsakkoord binnen de exclusieve competentie van de EU</w:t>
      </w:r>
      <w:r w:rsidRPr="00A72BB0" w:rsidR="009154AF">
        <w:rPr>
          <w:sz w:val="18"/>
          <w:szCs w:val="18"/>
          <w:lang w:val="nl-NL"/>
        </w:rPr>
        <w:t xml:space="preserve">. Er is geen sprake van onderhandelingen over </w:t>
      </w:r>
      <w:r w:rsidRPr="00A72BB0">
        <w:rPr>
          <w:sz w:val="18"/>
          <w:szCs w:val="18"/>
          <w:lang w:val="nl-NL"/>
        </w:rPr>
        <w:t xml:space="preserve">investeringsbescherming. Op 18 juni 2018 zijn de onderhandelingen tussen de EU en Australië officieel begonnen. Er hebben tot nu toe acht onderhandelingsrondes plaatsgevonden. </w:t>
      </w:r>
      <w:r w:rsidRPr="00A72BB0" w:rsidR="005C3971">
        <w:rPr>
          <w:sz w:val="18"/>
          <w:szCs w:val="18"/>
          <w:lang w:val="nl-NL"/>
        </w:rPr>
        <w:t>Meest recente elfde onderhandelingsronde van een EU – AUS handelsakkoord vond plaats van 1 -11 juni jl.</w:t>
      </w:r>
      <w:r w:rsidRPr="00A72BB0" w:rsidR="005C3971">
        <w:rPr>
          <w:rStyle w:val="FootnoteReference"/>
          <w:sz w:val="18"/>
          <w:szCs w:val="18"/>
          <w:lang w:val="nl-NL"/>
        </w:rPr>
        <w:footnoteReference w:id="24"/>
      </w:r>
      <w:r w:rsidRPr="00A72BB0" w:rsidR="005C3971">
        <w:rPr>
          <w:sz w:val="18"/>
          <w:szCs w:val="18"/>
          <w:lang w:val="nl-NL"/>
        </w:rPr>
        <w:t xml:space="preserve"> Openstaande punten in de onderhandelingen liggen onder andere op het gebied van handel en duurzame ontwikkeling, geografische aanduidingen en markttoegang voor overheidsaanbestedingen. De eerst volgende onderhandelingsronde voorzien voor oktober is uitgesteld.</w:t>
      </w:r>
      <w:r w:rsidR="005C3971">
        <w:rPr>
          <w:sz w:val="18"/>
          <w:szCs w:val="18"/>
          <w:lang w:val="nl-NL"/>
        </w:rPr>
        <w:t xml:space="preserve"> </w:t>
      </w:r>
      <w:r w:rsidRPr="00DA6067">
        <w:rPr>
          <w:sz w:val="18"/>
          <w:szCs w:val="18"/>
          <w:highlight w:val="yellow"/>
          <w:lang w:val="nl-NL"/>
        </w:rPr>
        <w:br/>
      </w:r>
    </w:p>
    <w:p w:rsidRPr="00626686" w:rsidR="00000FE9" w:rsidP="00000FE9" w:rsidRDefault="00000FE9" w14:paraId="39A38A77" w14:textId="77777777">
      <w:pPr>
        <w:rPr>
          <w:sz w:val="18"/>
          <w:szCs w:val="18"/>
          <w:lang w:val="nl-NL"/>
        </w:rPr>
      </w:pPr>
      <w:r w:rsidRPr="00626686">
        <w:rPr>
          <w:sz w:val="18"/>
          <w:szCs w:val="18"/>
          <w:u w:val="single"/>
          <w:lang w:val="nl-NL"/>
        </w:rPr>
        <w:t>Nieuw-Zeeland (</w:t>
      </w:r>
      <w:r w:rsidRPr="00626686">
        <w:rPr>
          <w:i/>
          <w:sz w:val="18"/>
          <w:szCs w:val="18"/>
          <w:u w:val="single"/>
          <w:lang w:val="nl-NL"/>
        </w:rPr>
        <w:t>EU-New Zealand Free Trade Agreement</w:t>
      </w:r>
      <w:r w:rsidRPr="00626686">
        <w:rPr>
          <w:sz w:val="18"/>
          <w:szCs w:val="18"/>
          <w:u w:val="single"/>
          <w:lang w:val="nl-NL"/>
        </w:rPr>
        <w:t>)</w:t>
      </w:r>
      <w:r w:rsidRPr="00626686">
        <w:rPr>
          <w:sz w:val="18"/>
          <w:szCs w:val="18"/>
          <w:lang w:val="nl-NL"/>
        </w:rPr>
        <w:t>:</w:t>
      </w:r>
    </w:p>
    <w:p w:rsidRPr="00FB27CC" w:rsidR="00000FE9" w:rsidP="00000FE9" w:rsidRDefault="00000FE9" w14:paraId="5203D87D" w14:textId="3791F894">
      <w:pPr>
        <w:pStyle w:val="Default"/>
        <w:rPr>
          <w:rFonts w:ascii="Verdana" w:hAnsi="Verdana"/>
          <w:sz w:val="18"/>
          <w:szCs w:val="18"/>
        </w:rPr>
      </w:pPr>
      <w:r w:rsidRPr="00FB27CC">
        <w:rPr>
          <w:rFonts w:ascii="Verdana" w:hAnsi="Verdana"/>
          <w:sz w:val="18"/>
          <w:szCs w:val="18"/>
        </w:rPr>
        <w:t>Het mandaat om te onderhandelen over een handelsakkoord tussen de EU en Nieuw-Zeeland is op 22 mei 2018 door de Raad vastgesteld.</w:t>
      </w:r>
      <w:r w:rsidRPr="00FB27CC">
        <w:rPr>
          <w:rStyle w:val="FootnoteReference"/>
          <w:rFonts w:ascii="Verdana" w:hAnsi="Verdana"/>
          <w:sz w:val="18"/>
          <w:szCs w:val="18"/>
        </w:rPr>
        <w:footnoteReference w:id="25"/>
      </w:r>
      <w:r w:rsidRPr="00FB27CC">
        <w:rPr>
          <w:rFonts w:ascii="Verdana" w:hAnsi="Verdana"/>
          <w:sz w:val="18"/>
          <w:szCs w:val="18"/>
        </w:rPr>
        <w:t xml:space="preserve"> Op 21 juni 2018 zijn de onderhandelingen tussen de EU en </w:t>
      </w:r>
      <w:r w:rsidRPr="00FB27CC">
        <w:rPr>
          <w:rFonts w:ascii="Verdana" w:hAnsi="Verdana"/>
          <w:sz w:val="18"/>
          <w:szCs w:val="18"/>
        </w:rPr>
        <w:lastRenderedPageBreak/>
        <w:t xml:space="preserve">Nieuw-Zeeland officieel begonnen. Er wordt onderhandeld over een handelsakkoord binnen de exclusieve competentie van de EU. </w:t>
      </w:r>
      <w:r w:rsidRPr="00FB27CC" w:rsidR="009154AF">
        <w:rPr>
          <w:rFonts w:ascii="Verdana" w:hAnsi="Verdana"/>
          <w:sz w:val="18"/>
          <w:szCs w:val="18"/>
        </w:rPr>
        <w:t>Er is geen sprake van onderhandelingen over investeringsbescherming</w:t>
      </w:r>
      <w:r w:rsidRPr="00FB27CC" w:rsidR="00A72BB0">
        <w:rPr>
          <w:rFonts w:ascii="Verdana" w:hAnsi="Verdana"/>
          <w:sz w:val="18"/>
          <w:szCs w:val="18"/>
        </w:rPr>
        <w:t xml:space="preserve">. </w:t>
      </w:r>
      <w:r w:rsidRPr="00FB27CC" w:rsidR="00A72BB0">
        <w:rPr>
          <w:rFonts w:ascii="Verdana" w:hAnsi="Verdana" w:eastAsia="Verdana" w:cs="Verdana"/>
          <w:sz w:val="18"/>
          <w:szCs w:val="18"/>
        </w:rPr>
        <w:t>De 11e ronde heeft van 28 juni tot 8 juli plaatsgevonden, tijdens deze ronde heeft de Europese Commissie een herzien goederenaanbod gedeeld</w:t>
      </w:r>
      <w:r w:rsidR="00FB27CC">
        <w:rPr>
          <w:rStyle w:val="FootnoteReference"/>
          <w:rFonts w:ascii="Verdana" w:hAnsi="Verdana" w:eastAsia="Verdana" w:cs="Verdana"/>
          <w:sz w:val="18"/>
          <w:szCs w:val="18"/>
        </w:rPr>
        <w:footnoteReference w:id="26"/>
      </w:r>
      <w:r w:rsidR="00894269">
        <w:rPr>
          <w:rFonts w:ascii="Verdana" w:hAnsi="Verdana" w:eastAsia="Verdana" w:cs="Verdana"/>
          <w:sz w:val="18"/>
          <w:szCs w:val="18"/>
        </w:rPr>
        <w:t xml:space="preserve">. </w:t>
      </w:r>
      <w:r w:rsidR="00C34787">
        <w:rPr>
          <w:rFonts w:ascii="Verdana" w:hAnsi="Verdana" w:eastAsia="Verdana" w:cs="Verdana"/>
          <w:sz w:val="18"/>
          <w:szCs w:val="18"/>
        </w:rPr>
        <w:t xml:space="preserve">De discussie verliep constructief en de onderhandelingen zijn in een vergevorderd stadium. </w:t>
      </w:r>
      <w:r w:rsidR="00894269">
        <w:rPr>
          <w:rFonts w:ascii="Verdana" w:hAnsi="Verdana" w:eastAsia="Verdana" w:cs="Verdana"/>
          <w:sz w:val="18"/>
          <w:szCs w:val="18"/>
        </w:rPr>
        <w:t xml:space="preserve">Handelsminister O’Connor heeft </w:t>
      </w:r>
      <w:r w:rsidR="00C34787">
        <w:rPr>
          <w:rFonts w:ascii="Verdana" w:hAnsi="Verdana" w:eastAsia="Verdana" w:cs="Verdana"/>
          <w:sz w:val="18"/>
          <w:szCs w:val="18"/>
        </w:rPr>
        <w:t xml:space="preserve">tijdens zijn laatste ontmoeting met vicepresident Dombrovskis benadrukt eraan te hechten om dit jaar de onderhandelingen af te ronden, bij voorkeur rondom de volgende voorziene onderhandelingsronde in november. </w:t>
      </w:r>
    </w:p>
    <w:p w:rsidRPr="00DA6067" w:rsidR="00000FE9" w:rsidP="00000FE9" w:rsidRDefault="00000FE9" w14:paraId="78950468" w14:textId="77777777">
      <w:pPr>
        <w:pStyle w:val="Default"/>
        <w:rPr>
          <w:highlight w:val="yellow"/>
        </w:rPr>
      </w:pPr>
    </w:p>
    <w:p w:rsidRPr="003D0370" w:rsidR="00000FE9" w:rsidP="00000FE9" w:rsidRDefault="00000FE9" w14:paraId="07D6F130" w14:textId="77777777">
      <w:pPr>
        <w:pStyle w:val="BodyText"/>
        <w:rPr>
          <w:lang w:val="nl-NL"/>
        </w:rPr>
      </w:pPr>
      <w:r w:rsidRPr="003D0370">
        <w:rPr>
          <w:u w:val="single"/>
          <w:lang w:val="nl-NL"/>
        </w:rPr>
        <w:t>Economisch Partnerschap met de landen in de Stille Oceaan (</w:t>
      </w:r>
      <w:r w:rsidRPr="003D0370">
        <w:rPr>
          <w:i/>
          <w:u w:val="single"/>
          <w:lang w:val="nl-NL"/>
        </w:rPr>
        <w:t>Pacific-EU EPA</w:t>
      </w:r>
      <w:r w:rsidRPr="003D0370">
        <w:rPr>
          <w:u w:val="single"/>
          <w:lang w:val="nl-NL"/>
        </w:rPr>
        <w:t>):</w:t>
      </w:r>
    </w:p>
    <w:p w:rsidRPr="000203DE" w:rsidR="00000FE9" w:rsidP="00000FE9" w:rsidRDefault="00000FE9" w14:paraId="5BEF6506" w14:textId="67F39CCB">
      <w:pPr>
        <w:widowControl/>
        <w:adjustRightInd w:val="0"/>
        <w:rPr>
          <w:color w:val="000000"/>
          <w:sz w:val="18"/>
          <w:szCs w:val="18"/>
          <w:lang w:val="nl-NL"/>
        </w:rPr>
      </w:pPr>
      <w:r w:rsidRPr="003D0370">
        <w:rPr>
          <w:sz w:val="18"/>
          <w:szCs w:val="18"/>
          <w:lang w:val="nl-NL"/>
        </w:rPr>
        <w:t>De onderhandelingen met de gehele Stille Oceaan regio over een regionale EPA zijn nog altijd gaande. Voor Papoea-Nieuw-Guinea, Fiji en Samoa is een interim-EPA van kracht</w:t>
      </w:r>
      <w:r w:rsidRPr="000203DE">
        <w:rPr>
          <w:sz w:val="18"/>
          <w:szCs w:val="18"/>
          <w:lang w:val="nl-NL"/>
        </w:rPr>
        <w:t xml:space="preserve">. </w:t>
      </w:r>
      <w:r w:rsidRPr="000203DE" w:rsidR="000203DE">
        <w:rPr>
          <w:color w:val="000000"/>
          <w:sz w:val="18"/>
          <w:szCs w:val="18"/>
          <w:lang w:val="nl-NL"/>
        </w:rPr>
        <w:t xml:space="preserve">In oktober </w:t>
      </w:r>
      <w:r w:rsidRPr="003D0370">
        <w:rPr>
          <w:color w:val="000000"/>
          <w:sz w:val="18"/>
          <w:szCs w:val="18"/>
          <w:lang w:val="nl-NL"/>
        </w:rPr>
        <w:t xml:space="preserve">2019 vond de zevende en laatste </w:t>
      </w:r>
      <w:r w:rsidRPr="003D0370">
        <w:rPr>
          <w:i/>
          <w:color w:val="000000"/>
          <w:sz w:val="18"/>
          <w:szCs w:val="18"/>
          <w:lang w:val="nl-NL"/>
        </w:rPr>
        <w:t>EU-Pacific EPA Trade Committee</w:t>
      </w:r>
      <w:r w:rsidRPr="003D0370">
        <w:rPr>
          <w:color w:val="000000"/>
          <w:sz w:val="18"/>
          <w:szCs w:val="18"/>
          <w:lang w:val="nl-NL"/>
        </w:rPr>
        <w:t xml:space="preserve"> bijeenkomst plaats. </w:t>
      </w:r>
      <w:r w:rsidRPr="003D0370">
        <w:rPr>
          <w:sz w:val="18"/>
          <w:szCs w:val="18"/>
          <w:lang w:val="nl-NL" w:eastAsia="nl-NL"/>
        </w:rPr>
        <w:t xml:space="preserve">Samoa, dat eind 2018 de status ‘minst ontwikkeld land’ kwijtraakte, trad per </w:t>
      </w:r>
      <w:r w:rsidRPr="003D0370">
        <w:rPr>
          <w:sz w:val="18"/>
          <w:szCs w:val="18"/>
          <w:lang w:val="nl-NL"/>
        </w:rPr>
        <w:t xml:space="preserve">1 januari 2019 tot het akkoord toe, de </w:t>
      </w:r>
      <w:r w:rsidRPr="003D0370">
        <w:rPr>
          <w:sz w:val="18"/>
          <w:szCs w:val="18"/>
          <w:lang w:val="nl-NL" w:eastAsia="nl-NL"/>
        </w:rPr>
        <w:t xml:space="preserve">Solomon-eilanden op 7 mei 2020. </w:t>
      </w:r>
      <w:r w:rsidRPr="003D0370">
        <w:rPr>
          <w:color w:val="000000"/>
          <w:sz w:val="18"/>
          <w:szCs w:val="18"/>
          <w:lang w:val="nl-NL"/>
        </w:rPr>
        <w:t xml:space="preserve">Inmiddels is ook de procedure gestart voor de toetreding van Tonga </w:t>
      </w:r>
      <w:r w:rsidRPr="000203DE" w:rsidR="000203DE">
        <w:rPr>
          <w:color w:val="000000"/>
          <w:sz w:val="18"/>
          <w:szCs w:val="18"/>
          <w:lang w:val="nl-NL"/>
        </w:rPr>
        <w:t xml:space="preserve">en Timor Leste </w:t>
      </w:r>
      <w:r w:rsidRPr="000203DE">
        <w:rPr>
          <w:color w:val="000000"/>
          <w:sz w:val="18"/>
          <w:szCs w:val="18"/>
          <w:lang w:val="nl-NL"/>
        </w:rPr>
        <w:t xml:space="preserve">tot deze interim-EPA. </w:t>
      </w:r>
    </w:p>
    <w:p w:rsidRPr="003D0370" w:rsidR="00000FE9" w:rsidP="00000FE9" w:rsidRDefault="00000FE9" w14:paraId="0A0385ED" w14:textId="77777777">
      <w:pPr>
        <w:widowControl/>
        <w:adjustRightInd w:val="0"/>
        <w:rPr>
          <w:rFonts w:eastAsiaTheme="minorHAnsi" w:cstheme="minorHAnsi"/>
          <w:color w:val="000000"/>
          <w:sz w:val="18"/>
          <w:szCs w:val="18"/>
          <w:lang w:val="nl-NL"/>
        </w:rPr>
      </w:pPr>
    </w:p>
    <w:p w:rsidRPr="00ED4183" w:rsidR="00000FE9" w:rsidP="00000FE9" w:rsidRDefault="00000FE9" w14:paraId="44359A68" w14:textId="77777777">
      <w:pPr>
        <w:pStyle w:val="ListParagraph"/>
        <w:numPr>
          <w:ilvl w:val="1"/>
          <w:numId w:val="2"/>
        </w:numPr>
        <w:tabs>
          <w:tab w:val="left" w:pos="490"/>
        </w:tabs>
        <w:ind w:left="0" w:firstLine="0"/>
        <w:rPr>
          <w:i/>
          <w:sz w:val="18"/>
          <w:szCs w:val="18"/>
          <w:u w:val="single"/>
        </w:rPr>
      </w:pPr>
      <w:r w:rsidRPr="00ED4183">
        <w:rPr>
          <w:i/>
          <w:sz w:val="18"/>
          <w:szCs w:val="18"/>
          <w:u w:val="single"/>
        </w:rPr>
        <w:t>Zuid-Amerika:</w:t>
      </w:r>
    </w:p>
    <w:p w:rsidRPr="00DA6067" w:rsidR="00000FE9" w:rsidP="00000FE9" w:rsidRDefault="00000FE9" w14:paraId="5771624B" w14:textId="77777777">
      <w:pPr>
        <w:pStyle w:val="BodyText"/>
        <w:rPr>
          <w:highlight w:val="yellow"/>
          <w:lang w:val="nl-NL"/>
        </w:rPr>
      </w:pPr>
    </w:p>
    <w:p w:rsidRPr="00FC0F0C" w:rsidR="00000FE9" w:rsidP="00000FE9" w:rsidRDefault="00000FE9" w14:paraId="33D4C145" w14:textId="77777777">
      <w:pPr>
        <w:pStyle w:val="BodyText"/>
        <w:rPr>
          <w:lang w:val="nl-NL"/>
        </w:rPr>
      </w:pPr>
      <w:r w:rsidRPr="00FC0F0C">
        <w:rPr>
          <w:u w:val="single"/>
          <w:lang w:val="nl-NL"/>
        </w:rPr>
        <w:t>Chili (modernisering associatieakkoord)</w:t>
      </w:r>
      <w:r w:rsidRPr="00FC0F0C">
        <w:rPr>
          <w:lang w:val="nl-NL"/>
        </w:rPr>
        <w:t>:</w:t>
      </w:r>
    </w:p>
    <w:p w:rsidRPr="00340D94" w:rsidR="00000FE9" w:rsidP="00000FE9" w:rsidRDefault="00000FE9" w14:paraId="04074EBC" w14:textId="65B4261B">
      <w:pPr>
        <w:pStyle w:val="BodyText"/>
        <w:rPr>
          <w:highlight w:val="yellow"/>
          <w:lang w:val="nl-NL"/>
        </w:rPr>
      </w:pPr>
      <w:r w:rsidRPr="00FC0F0C">
        <w:rPr>
          <w:lang w:val="nl-NL"/>
        </w:rPr>
        <w:t xml:space="preserve">Het associatieakkoord tussen de EU en Chili kwam in 2002 tot stand en is in 2005 in werking getreden. De EU en Chili besloten in 2013 de mogelijkheden te verkennen om het handelsgedeelte van het bestaande associatieakkoord te moderniseren. Om de toegevoegde waarde, de omvang en de ambitie te verkennen, werd in 2014 een gezamenlijke werkgroep opgericht. De Europese Commissie heeft in 2016 de </w:t>
      </w:r>
      <w:r w:rsidRPr="00FC0F0C">
        <w:rPr>
          <w:i/>
          <w:lang w:val="nl-NL"/>
        </w:rPr>
        <w:t>stakeholders</w:t>
      </w:r>
      <w:r w:rsidRPr="00FC0F0C">
        <w:rPr>
          <w:lang w:val="nl-NL"/>
        </w:rPr>
        <w:t xml:space="preserve"> consultatie en het </w:t>
      </w:r>
      <w:r w:rsidRPr="00FC0F0C">
        <w:rPr>
          <w:i/>
          <w:lang w:val="nl-NL"/>
        </w:rPr>
        <w:t xml:space="preserve">scoping paper </w:t>
      </w:r>
      <w:r w:rsidRPr="00FC0F0C">
        <w:rPr>
          <w:lang w:val="nl-NL"/>
        </w:rPr>
        <w:t>afgerond. Op 13 november 2017 werd het onderhandelingsmandaat door de Raad goedgekeurd. Het mandaat is openbaar.</w:t>
      </w:r>
      <w:r w:rsidRPr="00FC0F0C">
        <w:rPr>
          <w:rStyle w:val="FootnoteReference"/>
          <w:lang w:val="nl-NL"/>
        </w:rPr>
        <w:footnoteReference w:id="27"/>
      </w:r>
      <w:r w:rsidRPr="00FC0F0C">
        <w:rPr>
          <w:lang w:val="nl-NL"/>
        </w:rPr>
        <w:t xml:space="preserve"> De </w:t>
      </w:r>
      <w:r w:rsidR="00FC0F0C">
        <w:rPr>
          <w:lang w:val="nl-NL"/>
        </w:rPr>
        <w:t>t</w:t>
      </w:r>
      <w:r w:rsidRPr="00FC0F0C" w:rsidR="00340D94">
        <w:rPr>
          <w:lang w:val="nl-NL"/>
        </w:rPr>
        <w:t>iende</w:t>
      </w:r>
      <w:r w:rsidRPr="00FC0F0C" w:rsidR="009427CC">
        <w:rPr>
          <w:lang w:val="nl-NL"/>
        </w:rPr>
        <w:t xml:space="preserve"> </w:t>
      </w:r>
      <w:r w:rsidRPr="00FC0F0C">
        <w:rPr>
          <w:lang w:val="nl-NL"/>
        </w:rPr>
        <w:t xml:space="preserve">onderhandelingsronde vond plaats van </w:t>
      </w:r>
      <w:r w:rsidR="00FC0F0C">
        <w:rPr>
          <w:lang w:val="nl-NL"/>
        </w:rPr>
        <w:t>15-29 mei</w:t>
      </w:r>
      <w:r w:rsidRPr="00FC0F0C" w:rsidR="00702AFD">
        <w:rPr>
          <w:lang w:val="nl-NL"/>
        </w:rPr>
        <w:t xml:space="preserve"> 2021</w:t>
      </w:r>
      <w:r w:rsidR="00DC74D2">
        <w:rPr>
          <w:rStyle w:val="FootnoteReference"/>
          <w:lang w:val="nl-NL"/>
        </w:rPr>
        <w:footnoteReference w:id="28"/>
      </w:r>
      <w:r w:rsidRPr="00FC0F0C" w:rsidR="00340D94">
        <w:rPr>
          <w:lang w:val="nl-NL"/>
        </w:rPr>
        <w:t>. De recentste besprekingen vonden plaats in de week van 13 september, toen de Chileense Viceminister van Handel Rodrigo Yanez Brussel bezocht. Op dit moment zijn de onderhandelingen in een vergevorderd stadium</w:t>
      </w:r>
      <w:r w:rsidRPr="00340D94" w:rsidR="00340D94">
        <w:rPr>
          <w:lang w:val="nl-NL"/>
        </w:rPr>
        <w:t xml:space="preserve">. </w:t>
      </w:r>
      <w:r w:rsidR="00340D94">
        <w:rPr>
          <w:lang w:val="nl-NL"/>
        </w:rPr>
        <w:t>Streven is om tot spoedige overeenstemming over een akkoord te komen, bij voorkeur voor einde van dit jaar</w:t>
      </w:r>
      <w:r w:rsidRPr="00340D94" w:rsidR="00340D94">
        <w:rPr>
          <w:lang w:val="nl-NL"/>
        </w:rPr>
        <w:t xml:space="preserve">. </w:t>
      </w:r>
      <w:r w:rsidR="00340D94">
        <w:rPr>
          <w:lang w:val="nl-NL"/>
        </w:rPr>
        <w:t>Dit lijkt haalbaar</w:t>
      </w:r>
      <w:r w:rsidRPr="00340D94" w:rsidR="00340D94">
        <w:rPr>
          <w:lang w:val="nl-NL"/>
        </w:rPr>
        <w:t>, mits enkele openstaande punten kunnen worden opgelost</w:t>
      </w:r>
    </w:p>
    <w:p w:rsidRPr="00340D94" w:rsidR="00000FE9" w:rsidP="00000FE9" w:rsidRDefault="00000FE9" w14:paraId="27642D88" w14:textId="77777777">
      <w:pPr>
        <w:pStyle w:val="BodyText"/>
        <w:rPr>
          <w:highlight w:val="yellow"/>
          <w:lang w:val="nl-NL"/>
        </w:rPr>
      </w:pPr>
    </w:p>
    <w:p w:rsidRPr="003D0370" w:rsidR="00000FE9" w:rsidP="00000FE9" w:rsidRDefault="00000FE9" w14:paraId="49338CD4" w14:textId="77777777">
      <w:pPr>
        <w:rPr>
          <w:sz w:val="18"/>
          <w:szCs w:val="18"/>
          <w:lang w:val="nl-NL"/>
        </w:rPr>
      </w:pPr>
      <w:r w:rsidRPr="003D0370">
        <w:rPr>
          <w:sz w:val="18"/>
          <w:szCs w:val="18"/>
          <w:u w:val="single"/>
          <w:lang w:val="nl-NL"/>
        </w:rPr>
        <w:t>Colombia, Peru en Ecuador (</w:t>
      </w:r>
      <w:r w:rsidRPr="003D0370">
        <w:rPr>
          <w:i/>
          <w:sz w:val="18"/>
          <w:szCs w:val="18"/>
          <w:u w:val="single"/>
          <w:lang w:val="nl-NL"/>
        </w:rPr>
        <w:t>EU-Colombia</w:t>
      </w:r>
      <w:r w:rsidRPr="003D0370">
        <w:rPr>
          <w:sz w:val="18"/>
          <w:szCs w:val="18"/>
          <w:u w:val="single"/>
          <w:lang w:val="nl-NL"/>
        </w:rPr>
        <w:t>/</w:t>
      </w:r>
      <w:r w:rsidRPr="003D0370">
        <w:rPr>
          <w:i/>
          <w:sz w:val="18"/>
          <w:szCs w:val="18"/>
          <w:u w:val="single"/>
          <w:lang w:val="nl-NL"/>
        </w:rPr>
        <w:t>Peru</w:t>
      </w:r>
      <w:r w:rsidRPr="003D0370">
        <w:rPr>
          <w:sz w:val="18"/>
          <w:szCs w:val="18"/>
          <w:u w:val="single"/>
          <w:lang w:val="nl-NL"/>
        </w:rPr>
        <w:t>/</w:t>
      </w:r>
      <w:r w:rsidRPr="003D0370">
        <w:rPr>
          <w:i/>
          <w:sz w:val="18"/>
          <w:szCs w:val="18"/>
          <w:u w:val="single"/>
          <w:lang w:val="nl-NL"/>
        </w:rPr>
        <w:t>Ecuador Free Trade Agreement</w:t>
      </w:r>
      <w:r w:rsidRPr="003D0370">
        <w:rPr>
          <w:sz w:val="18"/>
          <w:szCs w:val="18"/>
          <w:lang w:val="nl-NL"/>
        </w:rPr>
        <w:t xml:space="preserve">): </w:t>
      </w:r>
    </w:p>
    <w:p w:rsidRPr="00DA6067" w:rsidR="00000FE9" w:rsidP="00000FE9" w:rsidRDefault="00000FE9" w14:paraId="59AE735C" w14:textId="5C9FDAAF">
      <w:pPr>
        <w:pStyle w:val="BodyText"/>
        <w:rPr>
          <w:highlight w:val="yellow"/>
          <w:lang w:val="nl-NL"/>
        </w:rPr>
      </w:pPr>
      <w:r w:rsidRPr="00EA20EB">
        <w:rPr>
          <w:lang w:val="nl-NL"/>
        </w:rPr>
        <w:t xml:space="preserve">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meerpartijen-overeenkomst hervat met Colombia, Ecuador en Peru. Na vier rondes schorste Ecuador zijn deelname aan de besprekingen. De onderhandelingen werden met Colombia en Peru in mei 2010 succesvol afgesloten. Voorlopige toepassing geldt met Peru per maart 2013 en met Colombia per augustus 2013. Vanaf 2014 vonden tussen de EU en Ecuador onderhandelingen plaats over een protocol van toetreding. De onderhandelingen zijn op 17 juli 2014 afgerond. Per 1 januari 2017 wordt dit akkoord met Ecuador voorlopig toegepast. Op 14 december 2018 heeft de Ministerraad ingestemd met het opstarten van de stilzwijgende goedkeuringsprocedure inzake het toetredingsprotocol </w:t>
      </w:r>
      <w:r w:rsidRPr="00EA20EB" w:rsidR="003F541B">
        <w:rPr>
          <w:lang w:val="nl-NL"/>
        </w:rPr>
        <w:t xml:space="preserve">van </w:t>
      </w:r>
      <w:r w:rsidRPr="00EA20EB">
        <w:rPr>
          <w:lang w:val="nl-NL"/>
        </w:rPr>
        <w:t>Ecuador bij de Handelsovereenkomst. De Kamer heeft op 14 juli 2019 ingestemd met het protocol van toetreding tot de Handelsovereenkomst; het Koninkrijk der Nederlanden heeft het toetredingsprotocol vervolgens op 27 juli 2019 (voor het Europese deel van het Koninkrijk) geratificeerd. Het protocol treedt pas in werking als alle partijen geratificeerd hebben.</w:t>
      </w:r>
    </w:p>
    <w:p w:rsidRPr="00DA6067" w:rsidR="00000FE9" w:rsidP="00000FE9" w:rsidRDefault="00000FE9" w14:paraId="148C822A" w14:textId="77777777">
      <w:pPr>
        <w:pStyle w:val="BodyText"/>
        <w:rPr>
          <w:highlight w:val="yellow"/>
          <w:lang w:val="nl-NL"/>
        </w:rPr>
      </w:pPr>
    </w:p>
    <w:p w:rsidRPr="00EA20EB" w:rsidR="00000FE9" w:rsidP="00000FE9" w:rsidRDefault="00000FE9" w14:paraId="6D6A54C1" w14:textId="77777777">
      <w:pPr>
        <w:pStyle w:val="BodyText"/>
      </w:pPr>
      <w:r w:rsidRPr="00EA20EB">
        <w:rPr>
          <w:u w:val="single"/>
        </w:rPr>
        <w:t>Mercosur (</w:t>
      </w:r>
      <w:r w:rsidRPr="00EA20EB">
        <w:rPr>
          <w:i/>
          <w:u w:val="single"/>
        </w:rPr>
        <w:t xml:space="preserve">Comprehensive Free Trade Agreement </w:t>
      </w:r>
      <w:r w:rsidRPr="00EA20EB">
        <w:rPr>
          <w:u w:val="single"/>
        </w:rPr>
        <w:t>als onderdeel van</w:t>
      </w:r>
      <w:r w:rsidRPr="00EA20EB">
        <w:rPr>
          <w:i/>
          <w:u w:val="single"/>
        </w:rPr>
        <w:t xml:space="preserve"> Association Agreement</w:t>
      </w:r>
      <w:r w:rsidRPr="00EA20EB">
        <w:rPr>
          <w:u w:val="single"/>
        </w:rPr>
        <w:t>)</w:t>
      </w:r>
      <w:r w:rsidRPr="00EA20EB">
        <w:t>:</w:t>
      </w:r>
    </w:p>
    <w:p w:rsidR="00000FE9" w:rsidP="00EA20EB" w:rsidRDefault="00000FE9" w14:paraId="45409797" w14:textId="56B5AD99">
      <w:pPr>
        <w:pStyle w:val="NormalWeb"/>
        <w:spacing w:before="0" w:beforeAutospacing="0" w:after="0" w:afterAutospacing="0"/>
        <w:rPr>
          <w:rFonts w:ascii="Verdana" w:hAnsi="Verdana"/>
          <w:sz w:val="18"/>
          <w:szCs w:val="18"/>
        </w:rPr>
      </w:pPr>
      <w:r w:rsidRPr="00EA20EB">
        <w:rPr>
          <w:rFonts w:ascii="Verdana" w:hAnsi="Verdana"/>
          <w:sz w:val="18"/>
          <w:szCs w:val="18"/>
        </w:rPr>
        <w:t>In 2000 zijn de EU en Mercosur gestart met onderhandelingen over een associatieakkoord met als onderdeel daarvan een handelsakkoord.</w:t>
      </w:r>
      <w:r w:rsidRPr="00EA20EB">
        <w:rPr>
          <w:rStyle w:val="FootnoteReference"/>
          <w:rFonts w:ascii="Verdana" w:hAnsi="Verdana"/>
          <w:sz w:val="18"/>
          <w:szCs w:val="18"/>
        </w:rPr>
        <w:footnoteReference w:id="29"/>
      </w:r>
      <w:r w:rsidRPr="00EA20EB">
        <w:rPr>
          <w:rFonts w:ascii="Verdana" w:hAnsi="Verdana"/>
          <w:sz w:val="18"/>
          <w:szCs w:val="18"/>
        </w:rPr>
        <w:t xml:space="preserve"> In 2004 werden de onderhandelingen stilgelegd en in 2010 </w:t>
      </w:r>
      <w:r w:rsidRPr="00EA20EB">
        <w:rPr>
          <w:rFonts w:ascii="Verdana" w:hAnsi="Verdana"/>
          <w:sz w:val="18"/>
          <w:szCs w:val="18"/>
        </w:rPr>
        <w:lastRenderedPageBreak/>
        <w:t>zijn deze hervat. Tussen 2012 en 2015 lagen de onderhandelingen wederom stil. Op 11 mei 2016 hebben de EU en Mercosur markttoegangsaanbiedingen uitgewisseld en sindsdien hebben meerdere onderhandelingsrondes plaatsgevonden, waaronder in jun</w:t>
      </w:r>
      <w:r w:rsidRPr="00EA20EB" w:rsidR="005F0555">
        <w:rPr>
          <w:rFonts w:ascii="Verdana" w:hAnsi="Verdana"/>
          <w:sz w:val="18"/>
          <w:szCs w:val="18"/>
        </w:rPr>
        <w:t>i, juli en september 2018. Op 28</w:t>
      </w:r>
      <w:r w:rsidRPr="00EA20EB">
        <w:rPr>
          <w:rFonts w:ascii="Verdana" w:hAnsi="Verdana"/>
          <w:sz w:val="18"/>
          <w:szCs w:val="18"/>
        </w:rPr>
        <w:t xml:space="preserve"> juni 2019 zijn de onderhandelaars tot een politiek akkoord gekomen, waarbij een aantal voorlopige teksten door de Europese Commissie </w:t>
      </w:r>
      <w:r w:rsidRPr="00EA20EB" w:rsidR="00003264">
        <w:rPr>
          <w:rFonts w:ascii="Verdana" w:hAnsi="Verdana"/>
          <w:sz w:val="18"/>
          <w:szCs w:val="18"/>
        </w:rPr>
        <w:t>is</w:t>
      </w:r>
      <w:r w:rsidRPr="00EA20EB">
        <w:rPr>
          <w:rFonts w:ascii="Verdana" w:hAnsi="Verdana"/>
          <w:sz w:val="18"/>
          <w:szCs w:val="18"/>
        </w:rPr>
        <w:t xml:space="preserve"> gepubliceerd.</w:t>
      </w:r>
      <w:r w:rsidRPr="00EA20EB" w:rsidR="00BB0B7A">
        <w:rPr>
          <w:rStyle w:val="FootnoteReference"/>
          <w:rFonts w:ascii="Verdana" w:hAnsi="Verdana"/>
          <w:sz w:val="18"/>
          <w:szCs w:val="18"/>
        </w:rPr>
        <w:footnoteReference w:id="30"/>
      </w:r>
      <w:r w:rsidRPr="00EA20EB">
        <w:rPr>
          <w:rFonts w:ascii="Verdana" w:hAnsi="Verdana"/>
          <w:sz w:val="18"/>
          <w:szCs w:val="18"/>
        </w:rPr>
        <w:t xml:space="preserve"> De Commissie werkt </w:t>
      </w:r>
      <w:r w:rsidR="005B5549">
        <w:rPr>
          <w:rFonts w:ascii="Verdana" w:hAnsi="Verdana"/>
          <w:sz w:val="18"/>
          <w:szCs w:val="18"/>
        </w:rPr>
        <w:t xml:space="preserve">momenteel </w:t>
      </w:r>
      <w:r w:rsidRPr="00EA20EB">
        <w:rPr>
          <w:rFonts w:ascii="Verdana" w:hAnsi="Verdana"/>
          <w:sz w:val="18"/>
          <w:szCs w:val="18"/>
        </w:rPr>
        <w:t xml:space="preserve">aan </w:t>
      </w:r>
      <w:r w:rsidRPr="00EA20EB" w:rsidR="008B42E7">
        <w:rPr>
          <w:rFonts w:ascii="Verdana" w:hAnsi="Verdana"/>
          <w:sz w:val="18"/>
          <w:szCs w:val="18"/>
        </w:rPr>
        <w:t>de</w:t>
      </w:r>
      <w:r w:rsidRPr="00EA20EB">
        <w:rPr>
          <w:rFonts w:ascii="Verdana" w:hAnsi="Verdana"/>
          <w:sz w:val="18"/>
          <w:szCs w:val="18"/>
        </w:rPr>
        <w:t xml:space="preserve"> juridische opschoning en vertaling van de teksten. </w:t>
      </w:r>
      <w:r w:rsidRPr="00EA20EB" w:rsidR="00BB0B7A">
        <w:rPr>
          <w:rFonts w:ascii="Verdana" w:hAnsi="Verdana"/>
          <w:sz w:val="18"/>
          <w:szCs w:val="18"/>
        </w:rPr>
        <w:t xml:space="preserve">Wageningen Universiteit </w:t>
      </w:r>
      <w:r w:rsidRPr="00EA20EB" w:rsidR="0083786B">
        <w:rPr>
          <w:rFonts w:ascii="Verdana" w:hAnsi="Verdana"/>
          <w:sz w:val="18"/>
          <w:szCs w:val="18"/>
        </w:rPr>
        <w:t xml:space="preserve">voerde </w:t>
      </w:r>
      <w:r w:rsidRPr="00EA20EB" w:rsidR="00BB0B7A">
        <w:rPr>
          <w:rFonts w:ascii="Verdana" w:hAnsi="Verdana"/>
          <w:sz w:val="18"/>
          <w:szCs w:val="18"/>
        </w:rPr>
        <w:t xml:space="preserve">een studie uit om de mogelijke effecten van het handelsakkoord voor Nederland, in het bijzonder op </w:t>
      </w:r>
      <w:r w:rsidRPr="00EA20EB" w:rsidR="0083786B">
        <w:rPr>
          <w:rFonts w:ascii="Verdana" w:hAnsi="Verdana"/>
          <w:sz w:val="18"/>
          <w:szCs w:val="18"/>
        </w:rPr>
        <w:t xml:space="preserve">agrarische </w:t>
      </w:r>
      <w:r w:rsidRPr="00EA20EB" w:rsidR="00BB0B7A">
        <w:rPr>
          <w:rFonts w:ascii="Verdana" w:hAnsi="Verdana"/>
          <w:sz w:val="18"/>
          <w:szCs w:val="18"/>
        </w:rPr>
        <w:t>huishoudens, te evalueren. In januari 2021</w:t>
      </w:r>
      <w:r w:rsidRPr="00EA20EB">
        <w:rPr>
          <w:rFonts w:ascii="Verdana" w:hAnsi="Verdana"/>
          <w:sz w:val="18"/>
          <w:szCs w:val="18"/>
        </w:rPr>
        <w:t xml:space="preserve"> </w:t>
      </w:r>
      <w:r w:rsidRPr="00EA20EB" w:rsidR="00BB0B7A">
        <w:rPr>
          <w:rFonts w:ascii="Verdana" w:hAnsi="Verdana"/>
          <w:sz w:val="18"/>
          <w:szCs w:val="18"/>
        </w:rPr>
        <w:t>werd het eindrapport aan de Tweede Kamer aangeboden</w:t>
      </w:r>
      <w:r w:rsidRPr="00EA20EB" w:rsidR="000449A7">
        <w:rPr>
          <w:rFonts w:ascii="Verdana" w:hAnsi="Verdana"/>
          <w:sz w:val="18"/>
          <w:szCs w:val="18"/>
        </w:rPr>
        <w:t xml:space="preserve"> (b</w:t>
      </w:r>
      <w:r w:rsidRPr="00EA20EB" w:rsidR="00E611B1">
        <w:rPr>
          <w:rFonts w:ascii="Verdana" w:hAnsi="Verdana"/>
          <w:sz w:val="18"/>
          <w:szCs w:val="18"/>
        </w:rPr>
        <w:t>ijlage bij Kamerstuk 31985, nr. 68)</w:t>
      </w:r>
      <w:r w:rsidRPr="00EA20EB">
        <w:rPr>
          <w:rFonts w:ascii="Verdana" w:hAnsi="Verdana"/>
          <w:sz w:val="18"/>
          <w:szCs w:val="18"/>
        </w:rPr>
        <w:t xml:space="preserve">. </w:t>
      </w:r>
      <w:r w:rsidRPr="00EA20EB" w:rsidR="0059427E">
        <w:rPr>
          <w:rFonts w:ascii="Verdana" w:hAnsi="Verdana"/>
          <w:sz w:val="18"/>
          <w:szCs w:val="18"/>
        </w:rPr>
        <w:t xml:space="preserve">De Commissie heeft het </w:t>
      </w:r>
      <w:r w:rsidRPr="00EA20EB" w:rsidR="0059427E">
        <w:rPr>
          <w:rFonts w:ascii="Verdana" w:hAnsi="Verdana"/>
          <w:i/>
          <w:sz w:val="18"/>
          <w:szCs w:val="18"/>
        </w:rPr>
        <w:t>Sustainability Impact Assessment</w:t>
      </w:r>
      <w:r w:rsidRPr="00EA20EB" w:rsidR="0059427E">
        <w:rPr>
          <w:rFonts w:ascii="Verdana" w:hAnsi="Verdana"/>
          <w:sz w:val="18"/>
          <w:szCs w:val="18"/>
        </w:rPr>
        <w:t xml:space="preserve">, waarover ook het </w:t>
      </w:r>
      <w:r w:rsidRPr="00153D7C" w:rsidR="0059427E">
        <w:rPr>
          <w:rFonts w:ascii="Verdana" w:hAnsi="Verdana"/>
          <w:sz w:val="18"/>
          <w:szCs w:val="18"/>
        </w:rPr>
        <w:t>maatschappelijk middenveld in 2020 is geraadpleegd, in maart 2021 samen met een eigen positie paper gepubliceerd.</w:t>
      </w:r>
      <w:r w:rsidRPr="00153D7C" w:rsidR="00955457">
        <w:rPr>
          <w:rStyle w:val="FootnoteReference"/>
          <w:rFonts w:ascii="Verdana" w:hAnsi="Verdana"/>
          <w:sz w:val="18"/>
          <w:szCs w:val="18"/>
        </w:rPr>
        <w:footnoteReference w:id="31"/>
      </w:r>
      <w:r w:rsidRPr="00153D7C" w:rsidR="0059427E">
        <w:rPr>
          <w:rFonts w:ascii="Verdana" w:hAnsi="Verdana"/>
          <w:sz w:val="18"/>
          <w:szCs w:val="18"/>
        </w:rPr>
        <w:t xml:space="preserve"> </w:t>
      </w:r>
      <w:r w:rsidRPr="00153D7C" w:rsidR="009154AF">
        <w:rPr>
          <w:rFonts w:ascii="Verdana" w:hAnsi="Verdana"/>
          <w:sz w:val="18"/>
          <w:szCs w:val="18"/>
        </w:rPr>
        <w:t xml:space="preserve">Vanwege zorgen over de toename van ontbossing in met name Brazilië, heeft </w:t>
      </w:r>
      <w:r w:rsidRPr="00153D7C" w:rsidR="00EA20EB">
        <w:rPr>
          <w:rFonts w:ascii="Verdana" w:hAnsi="Verdana"/>
          <w:sz w:val="18"/>
          <w:szCs w:val="18"/>
        </w:rPr>
        <w:t>Handelscommissaris Dombrovskis met Mercosur-landen gesproken over aanvullende bindende afspraken die EU-zorgen over het akkoord moeten wegnemen. De Commissie werkt aan tracks op milieu, klimaat en andere duurzaamheidsgebieden. Mercosur-landen staan hier in beginsel positief tegenover. De Kamer is hierover geïnformeerd</w:t>
      </w:r>
      <w:r w:rsidRPr="00153D7C" w:rsidR="00153D7C">
        <w:rPr>
          <w:rFonts w:ascii="Verdana" w:hAnsi="Verdana"/>
          <w:sz w:val="18"/>
          <w:szCs w:val="18"/>
        </w:rPr>
        <w:t xml:space="preserve"> (Kamerstuk 21 501-02, nr. 2328)</w:t>
      </w:r>
      <w:r w:rsidRPr="00153D7C" w:rsidR="00EA20EB">
        <w:rPr>
          <w:rFonts w:ascii="Verdana" w:hAnsi="Verdana"/>
          <w:sz w:val="18"/>
          <w:szCs w:val="18"/>
        </w:rPr>
        <w:t>.</w:t>
      </w:r>
      <w:r w:rsidRPr="00EA20EB" w:rsidR="00EA20EB">
        <w:rPr>
          <w:rFonts w:ascii="Verdana" w:hAnsi="Verdana"/>
          <w:sz w:val="18"/>
          <w:szCs w:val="18"/>
        </w:rPr>
        <w:t xml:space="preserve"> Op 11 maart jl. verzocht de Commissie de lidstaten om inbreng aangaande de zorgen over ontbossing en mensenrechtenschendingen in Mercosur. Een document over de NL inbreng voor de </w:t>
      </w:r>
      <w:r w:rsidR="005B5549">
        <w:rPr>
          <w:rFonts w:ascii="Verdana" w:hAnsi="Verdana"/>
          <w:sz w:val="18"/>
          <w:szCs w:val="18"/>
        </w:rPr>
        <w:t>Europese Commissie</w:t>
      </w:r>
      <w:r w:rsidRPr="00EA20EB" w:rsidR="00EA20EB">
        <w:rPr>
          <w:rFonts w:ascii="Verdana" w:hAnsi="Verdana"/>
          <w:sz w:val="18"/>
          <w:szCs w:val="18"/>
        </w:rPr>
        <w:t xml:space="preserve"> is gefinaliseerd en </w:t>
      </w:r>
      <w:r w:rsidR="00153D7C">
        <w:rPr>
          <w:rFonts w:ascii="Verdana" w:hAnsi="Verdana"/>
          <w:sz w:val="18"/>
          <w:szCs w:val="18"/>
        </w:rPr>
        <w:t>zal binnenkort</w:t>
      </w:r>
      <w:r w:rsidRPr="00EA20EB" w:rsidR="00EA20EB">
        <w:rPr>
          <w:rFonts w:ascii="Verdana" w:hAnsi="Verdana"/>
          <w:sz w:val="18"/>
          <w:szCs w:val="18"/>
        </w:rPr>
        <w:t xml:space="preserve"> aan de Commissie aangeboden</w:t>
      </w:r>
      <w:r w:rsidR="005B5549">
        <w:rPr>
          <w:rFonts w:ascii="Verdana" w:hAnsi="Verdana"/>
          <w:sz w:val="18"/>
          <w:szCs w:val="18"/>
        </w:rPr>
        <w:t xml:space="preserve"> worden</w:t>
      </w:r>
      <w:r w:rsidRPr="00EA20EB" w:rsidR="00EA20EB">
        <w:rPr>
          <w:rFonts w:ascii="Verdana" w:hAnsi="Verdana"/>
          <w:sz w:val="18"/>
          <w:szCs w:val="18"/>
        </w:rPr>
        <w:t xml:space="preserve"> en gedeeld met de Kamer. Kern van de voorstellen is dat effectief gebleken bestaand beleid t.a.v. het tegengaan van ontbossing in de regio onmiddellijk wordt uitgevoerd, veranderingen hierop worden teruggedraaid en dat de EU met Mercosur samen de problemen definieert en samen de oplossingen ervan meet, verifieert en bespreekt. NL benadrukt d.m.v. deze inbreng dat het meedenkt over mogelijke verbeteringen, zonder daarmee vooruit te lopen op een (standpunt over een) mogelijk EU-Mercosur handelsakkoord. Zoals hierboven gesteld, NL neemt daarover pas een standpunt in na aanbieding van alle documenten aan de Raad voor besluitvorming.</w:t>
      </w:r>
    </w:p>
    <w:p w:rsidRPr="00DA6067" w:rsidR="00EA20EB" w:rsidP="00EA20EB" w:rsidRDefault="00EA20EB" w14:paraId="3E3BB426" w14:textId="77777777">
      <w:pPr>
        <w:pStyle w:val="NormalWeb"/>
        <w:spacing w:before="0" w:beforeAutospacing="0" w:after="0" w:afterAutospacing="0"/>
        <w:rPr>
          <w:highlight w:val="yellow"/>
          <w:u w:val="single"/>
        </w:rPr>
      </w:pPr>
    </w:p>
    <w:p w:rsidRPr="00696E84" w:rsidR="00000FE9" w:rsidP="00000FE9" w:rsidRDefault="00CD4EAC" w14:paraId="5A04631B" w14:textId="576F70D5">
      <w:pPr>
        <w:pStyle w:val="BodyText"/>
        <w:numPr>
          <w:ilvl w:val="0"/>
          <w:numId w:val="2"/>
        </w:numPr>
        <w:rPr>
          <w:u w:val="single"/>
          <w:lang w:val="nl-NL"/>
        </w:rPr>
      </w:pPr>
      <w:r w:rsidRPr="00184B75">
        <w:rPr>
          <w:u w:val="single"/>
          <w:lang w:val="nl-NL"/>
        </w:rPr>
        <w:t>Bilaterale i</w:t>
      </w:r>
      <w:r w:rsidRPr="00184B75" w:rsidR="00000FE9">
        <w:rPr>
          <w:u w:val="single"/>
          <w:lang w:val="nl-NL"/>
        </w:rPr>
        <w:t>nvesteringsakkoorden</w:t>
      </w:r>
      <w:r w:rsidRPr="00DA6067" w:rsidR="00000FE9">
        <w:rPr>
          <w:highlight w:val="yellow"/>
          <w:u w:val="single"/>
          <w:lang w:val="nl-NL"/>
        </w:rPr>
        <w:br/>
      </w:r>
    </w:p>
    <w:p w:rsidRPr="00696E84" w:rsidR="00000FE9" w:rsidP="00000FE9" w:rsidRDefault="00000FE9" w14:paraId="755AE82F" w14:textId="77777777">
      <w:pPr>
        <w:pStyle w:val="BodyText"/>
        <w:rPr>
          <w:u w:val="single"/>
          <w:lang w:val="nl-NL"/>
        </w:rPr>
      </w:pPr>
      <w:r w:rsidRPr="00696E84">
        <w:rPr>
          <w:u w:val="single"/>
          <w:lang w:val="nl-NL"/>
        </w:rPr>
        <w:t>Ecuador</w:t>
      </w:r>
    </w:p>
    <w:p w:rsidRPr="00696E84" w:rsidR="00000FE9" w:rsidP="00000FE9" w:rsidRDefault="00696E84" w14:paraId="3B8A4A10" w14:textId="70F086AC">
      <w:pPr>
        <w:widowControl/>
        <w:autoSpaceDE/>
        <w:autoSpaceDN/>
        <w:spacing w:after="160"/>
        <w:contextualSpacing/>
        <w:rPr>
          <w:sz w:val="18"/>
          <w:szCs w:val="18"/>
          <w:lang w:val="nl-NL"/>
        </w:rPr>
      </w:pPr>
      <w:r w:rsidRPr="00696E84">
        <w:rPr>
          <w:sz w:val="18"/>
          <w:szCs w:val="18"/>
          <w:lang w:val="nl-NL"/>
        </w:rPr>
        <w:t xml:space="preserve">Ecuador heeft de IBO (tot stand gekomen op 27-6-1999, in werking getreden op 1-7-2001) opgezegd in 2017. De IBO is op 1-7-2021 buiten werking vanaf. NL </w:t>
      </w:r>
      <w:r w:rsidRPr="00696E84" w:rsidR="00000FE9">
        <w:rPr>
          <w:sz w:val="18"/>
          <w:szCs w:val="18"/>
          <w:lang w:val="nl-NL"/>
        </w:rPr>
        <w:t xml:space="preserve">Op 29 en 30 april 2019 zijn de eerste gesprekken gevoerd met Ecuador. De gesprekken verliepen in een positieve en constructieve sfeer. Nederland heeft daarbij de nieuwe Nederlandse inzet gepresenteerd en toegelicht. Ecuador gaf aan open te staan voor een heronderhandeling van het bestaande investeringsakkoord op basis van de Nederlandse modeltekst. </w:t>
      </w:r>
      <w:r w:rsidRPr="00696E84">
        <w:rPr>
          <w:sz w:val="18"/>
          <w:szCs w:val="18"/>
          <w:lang w:val="nl-NL"/>
        </w:rPr>
        <w:t>Sindsdien zijn er geen verdere stappen ondernomen.</w:t>
      </w:r>
    </w:p>
    <w:p w:rsidRPr="00696E84" w:rsidR="00000FE9" w:rsidP="00000FE9" w:rsidRDefault="00000FE9" w14:paraId="43480C5F" w14:textId="77777777">
      <w:pPr>
        <w:widowControl/>
        <w:autoSpaceDE/>
        <w:autoSpaceDN/>
        <w:spacing w:after="160"/>
        <w:contextualSpacing/>
        <w:rPr>
          <w:sz w:val="18"/>
          <w:szCs w:val="18"/>
          <w:lang w:val="nl-NL"/>
        </w:rPr>
      </w:pPr>
    </w:p>
    <w:p w:rsidRPr="00696E84" w:rsidR="00000FE9" w:rsidP="00000FE9" w:rsidRDefault="00000FE9" w14:paraId="3E0F7A12" w14:textId="77777777">
      <w:pPr>
        <w:widowControl/>
        <w:autoSpaceDE/>
        <w:autoSpaceDN/>
        <w:spacing w:after="160"/>
        <w:contextualSpacing/>
        <w:rPr>
          <w:sz w:val="18"/>
          <w:szCs w:val="18"/>
          <w:lang w:val="nl-NL"/>
        </w:rPr>
      </w:pPr>
      <w:r w:rsidRPr="00696E84">
        <w:rPr>
          <w:sz w:val="18"/>
          <w:szCs w:val="18"/>
          <w:u w:val="single"/>
          <w:lang w:val="nl-NL"/>
        </w:rPr>
        <w:t>Argentinië</w:t>
      </w:r>
      <w:r w:rsidRPr="00696E84">
        <w:rPr>
          <w:sz w:val="18"/>
          <w:szCs w:val="18"/>
          <w:lang w:val="nl-NL"/>
        </w:rPr>
        <w:t xml:space="preserve"> </w:t>
      </w:r>
    </w:p>
    <w:p w:rsidRPr="00696E84" w:rsidR="00000FE9" w:rsidP="00000FE9" w:rsidRDefault="00000FE9" w14:paraId="72CACB0B" w14:textId="560E9B59">
      <w:pPr>
        <w:widowControl/>
        <w:autoSpaceDE/>
        <w:autoSpaceDN/>
        <w:spacing w:after="160"/>
        <w:contextualSpacing/>
        <w:rPr>
          <w:sz w:val="18"/>
          <w:szCs w:val="18"/>
          <w:lang w:val="nl-NL"/>
        </w:rPr>
      </w:pPr>
      <w:r w:rsidRPr="00696E84">
        <w:rPr>
          <w:sz w:val="18"/>
          <w:szCs w:val="18"/>
          <w:lang w:val="nl-NL"/>
        </w:rPr>
        <w:t xml:space="preserve">Op 2 en 3 mei 2019 zijn de eerste gesprekken gevoerd met Argentinië. De gesprekken verliepen in positieve en constructieve sfeer. Argentinië gaf aan open te staan voor een heronderhandeling van het bestaande investeringsakkoord op basis van de Nederlandse modeltekst. </w:t>
      </w:r>
      <w:r w:rsidRPr="00696E84" w:rsidR="00696E84">
        <w:rPr>
          <w:sz w:val="18"/>
          <w:szCs w:val="18"/>
          <w:lang w:val="nl-NL"/>
        </w:rPr>
        <w:t>Sindsdien zijn er geen verdere stappen ondernomen.</w:t>
      </w:r>
    </w:p>
    <w:p w:rsidRPr="00DA6067" w:rsidR="00000FE9" w:rsidP="00000FE9" w:rsidRDefault="00000FE9" w14:paraId="68DC6246" w14:textId="77777777">
      <w:pPr>
        <w:widowControl/>
        <w:autoSpaceDE/>
        <w:autoSpaceDN/>
        <w:spacing w:after="160"/>
        <w:contextualSpacing/>
        <w:rPr>
          <w:sz w:val="18"/>
          <w:szCs w:val="18"/>
          <w:highlight w:val="yellow"/>
          <w:lang w:val="nl-NL"/>
        </w:rPr>
      </w:pPr>
    </w:p>
    <w:p w:rsidRPr="00696E84" w:rsidR="00000FE9" w:rsidP="00000FE9" w:rsidRDefault="00000FE9" w14:paraId="69B30C3E" w14:textId="77777777">
      <w:pPr>
        <w:widowControl/>
        <w:autoSpaceDE/>
        <w:autoSpaceDN/>
        <w:spacing w:after="160"/>
        <w:contextualSpacing/>
        <w:rPr>
          <w:sz w:val="18"/>
          <w:szCs w:val="18"/>
          <w:lang w:val="nl-NL"/>
        </w:rPr>
      </w:pPr>
      <w:r w:rsidRPr="00696E84">
        <w:rPr>
          <w:sz w:val="18"/>
          <w:szCs w:val="18"/>
          <w:u w:val="single"/>
          <w:lang w:val="nl-NL"/>
        </w:rPr>
        <w:t>Burkina Faso</w:t>
      </w:r>
      <w:r w:rsidRPr="00696E84">
        <w:rPr>
          <w:sz w:val="18"/>
          <w:szCs w:val="18"/>
          <w:lang w:val="nl-NL"/>
        </w:rPr>
        <w:t xml:space="preserve"> </w:t>
      </w:r>
    </w:p>
    <w:p w:rsidRPr="00696E84" w:rsidR="00000FE9" w:rsidP="00000FE9" w:rsidRDefault="00000FE9" w14:paraId="5DF3D5B0" w14:textId="016F8AC3">
      <w:pPr>
        <w:widowControl/>
        <w:autoSpaceDE/>
        <w:autoSpaceDN/>
        <w:spacing w:after="160"/>
        <w:contextualSpacing/>
        <w:rPr>
          <w:sz w:val="18"/>
          <w:szCs w:val="18"/>
          <w:lang w:val="nl-NL"/>
        </w:rPr>
      </w:pPr>
      <w:r w:rsidRPr="00696E84">
        <w:rPr>
          <w:sz w:val="18"/>
          <w:szCs w:val="18"/>
          <w:lang w:val="nl-NL"/>
        </w:rPr>
        <w:t xml:space="preserve">Het oude investeringsakkoord met Burkina Faso is beëindigd per 1 januari 2019. Burkina Faso en Nederland hebben de wens uitgesproken om een nieuw modern investeringsakkoord te sluiten. Op 2 en 3 mei 2019 zijn de eerste gesprekken daartoe gevoerd. Nederland heeft daarbij de nieuwe Nederlandse inzet gepresenteerd en toegelicht. Burkina Faso heeft in december 2019 een eigen inzet gedeeld. </w:t>
      </w:r>
      <w:r w:rsidR="00696E84">
        <w:rPr>
          <w:sz w:val="18"/>
          <w:szCs w:val="18"/>
          <w:lang w:val="nl-NL"/>
        </w:rPr>
        <w:t>Sindsdien zijn er geen verdere stappen ondernomen.</w:t>
      </w:r>
    </w:p>
    <w:p w:rsidRPr="00DA6067" w:rsidR="00C34BE8" w:rsidP="00000FE9" w:rsidRDefault="00C34BE8" w14:paraId="2A076F0D" w14:textId="77777777">
      <w:pPr>
        <w:widowControl/>
        <w:autoSpaceDE/>
        <w:autoSpaceDN/>
        <w:spacing w:after="160"/>
        <w:contextualSpacing/>
        <w:rPr>
          <w:sz w:val="18"/>
          <w:szCs w:val="18"/>
          <w:highlight w:val="yellow"/>
          <w:lang w:val="nl-NL"/>
        </w:rPr>
      </w:pPr>
    </w:p>
    <w:p w:rsidRPr="00696E84" w:rsidR="00000FE9" w:rsidP="00000FE9" w:rsidRDefault="00000FE9" w14:paraId="6E59A2F1" w14:textId="77777777">
      <w:pPr>
        <w:widowControl/>
        <w:autoSpaceDE/>
        <w:autoSpaceDN/>
        <w:spacing w:after="160"/>
        <w:contextualSpacing/>
        <w:rPr>
          <w:sz w:val="18"/>
          <w:szCs w:val="18"/>
          <w:u w:val="single"/>
          <w:lang w:val="nl-NL"/>
        </w:rPr>
      </w:pPr>
      <w:r w:rsidRPr="00696E84">
        <w:rPr>
          <w:sz w:val="18"/>
          <w:szCs w:val="18"/>
          <w:u w:val="single"/>
          <w:lang w:val="nl-NL"/>
        </w:rPr>
        <w:t xml:space="preserve">Irak </w:t>
      </w:r>
    </w:p>
    <w:p w:rsidRPr="00696E84" w:rsidR="00000FE9" w:rsidP="00000FE9" w:rsidRDefault="00000FE9" w14:paraId="7FCCE7DD" w14:textId="22139295">
      <w:pPr>
        <w:widowControl/>
        <w:autoSpaceDE/>
        <w:autoSpaceDN/>
        <w:spacing w:after="160"/>
        <w:contextualSpacing/>
        <w:rPr>
          <w:sz w:val="18"/>
          <w:szCs w:val="18"/>
          <w:lang w:val="nl-NL"/>
        </w:rPr>
      </w:pPr>
      <w:r w:rsidRPr="00696E84">
        <w:rPr>
          <w:sz w:val="18"/>
          <w:szCs w:val="18"/>
          <w:lang w:val="nl-NL"/>
        </w:rPr>
        <w:t xml:space="preserve">Op 21 november 2019 is een voorstel van Irak binnengekomen om te onderhandelen over een investeringsakkoord, nadat eerder de Nederlandse modeltekst met de Iraakse autoriteiten was gedeeld. Er is nog geen datum voor een eerste gesprek bekend. </w:t>
      </w:r>
    </w:p>
    <w:p w:rsidRPr="00DA6067" w:rsidR="00000FE9" w:rsidP="00000FE9" w:rsidRDefault="00000FE9" w14:paraId="72E81446" w14:textId="77777777">
      <w:pPr>
        <w:widowControl/>
        <w:autoSpaceDE/>
        <w:autoSpaceDN/>
        <w:spacing w:after="160"/>
        <w:contextualSpacing/>
        <w:rPr>
          <w:sz w:val="18"/>
          <w:szCs w:val="18"/>
          <w:highlight w:val="yellow"/>
          <w:lang w:val="nl-NL"/>
        </w:rPr>
      </w:pPr>
    </w:p>
    <w:p w:rsidRPr="00184B75" w:rsidR="00000FE9" w:rsidP="00000FE9" w:rsidRDefault="00000FE9" w14:paraId="4C5EBF89" w14:textId="011BB2E4">
      <w:pPr>
        <w:contextualSpacing/>
        <w:rPr>
          <w:rFonts w:cstheme="minorHAnsi"/>
          <w:sz w:val="18"/>
          <w:szCs w:val="18"/>
          <w:lang w:val="nl-NL"/>
        </w:rPr>
      </w:pPr>
      <w:r w:rsidRPr="00184B75">
        <w:rPr>
          <w:sz w:val="18"/>
          <w:szCs w:val="18"/>
          <w:u w:val="single"/>
          <w:lang w:val="nl-NL"/>
        </w:rPr>
        <w:lastRenderedPageBreak/>
        <w:t>Verdrag tot beëindiging van de intra-EU investeringsakkoorden</w:t>
      </w:r>
      <w:r w:rsidRPr="00184B75">
        <w:rPr>
          <w:lang w:val="nl-NL"/>
        </w:rPr>
        <w:br/>
      </w:r>
      <w:r w:rsidRPr="00184B75">
        <w:rPr>
          <w:sz w:val="18"/>
          <w:szCs w:val="18"/>
          <w:lang w:val="nl-NL"/>
        </w:rPr>
        <w:t xml:space="preserve">In 2018 begonnen de onderhandelingen over het beëindigen, middels een plurilateraal verdrag, van alle intra-EU investeringsakkoorden. De aanleiding voor het beëindigen van alle investeringsakkoorden tussen EU-lidstaten is te vinden in de uitspraak van het Hof van Justitie van de Europese Unie van 6 maart 2018 in de zaak C-284/16 (het Achmea-arrest). In zijn uitspraak oordeelt het Hof dat een arbitrageregeling, zoals opgenomen in het investeringsakkoord, tussen het Koninkrijk en Slowakije in strijd is met het Unierecht. De uitspraak van het Hof van Justitie van de Europese Unie raakt niet enkel het investeringsakkoord tussen het Koninkrijk en Slowakije maar heeft tot gevolg dat alle bilaterale investeringsakkoorden tussen de EU-lidstaten beëindigd moeten worden. De onderhandelingen over het beëindigingsverdrag zijn afgerond. </w:t>
      </w:r>
    </w:p>
    <w:p w:rsidRPr="00184B75" w:rsidR="00000FE9" w:rsidP="00000FE9" w:rsidRDefault="00000FE9" w14:paraId="69E6B938" w14:textId="77777777">
      <w:pPr>
        <w:pStyle w:val="BodyText"/>
        <w:rPr>
          <w:lang w:val="nl-NL"/>
        </w:rPr>
      </w:pPr>
    </w:p>
    <w:p w:rsidRPr="003C42DD" w:rsidR="008E6A7C" w:rsidP="008E6A7C" w:rsidRDefault="00000FE9" w14:paraId="20FF930E" w14:textId="247621B1">
      <w:pPr>
        <w:rPr>
          <w:rFonts w:ascii="Calibri" w:hAnsi="Calibri" w:cs="Calibri" w:eastAsiaTheme="minorHAnsi"/>
          <w:lang w:val="nl-NL"/>
        </w:rPr>
      </w:pPr>
      <w:r w:rsidRPr="00184B75">
        <w:rPr>
          <w:sz w:val="18"/>
          <w:szCs w:val="18"/>
          <w:lang w:val="nl-NL"/>
        </w:rPr>
        <w:t xml:space="preserve">Op 12 december 2019 heeft de Rijksministerraad ingestemd met de ondertekening van het verdrag. De ondertekening heeft op 5 mei 2020 plaatsgevonden. Conform de gebruikelijke procedure heeft de regering het beëindigingsverdrag en de toelichtende nota ter advies voorgelegd aan de Raad van State. </w:t>
      </w:r>
      <w:r w:rsidRPr="00184B75" w:rsidR="008E6A7C">
        <w:rPr>
          <w:sz w:val="18"/>
          <w:szCs w:val="18"/>
          <w:lang w:val="nl-NL"/>
        </w:rPr>
        <w:t xml:space="preserve">Het beëindigingsverdrag is vervolgens op 26 december </w:t>
      </w:r>
      <w:r w:rsidRPr="00184B75" w:rsidR="005D7DDF">
        <w:rPr>
          <w:sz w:val="18"/>
          <w:szCs w:val="18"/>
          <w:lang w:val="nl-NL"/>
        </w:rPr>
        <w:t>2020</w:t>
      </w:r>
      <w:r w:rsidRPr="00184B75" w:rsidR="008E6A7C">
        <w:rPr>
          <w:sz w:val="18"/>
          <w:szCs w:val="18"/>
          <w:lang w:val="nl-NL"/>
        </w:rPr>
        <w:t xml:space="preserve"> stilzwijgend door uw Kamer goedgekeurd.</w:t>
      </w:r>
    </w:p>
    <w:p w:rsidRPr="003C42DD" w:rsidR="00202459" w:rsidP="00202459" w:rsidRDefault="00202459" w14:paraId="00466162" w14:textId="11C0801D">
      <w:pPr>
        <w:rPr>
          <w:rFonts w:ascii="Calibri" w:hAnsi="Calibri" w:cs="Calibri" w:eastAsiaTheme="minorHAnsi"/>
          <w:lang w:val="nl-NL"/>
        </w:rPr>
      </w:pPr>
    </w:p>
    <w:p w:rsidRPr="00352350" w:rsidR="00000FE9" w:rsidP="00000FE9" w:rsidRDefault="00000FE9" w14:paraId="535C7A00" w14:textId="1D119B7E">
      <w:pPr>
        <w:contextualSpacing/>
        <w:rPr>
          <w:sz w:val="18"/>
          <w:szCs w:val="18"/>
          <w:lang w:val="nl-NL"/>
        </w:rPr>
      </w:pPr>
    </w:p>
    <w:p w:rsidRPr="00000FE9" w:rsidR="00C82B4B" w:rsidP="00000FE9" w:rsidRDefault="00C82B4B" w14:paraId="6DBDDD60" w14:textId="757A3ED6">
      <w:pPr>
        <w:rPr>
          <w:lang w:val="nl-NL"/>
        </w:rPr>
      </w:pPr>
    </w:p>
    <w:sectPr w:rsidRPr="00000FE9" w:rsidR="00C82B4B" w:rsidSect="00B01380">
      <w:footerReference w:type="default" r:id="rId12"/>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B864D" w14:textId="77777777" w:rsidR="00095690" w:rsidRDefault="00095690">
      <w:r>
        <w:separator/>
      </w:r>
    </w:p>
  </w:endnote>
  <w:endnote w:type="continuationSeparator" w:id="0">
    <w:p w14:paraId="1D06A289" w14:textId="77777777" w:rsidR="00095690" w:rsidRDefault="00095690">
      <w:r>
        <w:continuationSeparator/>
      </w:r>
    </w:p>
  </w:endnote>
  <w:endnote w:type="continuationNotice" w:id="1">
    <w:p w14:paraId="72CB22C8" w14:textId="77777777" w:rsidR="00095690" w:rsidRDefault="0009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Segoe U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4513"/>
      <w:docPartObj>
        <w:docPartGallery w:val="Page Numbers (Bottom of Page)"/>
        <w:docPartUnique/>
      </w:docPartObj>
    </w:sdtPr>
    <w:sdtEndPr>
      <w:rPr>
        <w:sz w:val="18"/>
        <w:szCs w:val="18"/>
      </w:rPr>
    </w:sdtEndPr>
    <w:sdtContent>
      <w:p w14:paraId="7F6F626B" w14:textId="71063C8B" w:rsidR="00095690" w:rsidRPr="00F16704" w:rsidRDefault="00095690"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D6763D" w:rsidRPr="00D6763D">
          <w:rPr>
            <w:noProof/>
            <w:sz w:val="18"/>
            <w:szCs w:val="18"/>
            <w:lang w:val="nl-NL"/>
          </w:rPr>
          <w:t>6</w:t>
        </w:r>
        <w:r w:rsidRPr="001C5B79">
          <w:rPr>
            <w:sz w:val="18"/>
            <w:szCs w:val="18"/>
          </w:rPr>
          <w:fldChar w:fldCharType="end"/>
        </w:r>
      </w:p>
    </w:sdtContent>
  </w:sdt>
  <w:p w14:paraId="6F1FAE9C" w14:textId="77777777" w:rsidR="00095690" w:rsidRDefault="0009569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113B9" w14:textId="77777777" w:rsidR="00095690" w:rsidRDefault="00095690">
      <w:r>
        <w:separator/>
      </w:r>
    </w:p>
  </w:footnote>
  <w:footnote w:type="continuationSeparator" w:id="0">
    <w:p w14:paraId="08508E80" w14:textId="77777777" w:rsidR="00095690" w:rsidRDefault="00095690">
      <w:r>
        <w:continuationSeparator/>
      </w:r>
    </w:p>
  </w:footnote>
  <w:footnote w:type="continuationNotice" w:id="1">
    <w:p w14:paraId="2287ABE7" w14:textId="77777777" w:rsidR="00095690" w:rsidRDefault="00095690"/>
  </w:footnote>
  <w:footnote w:id="2">
    <w:p w14:paraId="188D53D4" w14:textId="77777777" w:rsidR="00095690" w:rsidRPr="000906BF" w:rsidRDefault="00095690" w:rsidP="00000FE9">
      <w:pPr>
        <w:pStyle w:val="FootnoteText"/>
        <w:rPr>
          <w:sz w:val="14"/>
          <w:szCs w:val="14"/>
        </w:rPr>
      </w:pPr>
      <w:r w:rsidRPr="00AC7A69">
        <w:rPr>
          <w:rStyle w:val="Hyperlink"/>
          <w:sz w:val="14"/>
          <w:vertAlign w:val="superscript"/>
        </w:rPr>
        <w:footnoteRef/>
      </w:r>
      <w:r w:rsidRPr="00AC7A69">
        <w:rPr>
          <w:rStyle w:val="Hyperlink"/>
          <w:sz w:val="14"/>
          <w:vertAlign w:val="superscript"/>
        </w:rPr>
        <w:t xml:space="preserve"> </w:t>
      </w:r>
      <w:hyperlink r:id="rId1" w:history="1">
        <w:r w:rsidRPr="00F2375E">
          <w:rPr>
            <w:rStyle w:val="Hyperlink"/>
            <w:sz w:val="14"/>
            <w:szCs w:val="14"/>
          </w:rPr>
          <w:t>http://data.consilium.europa.eu/doc/document/ST-6891-2013-ADD-1-DCL-1/en/pdf</w:t>
        </w:r>
      </w:hyperlink>
      <w:r w:rsidRPr="000906BF">
        <w:rPr>
          <w:sz w:val="14"/>
          <w:szCs w:val="14"/>
        </w:rPr>
        <w:t xml:space="preserve"> </w:t>
      </w:r>
    </w:p>
  </w:footnote>
  <w:footnote w:id="3">
    <w:p w14:paraId="00D5B5F9" w14:textId="77777777" w:rsidR="00095690" w:rsidRPr="00B50854" w:rsidRDefault="00095690" w:rsidP="00000FE9">
      <w:pPr>
        <w:pStyle w:val="FootnoteText"/>
        <w:rPr>
          <w:sz w:val="14"/>
          <w:szCs w:val="14"/>
        </w:rPr>
      </w:pPr>
      <w:r w:rsidRPr="000906BF">
        <w:rPr>
          <w:rStyle w:val="FootnoteReference"/>
          <w:sz w:val="14"/>
          <w:szCs w:val="14"/>
        </w:rPr>
        <w:footnoteRef/>
      </w:r>
      <w:r w:rsidRPr="000906BF">
        <w:rPr>
          <w:sz w:val="14"/>
          <w:szCs w:val="14"/>
        </w:rPr>
        <w:t xml:space="preserve"> </w:t>
      </w:r>
      <w:hyperlink r:id="rId2" w:history="1">
        <w:r w:rsidRPr="000906BF">
          <w:rPr>
            <w:rStyle w:val="Hyperlink"/>
            <w:sz w:val="14"/>
            <w:szCs w:val="14"/>
          </w:rPr>
          <w:t>http://trade.ec.europa.eu/doclib/docs/2016/november/tradoc_155095.pdf</w:t>
        </w:r>
      </w:hyperlink>
      <w:r>
        <w:rPr>
          <w:sz w:val="14"/>
          <w:szCs w:val="14"/>
        </w:rPr>
        <w:t xml:space="preserve"> </w:t>
      </w:r>
    </w:p>
  </w:footnote>
  <w:footnote w:id="4">
    <w:p w14:paraId="0ADBBC9A" w14:textId="680DF97B" w:rsidR="00095690" w:rsidRPr="00265311" w:rsidRDefault="00095690" w:rsidP="00465947">
      <w:pPr>
        <w:rPr>
          <w:rFonts w:ascii="Calibri" w:eastAsiaTheme="minorHAnsi" w:hAnsi="Calibri" w:cs="Times New Roman"/>
          <w:sz w:val="14"/>
          <w:szCs w:val="14"/>
        </w:rPr>
      </w:pPr>
      <w:r w:rsidRPr="00465947">
        <w:rPr>
          <w:rStyle w:val="FootnoteReference"/>
          <w:sz w:val="14"/>
          <w:szCs w:val="14"/>
        </w:rPr>
        <w:footnoteRef/>
      </w:r>
      <w:r w:rsidRPr="00465947">
        <w:rPr>
          <w:sz w:val="14"/>
          <w:szCs w:val="14"/>
        </w:rPr>
        <w:t xml:space="preserve"> </w:t>
      </w:r>
      <w:hyperlink r:id="rId3" w:history="1">
        <w:r w:rsidRPr="00265311">
          <w:rPr>
            <w:rStyle w:val="Hyperlink"/>
            <w:sz w:val="14"/>
            <w:szCs w:val="14"/>
          </w:rPr>
          <w:t>http://trade.ec.europa.eu/doclib/press/index.cfm?id=2016</w:t>
        </w:r>
      </w:hyperlink>
    </w:p>
  </w:footnote>
  <w:footnote w:id="5">
    <w:p w14:paraId="26BDB339" w14:textId="45224A79" w:rsidR="00095690" w:rsidRPr="00265311" w:rsidRDefault="00095690" w:rsidP="000203DE">
      <w:pPr>
        <w:pStyle w:val="FootnoteText"/>
        <w:rPr>
          <w:sz w:val="14"/>
          <w:szCs w:val="14"/>
        </w:rPr>
      </w:pPr>
      <w:r>
        <w:rPr>
          <w:rStyle w:val="FootnoteReference"/>
        </w:rPr>
        <w:footnoteRef/>
      </w:r>
      <w:hyperlink r:id="rId4" w:history="1">
        <w:r w:rsidRPr="00265311">
          <w:rPr>
            <w:color w:val="0000FF"/>
            <w:sz w:val="14"/>
            <w:szCs w:val="14"/>
            <w:u w:val="single"/>
          </w:rPr>
          <w:t>https://ec.europa.eu/trade/policy/countries-and-regions/development/economic-partnerships/</w:t>
        </w:r>
      </w:hyperlink>
      <w:r w:rsidRPr="00265311">
        <w:rPr>
          <w:color w:val="0000FF"/>
          <w:sz w:val="14"/>
          <w:szCs w:val="14"/>
          <w:u w:val="single"/>
        </w:rPr>
        <w:t xml:space="preserve"> </w:t>
      </w:r>
    </w:p>
    <w:p w14:paraId="2489C512" w14:textId="23CDE9B5" w:rsidR="00095690" w:rsidRPr="00DD3DB3" w:rsidRDefault="00095690">
      <w:pPr>
        <w:pStyle w:val="FootnoteText"/>
        <w:rPr>
          <w:sz w:val="14"/>
          <w:szCs w:val="14"/>
        </w:rPr>
      </w:pPr>
    </w:p>
  </w:footnote>
  <w:footnote w:id="6">
    <w:p w14:paraId="136DC6EA" w14:textId="557415DA" w:rsidR="00095690" w:rsidRPr="00265311" w:rsidRDefault="00095690">
      <w:pPr>
        <w:pStyle w:val="FootnoteText"/>
        <w:rPr>
          <w:sz w:val="14"/>
          <w:szCs w:val="14"/>
        </w:rPr>
      </w:pPr>
      <w:r w:rsidRPr="00265311">
        <w:rPr>
          <w:rStyle w:val="FootnoteReference"/>
          <w:sz w:val="14"/>
          <w:szCs w:val="14"/>
        </w:rPr>
        <w:footnoteRef/>
      </w:r>
      <w:r w:rsidRPr="00265311">
        <w:rPr>
          <w:sz w:val="14"/>
          <w:szCs w:val="14"/>
        </w:rPr>
        <w:t xml:space="preserve"> </w:t>
      </w:r>
      <w:hyperlink r:id="rId5" w:history="1">
        <w:r w:rsidRPr="00265311">
          <w:rPr>
            <w:rStyle w:val="Hyperlink"/>
            <w:sz w:val="14"/>
            <w:szCs w:val="14"/>
          </w:rPr>
          <w:t>https://trade.ec.europa.eu/doclib/docs/2009/september/tradoc_144912.pdf</w:t>
        </w:r>
      </w:hyperlink>
    </w:p>
  </w:footnote>
  <w:footnote w:id="7">
    <w:p w14:paraId="60F29B04" w14:textId="13753F01"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sz w:val="14"/>
          <w:szCs w:val="14"/>
          <w:lang w:val="nl-NL"/>
        </w:rPr>
        <w:t xml:space="preserve"> Zie </w:t>
      </w:r>
      <w:hyperlink r:id="rId6" w:history="1">
        <w:r w:rsidRPr="001378B7">
          <w:rPr>
            <w:rStyle w:val="Hyperlink"/>
            <w:sz w:val="14"/>
            <w:szCs w:val="14"/>
            <w:lang w:val="nl-NL"/>
          </w:rPr>
          <w:t>https://www.consilium.europa.eu/en/press/press-releases/2019/06/27/joint-declaration-by-the-european-union-and-the-kingdom-of-morocco-for-the-fourteenth-meeting-of-the-association-council</w:t>
        </w:r>
      </w:hyperlink>
      <w:r>
        <w:rPr>
          <w:sz w:val="14"/>
          <w:szCs w:val="14"/>
          <w:lang w:val="nl-NL"/>
        </w:rPr>
        <w:t xml:space="preserve"> </w:t>
      </w:r>
    </w:p>
  </w:footnote>
  <w:footnote w:id="8">
    <w:p w14:paraId="5631CBCF" w14:textId="77777777"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7" w:history="1">
        <w:r w:rsidRPr="00BE5002">
          <w:rPr>
            <w:rStyle w:val="Hyperlink"/>
            <w:sz w:val="14"/>
            <w:szCs w:val="14"/>
            <w:lang w:val="nl-NL"/>
          </w:rPr>
          <w:t>http://trade.ec.europa.eu/doclib/press/index.cfm?id=1490</w:t>
        </w:r>
      </w:hyperlink>
      <w:r w:rsidRPr="00BE5002">
        <w:rPr>
          <w:sz w:val="14"/>
          <w:szCs w:val="14"/>
          <w:lang w:val="nl-NL"/>
        </w:rPr>
        <w:t xml:space="preserve"> </w:t>
      </w:r>
    </w:p>
  </w:footnote>
  <w:footnote w:id="9">
    <w:p w14:paraId="4F64987E" w14:textId="77777777"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rStyle w:val="FootnoteReference"/>
          <w:sz w:val="14"/>
          <w:szCs w:val="14"/>
          <w:lang w:val="nl-NL"/>
        </w:rPr>
        <w:t xml:space="preserve"> </w:t>
      </w:r>
      <w:hyperlink r:id="rId8" w:history="1">
        <w:r w:rsidRPr="00BE5002">
          <w:rPr>
            <w:rStyle w:val="Hyperlink"/>
            <w:sz w:val="14"/>
            <w:szCs w:val="14"/>
            <w:lang w:val="nl-NL"/>
          </w:rPr>
          <w:t>https://trade.ec.europa.eu/doclib/docs/2019/june/tradoc_157912.pdf</w:t>
        </w:r>
      </w:hyperlink>
    </w:p>
  </w:footnote>
  <w:footnote w:id="10">
    <w:p w14:paraId="613B00E0" w14:textId="77777777" w:rsidR="00095690" w:rsidRPr="00BE5002" w:rsidRDefault="00095690" w:rsidP="00000FE9">
      <w:pPr>
        <w:pStyle w:val="FootnoteText"/>
        <w:rPr>
          <w:sz w:val="14"/>
          <w:szCs w:val="14"/>
          <w:lang w:val="nl-NL"/>
        </w:rPr>
      </w:pPr>
      <w:r w:rsidRPr="00BE5002">
        <w:rPr>
          <w:rStyle w:val="FootnoteReference"/>
          <w:sz w:val="14"/>
          <w:szCs w:val="14"/>
          <w:lang w:val="nl-NL"/>
        </w:rPr>
        <w:footnoteRef/>
      </w:r>
      <w:r w:rsidRPr="00BE5002">
        <w:rPr>
          <w:sz w:val="14"/>
          <w:szCs w:val="14"/>
          <w:lang w:val="nl-NL"/>
        </w:rPr>
        <w:t xml:space="preserve"> De volgende landen zijn lid van de ASEAN: Brunei Darussalam, Cambodja, Indonesië, Laos, Maleisië, Myanmar/Birma, de Filipijnen, Singapore, Thailand en Vietnam.</w:t>
      </w:r>
    </w:p>
  </w:footnote>
  <w:footnote w:id="11">
    <w:p w14:paraId="7AB75BDC" w14:textId="77777777" w:rsidR="00095690" w:rsidRPr="00BE5002" w:rsidRDefault="00095690" w:rsidP="009B48F2">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9" w:history="1">
        <w:r w:rsidRPr="00BE5002">
          <w:rPr>
            <w:rStyle w:val="Hyperlink"/>
            <w:sz w:val="14"/>
            <w:szCs w:val="14"/>
            <w:lang w:val="nl-NL"/>
          </w:rPr>
          <w:t>https://www.rijksoverheid.nl/ministeries/ministerie-van-buitenlandse-zaken/documenten/kamerstukken/2021/01/06/kamerbrief-inzake-eu-china-investeringsakkoord</w:t>
        </w:r>
      </w:hyperlink>
    </w:p>
  </w:footnote>
  <w:footnote w:id="12">
    <w:p w14:paraId="674C0D1E" w14:textId="77777777" w:rsidR="00095690" w:rsidRPr="00BE5002" w:rsidRDefault="00095690" w:rsidP="009B48F2">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0" w:history="1">
        <w:r w:rsidRPr="00BE5002">
          <w:rPr>
            <w:rStyle w:val="Hyperlink"/>
            <w:sz w:val="14"/>
            <w:szCs w:val="14"/>
            <w:lang w:val="nl-NL"/>
          </w:rPr>
          <w:t>https://trade.ec.europa.eu/doclib/press/index.cfm?id=2237</w:t>
        </w:r>
      </w:hyperlink>
      <w:r w:rsidRPr="00BE5002">
        <w:rPr>
          <w:sz w:val="14"/>
          <w:szCs w:val="14"/>
          <w:lang w:val="nl-NL"/>
        </w:rPr>
        <w:t xml:space="preserve"> </w:t>
      </w:r>
    </w:p>
  </w:footnote>
  <w:footnote w:id="13">
    <w:p w14:paraId="6BA01E06" w14:textId="77777777" w:rsidR="00095690" w:rsidRPr="00BE5002" w:rsidRDefault="00095690" w:rsidP="009B48F2">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1" w:history="1">
        <w:r w:rsidRPr="00BE5002">
          <w:rPr>
            <w:rStyle w:val="Hyperlink"/>
            <w:sz w:val="14"/>
            <w:szCs w:val="14"/>
            <w:lang w:val="nl-NL"/>
          </w:rPr>
          <w:t>https://www.rijksoverheid.nl/ministeries/ministerie-van-buitenlandse-zaken/documenten/kamerstukken/2021/02/12/kamerbrief-inzake-schriftelijke-inbreng-tbv-het-eu-china-investeringsakkoord</w:t>
        </w:r>
      </w:hyperlink>
    </w:p>
  </w:footnote>
  <w:footnote w:id="14">
    <w:p w14:paraId="44CAF2CA" w14:textId="77777777"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2" w:history="1">
        <w:r w:rsidRPr="00BE5002">
          <w:rPr>
            <w:rStyle w:val="Hyperlink"/>
            <w:sz w:val="14"/>
            <w:szCs w:val="14"/>
            <w:lang w:val="nl-NL"/>
          </w:rPr>
          <w:t>http://trade.ec.europa.eu/doclib/docs/2017/march/tradoc_155435.pdf</w:t>
        </w:r>
      </w:hyperlink>
      <w:r w:rsidRPr="00BE5002">
        <w:rPr>
          <w:sz w:val="14"/>
          <w:szCs w:val="14"/>
          <w:lang w:val="nl-NL"/>
        </w:rPr>
        <w:t xml:space="preserve"> </w:t>
      </w:r>
    </w:p>
  </w:footnote>
  <w:footnote w:id="15">
    <w:p w14:paraId="38D1198F" w14:textId="77777777"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3" w:history="1">
        <w:r w:rsidRPr="00BE5002">
          <w:rPr>
            <w:rStyle w:val="Hyperlink"/>
            <w:sz w:val="14"/>
            <w:szCs w:val="14"/>
            <w:lang w:val="nl-NL"/>
          </w:rPr>
          <w:t>https://trade.ec.europa.eu/doclib/docs/2020/july/tradoc_158900.07.10%20public%20report%20virtual%20round.doc.pdf</w:t>
        </w:r>
      </w:hyperlink>
      <w:r w:rsidRPr="00BE5002">
        <w:rPr>
          <w:sz w:val="14"/>
          <w:szCs w:val="14"/>
          <w:lang w:val="nl-NL"/>
        </w:rPr>
        <w:t xml:space="preserve">. </w:t>
      </w:r>
    </w:p>
  </w:footnote>
  <w:footnote w:id="16">
    <w:p w14:paraId="643EC243" w14:textId="5EFE475D" w:rsidR="00095690" w:rsidRPr="005E609E" w:rsidRDefault="00095690">
      <w:pPr>
        <w:pStyle w:val="FootnoteText"/>
        <w:rPr>
          <w:sz w:val="14"/>
          <w:szCs w:val="14"/>
          <w:lang w:val="nl-NL"/>
        </w:rPr>
      </w:pPr>
      <w:r w:rsidRPr="005E609E">
        <w:rPr>
          <w:rStyle w:val="FootnoteReference"/>
          <w:sz w:val="14"/>
          <w:szCs w:val="14"/>
        </w:rPr>
        <w:footnoteRef/>
      </w:r>
      <w:r w:rsidRPr="005E609E">
        <w:rPr>
          <w:sz w:val="14"/>
          <w:szCs w:val="14"/>
          <w:lang w:val="nl-NL"/>
        </w:rPr>
        <w:t xml:space="preserve"> </w:t>
      </w:r>
      <w:hyperlink r:id="rId14" w:history="1">
        <w:r w:rsidRPr="005E609E">
          <w:rPr>
            <w:rStyle w:val="Hyperlink"/>
            <w:sz w:val="14"/>
            <w:szCs w:val="14"/>
            <w:lang w:val="nl-NL"/>
          </w:rPr>
          <w:t>https://trade.ec.europa.eu/doclib/docs/2021/march/tradoc_159484.pdf</w:t>
        </w:r>
      </w:hyperlink>
    </w:p>
  </w:footnote>
  <w:footnote w:id="17">
    <w:p w14:paraId="48CE4530" w14:textId="77777777"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5" w:history="1">
        <w:r w:rsidRPr="00BE5002">
          <w:rPr>
            <w:rStyle w:val="Hyperlink"/>
            <w:sz w:val="14"/>
            <w:szCs w:val="14"/>
            <w:lang w:val="nl-NL"/>
          </w:rPr>
          <w:t>https://eur-lex.europa.eu/legal-content/EN/TXT/?uri=CELEX:32016D0123</w:t>
        </w:r>
      </w:hyperlink>
      <w:r w:rsidRPr="00BE5002">
        <w:rPr>
          <w:sz w:val="14"/>
          <w:szCs w:val="14"/>
          <w:lang w:val="nl-NL"/>
        </w:rPr>
        <w:t xml:space="preserve"> </w:t>
      </w:r>
    </w:p>
  </w:footnote>
  <w:footnote w:id="18">
    <w:p w14:paraId="2C410BCB" w14:textId="77777777" w:rsidR="00095690" w:rsidRPr="00BE5002" w:rsidRDefault="00095690" w:rsidP="00000FE9">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6" w:history="1">
        <w:r w:rsidRPr="00BE5002">
          <w:rPr>
            <w:rStyle w:val="Hyperlink"/>
            <w:sz w:val="14"/>
            <w:szCs w:val="14"/>
            <w:lang w:val="nl-NL"/>
          </w:rPr>
          <w:t>http://trade.ec.europa.eu/doclib/docs/2017/april/tradoc_155507.pdf</w:t>
        </w:r>
      </w:hyperlink>
      <w:r w:rsidRPr="00BE5002">
        <w:rPr>
          <w:sz w:val="14"/>
          <w:szCs w:val="14"/>
          <w:lang w:val="nl-NL"/>
        </w:rPr>
        <w:t xml:space="preserve"> </w:t>
      </w:r>
    </w:p>
  </w:footnote>
  <w:footnote w:id="19">
    <w:p w14:paraId="0FBCABE1" w14:textId="35828C67" w:rsidR="00095690" w:rsidRDefault="00095690">
      <w:pPr>
        <w:pStyle w:val="FootnoteText"/>
      </w:pPr>
      <w:r>
        <w:rPr>
          <w:rStyle w:val="FootnoteReference"/>
        </w:rPr>
        <w:footnoteRef/>
      </w:r>
      <w:r>
        <w:t xml:space="preserve"> </w:t>
      </w:r>
      <w:hyperlink r:id="rId17" w:history="1">
        <w:r w:rsidRPr="00CB03D3">
          <w:rPr>
            <w:rStyle w:val="Hyperlink"/>
            <w:sz w:val="14"/>
            <w:szCs w:val="14"/>
          </w:rPr>
          <w:t>Agenda - Eight round of negotiations on the title 'Trade and Trade Related Matters' of the EU-Uzbekistan Enhanced Partnership and Cooperation Agreement: Joint Report - 29-30 June 2021 (europa.eu)</w:t>
        </w:r>
      </w:hyperlink>
    </w:p>
  </w:footnote>
  <w:footnote w:id="20">
    <w:p w14:paraId="738B559B" w14:textId="7440A2FD" w:rsidR="00095690" w:rsidRPr="00BE5002" w:rsidRDefault="00095690">
      <w:pPr>
        <w:pStyle w:val="FootnoteText"/>
        <w:rPr>
          <w:sz w:val="14"/>
          <w:szCs w:val="14"/>
          <w:lang w:val="nl-NL"/>
        </w:rPr>
      </w:pPr>
      <w:r w:rsidRPr="00BE5002">
        <w:rPr>
          <w:rStyle w:val="FootnoteReference"/>
          <w:sz w:val="14"/>
          <w:szCs w:val="14"/>
        </w:rPr>
        <w:footnoteRef/>
      </w:r>
      <w:r w:rsidRPr="00BE5002">
        <w:rPr>
          <w:sz w:val="14"/>
          <w:szCs w:val="14"/>
          <w:lang w:val="nl-NL"/>
        </w:rPr>
        <w:t xml:space="preserve"> </w:t>
      </w:r>
      <w:hyperlink r:id="rId18" w:history="1">
        <w:r w:rsidRPr="00BE5002">
          <w:rPr>
            <w:rStyle w:val="Hyperlink"/>
            <w:sz w:val="14"/>
            <w:szCs w:val="14"/>
            <w:lang w:val="nl-NL"/>
          </w:rPr>
          <w:t>st13066-en19.pdf (europa.eu)</w:t>
        </w:r>
      </w:hyperlink>
      <w:r w:rsidRPr="00BE5002">
        <w:rPr>
          <w:sz w:val="14"/>
          <w:szCs w:val="14"/>
          <w:lang w:val="nl-NL"/>
        </w:rPr>
        <w:t>, blz. 8</w:t>
      </w:r>
    </w:p>
  </w:footnote>
  <w:footnote w:id="21">
    <w:p w14:paraId="38A26905" w14:textId="3FA5FE29" w:rsidR="00095690" w:rsidRPr="00BE5002" w:rsidRDefault="00095690">
      <w:pPr>
        <w:pStyle w:val="FootnoteText"/>
        <w:rPr>
          <w:sz w:val="14"/>
          <w:szCs w:val="14"/>
          <w:lang w:val="fr-FR"/>
        </w:rPr>
      </w:pPr>
      <w:r w:rsidRPr="00BE5002">
        <w:rPr>
          <w:rStyle w:val="FootnoteReference"/>
          <w:sz w:val="14"/>
          <w:szCs w:val="14"/>
        </w:rPr>
        <w:footnoteRef/>
      </w:r>
      <w:hyperlink r:id="rId19" w:history="1">
        <w:r w:rsidRPr="00BE5002">
          <w:rPr>
            <w:color w:val="0000FF"/>
            <w:sz w:val="14"/>
            <w:szCs w:val="14"/>
            <w:u w:val="single"/>
            <w:lang w:val="fr-FR"/>
          </w:rPr>
          <w:t>CF-EU EPA Evaluation - Implementation Report (europa.eu)</w:t>
        </w:r>
      </w:hyperlink>
    </w:p>
  </w:footnote>
  <w:footnote w:id="22">
    <w:p w14:paraId="047F9EED" w14:textId="77777777" w:rsidR="00095690" w:rsidRPr="00BE5002" w:rsidRDefault="00095690" w:rsidP="00005787">
      <w:pPr>
        <w:pStyle w:val="Default"/>
        <w:rPr>
          <w:sz w:val="14"/>
          <w:szCs w:val="14"/>
          <w:lang w:val="fr-FR"/>
        </w:rPr>
      </w:pPr>
      <w:r w:rsidRPr="00BE5002">
        <w:rPr>
          <w:rStyle w:val="FootnoteReference"/>
          <w:rFonts w:ascii="Verdana" w:eastAsia="Verdana" w:hAnsi="Verdana" w:cs="Verdana"/>
          <w:color w:val="auto"/>
          <w:sz w:val="14"/>
          <w:szCs w:val="14"/>
          <w:lang w:val="en-US"/>
        </w:rPr>
        <w:footnoteRef/>
      </w:r>
      <w:r w:rsidRPr="00BE5002">
        <w:rPr>
          <w:rStyle w:val="FootnoteReference"/>
          <w:rFonts w:ascii="Verdana" w:eastAsia="Verdana" w:hAnsi="Verdana" w:cs="Verdana"/>
          <w:color w:val="auto"/>
          <w:sz w:val="14"/>
          <w:szCs w:val="14"/>
          <w:lang w:val="fr-FR"/>
        </w:rPr>
        <w:t xml:space="preserve">  </w:t>
      </w:r>
      <w:r w:rsidRPr="00BE5002">
        <w:rPr>
          <w:rStyle w:val="Hyperlink"/>
          <w:rFonts w:ascii="Verdana" w:hAnsi="Verdana"/>
          <w:sz w:val="14"/>
          <w:szCs w:val="14"/>
          <w:lang w:val="fr-FR"/>
        </w:rPr>
        <w:t>https://www.consilium.europa.eu/nl/press/press-releases/2019/04/15/trade-with-the-united-states-council-authorises-negotiations-on-elimination-of-tariffs-for-industrial-goods-and-on-conformity-assessment/</w:t>
      </w:r>
    </w:p>
  </w:footnote>
  <w:footnote w:id="23">
    <w:p w14:paraId="1408CD26" w14:textId="77777777" w:rsidR="00095690" w:rsidRPr="00BE5002" w:rsidRDefault="00095690" w:rsidP="00000FE9">
      <w:pPr>
        <w:pStyle w:val="FootnoteText"/>
        <w:rPr>
          <w:sz w:val="14"/>
          <w:szCs w:val="14"/>
          <w:lang w:val="fr-FR"/>
        </w:rPr>
      </w:pPr>
      <w:r w:rsidRPr="00BE5002">
        <w:rPr>
          <w:rStyle w:val="FootnoteReference"/>
          <w:sz w:val="14"/>
          <w:szCs w:val="14"/>
        </w:rPr>
        <w:footnoteRef/>
      </w:r>
      <w:r w:rsidRPr="00BE5002">
        <w:rPr>
          <w:sz w:val="14"/>
          <w:szCs w:val="14"/>
          <w:lang w:val="fr-FR"/>
        </w:rPr>
        <w:t xml:space="preserve"> </w:t>
      </w:r>
      <w:hyperlink r:id="rId20" w:history="1">
        <w:r w:rsidRPr="00BE5002">
          <w:rPr>
            <w:rStyle w:val="Hyperlink"/>
            <w:sz w:val="14"/>
            <w:szCs w:val="14"/>
            <w:lang w:val="fr-FR"/>
          </w:rPr>
          <w:t>http://ec.europa.eu/transparency/regdoc/?fuseaction=list&amp;n=10&amp;adv=0&amp;coteId=1&amp;year=2017&amp;number=472</w:t>
        </w:r>
      </w:hyperlink>
      <w:r w:rsidRPr="00BE5002">
        <w:rPr>
          <w:sz w:val="14"/>
          <w:szCs w:val="14"/>
          <w:lang w:val="fr-FR"/>
        </w:rPr>
        <w:t xml:space="preserve"> </w:t>
      </w:r>
    </w:p>
  </w:footnote>
  <w:footnote w:id="24">
    <w:p w14:paraId="6918E8A5" w14:textId="7F738ED3" w:rsidR="00095690" w:rsidRPr="00626686" w:rsidRDefault="00095690">
      <w:pPr>
        <w:pStyle w:val="FootnoteText"/>
        <w:rPr>
          <w:rStyle w:val="Hyperlink"/>
          <w:rFonts w:eastAsiaTheme="minorHAnsi" w:cs="EC Square Sans Pro"/>
          <w:sz w:val="14"/>
          <w:szCs w:val="14"/>
        </w:rPr>
      </w:pPr>
      <w:r>
        <w:rPr>
          <w:rStyle w:val="FootnoteReference"/>
        </w:rPr>
        <w:footnoteRef/>
      </w:r>
      <w:r w:rsidRPr="005C3971">
        <w:t xml:space="preserve"> </w:t>
      </w:r>
      <w:hyperlink r:id="rId21" w:history="1">
        <w:r w:rsidRPr="00626686">
          <w:rPr>
            <w:rStyle w:val="Hyperlink"/>
            <w:rFonts w:eastAsiaTheme="minorHAnsi" w:cs="EC Square Sans Pro"/>
            <w:sz w:val="14"/>
            <w:szCs w:val="14"/>
          </w:rPr>
          <w:t>EU-Australia 11th round of negotiations (europa.eu)</w:t>
        </w:r>
      </w:hyperlink>
    </w:p>
  </w:footnote>
  <w:footnote w:id="25">
    <w:p w14:paraId="5D1C92C1" w14:textId="77777777" w:rsidR="00095690" w:rsidRPr="00626686" w:rsidRDefault="00095690" w:rsidP="00000FE9">
      <w:pPr>
        <w:pStyle w:val="FootnoteText"/>
        <w:rPr>
          <w:sz w:val="14"/>
          <w:szCs w:val="14"/>
        </w:rPr>
      </w:pPr>
      <w:r w:rsidRPr="00BE5002">
        <w:rPr>
          <w:rStyle w:val="FootnoteReference"/>
          <w:sz w:val="14"/>
          <w:szCs w:val="14"/>
        </w:rPr>
        <w:footnoteRef/>
      </w:r>
      <w:r w:rsidRPr="00626686">
        <w:rPr>
          <w:sz w:val="14"/>
          <w:szCs w:val="14"/>
        </w:rPr>
        <w:t xml:space="preserve"> </w:t>
      </w:r>
      <w:hyperlink r:id="rId22" w:history="1">
        <w:r w:rsidRPr="00626686">
          <w:rPr>
            <w:rStyle w:val="Hyperlink"/>
            <w:sz w:val="14"/>
            <w:szCs w:val="14"/>
          </w:rPr>
          <w:t>http://ec.europa.eu/transparency/regdoc/?fuseaction=list&amp;n=10&amp;adv=0&amp;coteId=1&amp;year=2017&amp;number=469</w:t>
        </w:r>
      </w:hyperlink>
      <w:r w:rsidRPr="00626686">
        <w:rPr>
          <w:sz w:val="14"/>
          <w:szCs w:val="14"/>
        </w:rPr>
        <w:t xml:space="preserve"> </w:t>
      </w:r>
    </w:p>
  </w:footnote>
  <w:footnote w:id="26">
    <w:p w14:paraId="25C5E234" w14:textId="46814D4C" w:rsidR="00095690" w:rsidRPr="00FB27CC" w:rsidRDefault="00095690">
      <w:pPr>
        <w:pStyle w:val="FootnoteText"/>
      </w:pPr>
      <w:r>
        <w:rPr>
          <w:rStyle w:val="FootnoteReference"/>
        </w:rPr>
        <w:footnoteRef/>
      </w:r>
      <w:r w:rsidRPr="00FB27CC">
        <w:t xml:space="preserve"> </w:t>
      </w:r>
      <w:hyperlink r:id="rId23" w:history="1">
        <w:r w:rsidRPr="00626686">
          <w:rPr>
            <w:rStyle w:val="Hyperlink"/>
            <w:sz w:val="14"/>
            <w:szCs w:val="14"/>
          </w:rPr>
          <w:t>Report on the 11th round of negotiations for a Trade Agreement between the EU and New Zealand (europa.eu)</w:t>
        </w:r>
      </w:hyperlink>
    </w:p>
  </w:footnote>
  <w:footnote w:id="27">
    <w:p w14:paraId="4D2DDCD0" w14:textId="77777777" w:rsidR="00095690" w:rsidRPr="00626686" w:rsidRDefault="00095690" w:rsidP="00000FE9">
      <w:pPr>
        <w:pStyle w:val="FootnoteText"/>
        <w:rPr>
          <w:sz w:val="14"/>
          <w:szCs w:val="14"/>
        </w:rPr>
      </w:pPr>
      <w:r w:rsidRPr="00FE475F">
        <w:rPr>
          <w:rStyle w:val="FootnoteReference"/>
          <w:sz w:val="14"/>
          <w:szCs w:val="14"/>
        </w:rPr>
        <w:footnoteRef/>
      </w:r>
      <w:r w:rsidRPr="00626686">
        <w:rPr>
          <w:sz w:val="14"/>
          <w:szCs w:val="14"/>
        </w:rPr>
        <w:t xml:space="preserve"> </w:t>
      </w:r>
      <w:hyperlink r:id="rId24" w:history="1">
        <w:r w:rsidRPr="00626686">
          <w:rPr>
            <w:rStyle w:val="Hyperlink"/>
            <w:sz w:val="14"/>
            <w:szCs w:val="14"/>
          </w:rPr>
          <w:t>http://ec.europa.eu/trade/policy/countries-and-regions/countries/chile/</w:t>
        </w:r>
      </w:hyperlink>
      <w:r w:rsidRPr="00626686">
        <w:rPr>
          <w:sz w:val="14"/>
          <w:szCs w:val="14"/>
        </w:rPr>
        <w:t xml:space="preserve"> </w:t>
      </w:r>
    </w:p>
  </w:footnote>
  <w:footnote w:id="28">
    <w:p w14:paraId="4B26CAA6" w14:textId="475D0FAB" w:rsidR="00095690" w:rsidRDefault="00095690">
      <w:pPr>
        <w:pStyle w:val="FootnoteText"/>
      </w:pPr>
      <w:r>
        <w:rPr>
          <w:rStyle w:val="FootnoteReference"/>
        </w:rPr>
        <w:footnoteRef/>
      </w:r>
      <w:r>
        <w:t xml:space="preserve"> </w:t>
      </w:r>
      <w:hyperlink r:id="rId25" w:history="1">
        <w:r w:rsidRPr="00626686">
          <w:rPr>
            <w:rStyle w:val="Hyperlink"/>
            <w:sz w:val="14"/>
            <w:szCs w:val="14"/>
          </w:rPr>
          <w:t>Report: 10th negotiating round: Modernising the EU-Chile Association Agreement (europa.eu)</w:t>
        </w:r>
      </w:hyperlink>
    </w:p>
  </w:footnote>
  <w:footnote w:id="29">
    <w:p w14:paraId="737CF9CA" w14:textId="77777777" w:rsidR="00095690" w:rsidRPr="00FE475F" w:rsidRDefault="00095690" w:rsidP="00000FE9">
      <w:pPr>
        <w:tabs>
          <w:tab w:val="left" w:pos="274"/>
        </w:tabs>
        <w:ind w:right="149" w:hanging="120"/>
        <w:rPr>
          <w:sz w:val="14"/>
          <w:szCs w:val="14"/>
          <w:lang w:val="nl-NL"/>
        </w:rPr>
      </w:pPr>
      <w:r w:rsidRPr="00DC74D2">
        <w:rPr>
          <w:sz w:val="14"/>
          <w:szCs w:val="14"/>
        </w:rPr>
        <w:tab/>
      </w:r>
      <w:r w:rsidRPr="00FE475F">
        <w:rPr>
          <w:rStyle w:val="FootnoteReference"/>
          <w:sz w:val="14"/>
          <w:szCs w:val="14"/>
        </w:rPr>
        <w:footnoteRef/>
      </w:r>
      <w:r w:rsidRPr="00FE475F">
        <w:rPr>
          <w:sz w:val="14"/>
          <w:szCs w:val="14"/>
          <w:lang w:val="nl-NL"/>
        </w:rPr>
        <w:t xml:space="preserve"> De volgende landen zijn lid van Mercosur: Argentinië, Brazilië, Paraguay, Uruguay en Venezuela. Het lidmaatschap</w:t>
      </w:r>
      <w:r w:rsidRPr="00FE475F">
        <w:rPr>
          <w:spacing w:val="-3"/>
          <w:sz w:val="14"/>
          <w:szCs w:val="14"/>
          <w:lang w:val="nl-NL"/>
        </w:rPr>
        <w:t xml:space="preserve"> </w:t>
      </w:r>
      <w:r w:rsidRPr="00FE475F">
        <w:rPr>
          <w:sz w:val="14"/>
          <w:szCs w:val="14"/>
          <w:lang w:val="nl-NL"/>
        </w:rPr>
        <w:t>van</w:t>
      </w:r>
      <w:r w:rsidRPr="00FE475F">
        <w:rPr>
          <w:spacing w:val="-3"/>
          <w:sz w:val="14"/>
          <w:szCs w:val="14"/>
          <w:lang w:val="nl-NL"/>
        </w:rPr>
        <w:t xml:space="preserve"> </w:t>
      </w:r>
      <w:r w:rsidRPr="00FE475F">
        <w:rPr>
          <w:sz w:val="14"/>
          <w:szCs w:val="14"/>
          <w:lang w:val="nl-NL"/>
        </w:rPr>
        <w:t>Venezuela</w:t>
      </w:r>
      <w:r w:rsidRPr="00FE475F">
        <w:rPr>
          <w:spacing w:val="-2"/>
          <w:sz w:val="14"/>
          <w:szCs w:val="14"/>
          <w:lang w:val="nl-NL"/>
        </w:rPr>
        <w:t xml:space="preserve"> </w:t>
      </w:r>
      <w:r w:rsidRPr="00FE475F">
        <w:rPr>
          <w:sz w:val="14"/>
          <w:szCs w:val="14"/>
          <w:lang w:val="nl-NL"/>
        </w:rPr>
        <w:t>is</w:t>
      </w:r>
      <w:r w:rsidRPr="00FE475F">
        <w:rPr>
          <w:spacing w:val="-4"/>
          <w:sz w:val="14"/>
          <w:szCs w:val="14"/>
          <w:lang w:val="nl-NL"/>
        </w:rPr>
        <w:t xml:space="preserve"> </w:t>
      </w:r>
      <w:r w:rsidRPr="00FE475F">
        <w:rPr>
          <w:sz w:val="14"/>
          <w:szCs w:val="14"/>
          <w:lang w:val="nl-NL"/>
        </w:rPr>
        <w:t>op</w:t>
      </w:r>
      <w:r w:rsidRPr="00FE475F">
        <w:rPr>
          <w:spacing w:val="-3"/>
          <w:sz w:val="14"/>
          <w:szCs w:val="14"/>
          <w:lang w:val="nl-NL"/>
        </w:rPr>
        <w:t xml:space="preserve"> </w:t>
      </w:r>
      <w:r w:rsidRPr="00FE475F">
        <w:rPr>
          <w:sz w:val="14"/>
          <w:szCs w:val="14"/>
          <w:lang w:val="nl-NL"/>
        </w:rPr>
        <w:t>1</w:t>
      </w:r>
      <w:r w:rsidRPr="00FE475F">
        <w:rPr>
          <w:spacing w:val="-3"/>
          <w:sz w:val="14"/>
          <w:szCs w:val="14"/>
          <w:lang w:val="nl-NL"/>
        </w:rPr>
        <w:t xml:space="preserve"> </w:t>
      </w:r>
      <w:r w:rsidRPr="00FE475F">
        <w:rPr>
          <w:sz w:val="14"/>
          <w:szCs w:val="14"/>
          <w:lang w:val="nl-NL"/>
        </w:rPr>
        <w:t>december</w:t>
      </w:r>
      <w:r w:rsidRPr="00FE475F">
        <w:rPr>
          <w:spacing w:val="-3"/>
          <w:sz w:val="14"/>
          <w:szCs w:val="14"/>
          <w:lang w:val="nl-NL"/>
        </w:rPr>
        <w:t xml:space="preserve"> </w:t>
      </w:r>
      <w:r w:rsidRPr="00FE475F">
        <w:rPr>
          <w:sz w:val="14"/>
          <w:szCs w:val="14"/>
          <w:lang w:val="nl-NL"/>
        </w:rPr>
        <w:t>2016</w:t>
      </w:r>
      <w:r w:rsidRPr="00FE475F">
        <w:rPr>
          <w:spacing w:val="-3"/>
          <w:sz w:val="14"/>
          <w:szCs w:val="14"/>
          <w:lang w:val="nl-NL"/>
        </w:rPr>
        <w:t xml:space="preserve"> </w:t>
      </w:r>
      <w:r w:rsidRPr="00FE475F">
        <w:rPr>
          <w:sz w:val="14"/>
          <w:szCs w:val="14"/>
          <w:lang w:val="nl-NL"/>
        </w:rPr>
        <w:t>geschorst.</w:t>
      </w:r>
      <w:r w:rsidRPr="00FE475F">
        <w:rPr>
          <w:spacing w:val="-4"/>
          <w:sz w:val="14"/>
          <w:szCs w:val="14"/>
          <w:lang w:val="nl-NL"/>
        </w:rPr>
        <w:t xml:space="preserve"> </w:t>
      </w:r>
      <w:r w:rsidRPr="00FE475F">
        <w:rPr>
          <w:sz w:val="14"/>
          <w:szCs w:val="14"/>
          <w:lang w:val="nl-NL"/>
        </w:rPr>
        <w:t>Het</w:t>
      </w:r>
      <w:r w:rsidRPr="00FE475F">
        <w:rPr>
          <w:spacing w:val="-3"/>
          <w:sz w:val="14"/>
          <w:szCs w:val="14"/>
          <w:lang w:val="nl-NL"/>
        </w:rPr>
        <w:t xml:space="preserve"> </w:t>
      </w:r>
      <w:r w:rsidRPr="00FE475F">
        <w:rPr>
          <w:sz w:val="14"/>
          <w:szCs w:val="14"/>
          <w:lang w:val="nl-NL"/>
        </w:rPr>
        <w:t>land</w:t>
      </w:r>
      <w:r w:rsidRPr="00FE475F">
        <w:rPr>
          <w:spacing w:val="-2"/>
          <w:sz w:val="14"/>
          <w:szCs w:val="14"/>
          <w:lang w:val="nl-NL"/>
        </w:rPr>
        <w:t xml:space="preserve"> </w:t>
      </w:r>
      <w:r w:rsidRPr="00FE475F">
        <w:rPr>
          <w:sz w:val="14"/>
          <w:szCs w:val="14"/>
          <w:lang w:val="nl-NL"/>
        </w:rPr>
        <w:t>is</w:t>
      </w:r>
      <w:r w:rsidRPr="00FE475F">
        <w:rPr>
          <w:spacing w:val="-4"/>
          <w:sz w:val="14"/>
          <w:szCs w:val="14"/>
          <w:lang w:val="nl-NL"/>
        </w:rPr>
        <w:t xml:space="preserve"> </w:t>
      </w:r>
      <w:r w:rsidRPr="00FE475F">
        <w:rPr>
          <w:sz w:val="14"/>
          <w:szCs w:val="14"/>
          <w:lang w:val="nl-NL"/>
        </w:rPr>
        <w:t>niet</w:t>
      </w:r>
      <w:r w:rsidRPr="00FE475F">
        <w:rPr>
          <w:spacing w:val="-4"/>
          <w:sz w:val="14"/>
          <w:szCs w:val="14"/>
          <w:lang w:val="nl-NL"/>
        </w:rPr>
        <w:t xml:space="preserve"> </w:t>
      </w:r>
      <w:r w:rsidRPr="00FE475F">
        <w:rPr>
          <w:sz w:val="14"/>
          <w:szCs w:val="14"/>
          <w:lang w:val="nl-NL"/>
        </w:rPr>
        <w:t>betrokken</w:t>
      </w:r>
      <w:r w:rsidRPr="00FE475F">
        <w:rPr>
          <w:spacing w:val="-3"/>
          <w:sz w:val="14"/>
          <w:szCs w:val="14"/>
          <w:lang w:val="nl-NL"/>
        </w:rPr>
        <w:t xml:space="preserve"> </w:t>
      </w:r>
      <w:r w:rsidRPr="00FE475F">
        <w:rPr>
          <w:sz w:val="14"/>
          <w:szCs w:val="14"/>
          <w:lang w:val="nl-NL"/>
        </w:rPr>
        <w:t>bij</w:t>
      </w:r>
      <w:r w:rsidRPr="00FE475F">
        <w:rPr>
          <w:spacing w:val="-3"/>
          <w:sz w:val="14"/>
          <w:szCs w:val="14"/>
          <w:lang w:val="nl-NL"/>
        </w:rPr>
        <w:t xml:space="preserve"> </w:t>
      </w:r>
      <w:r w:rsidRPr="00FE475F">
        <w:rPr>
          <w:sz w:val="14"/>
          <w:szCs w:val="14"/>
          <w:lang w:val="nl-NL"/>
        </w:rPr>
        <w:t>de</w:t>
      </w:r>
      <w:r w:rsidRPr="00FE475F">
        <w:rPr>
          <w:spacing w:val="-4"/>
          <w:sz w:val="14"/>
          <w:szCs w:val="14"/>
          <w:lang w:val="nl-NL"/>
        </w:rPr>
        <w:t xml:space="preserve"> </w:t>
      </w:r>
      <w:r w:rsidRPr="00FE475F">
        <w:rPr>
          <w:sz w:val="14"/>
          <w:szCs w:val="14"/>
          <w:lang w:val="nl-NL"/>
        </w:rPr>
        <w:t xml:space="preserve">onderhandelingen. </w:t>
      </w:r>
    </w:p>
  </w:footnote>
  <w:footnote w:id="30">
    <w:p w14:paraId="2E600629" w14:textId="5B42E708" w:rsidR="00095690" w:rsidRPr="00587145" w:rsidRDefault="00095690">
      <w:pPr>
        <w:pStyle w:val="FootnoteText"/>
        <w:rPr>
          <w:sz w:val="14"/>
          <w:szCs w:val="14"/>
          <w:lang w:val="nl-NL"/>
        </w:rPr>
      </w:pPr>
      <w:r w:rsidRPr="00FE475F">
        <w:rPr>
          <w:rStyle w:val="FootnoteReference"/>
          <w:sz w:val="14"/>
          <w:szCs w:val="14"/>
        </w:rPr>
        <w:footnoteRef/>
      </w:r>
      <w:r w:rsidRPr="00587145">
        <w:rPr>
          <w:sz w:val="14"/>
          <w:szCs w:val="14"/>
          <w:lang w:val="nl-NL"/>
        </w:rPr>
        <w:t xml:space="preserve"> </w:t>
      </w:r>
      <w:hyperlink r:id="rId26" w:history="1">
        <w:r w:rsidRPr="00587145">
          <w:rPr>
            <w:rStyle w:val="Hyperlink"/>
            <w:sz w:val="14"/>
            <w:szCs w:val="14"/>
            <w:lang w:val="nl-NL"/>
          </w:rPr>
          <w:t>https://ec.europa.eu/trade/policy/countries-and-regions/regions/mercosur/</w:t>
        </w:r>
      </w:hyperlink>
      <w:r w:rsidRPr="00587145">
        <w:rPr>
          <w:lang w:val="nl-NL"/>
        </w:rPr>
        <w:t xml:space="preserve"> </w:t>
      </w:r>
    </w:p>
  </w:footnote>
  <w:footnote w:id="31">
    <w:p w14:paraId="7BC2FFE9" w14:textId="57FB1C28" w:rsidR="00095690" w:rsidRPr="00955457" w:rsidRDefault="00095690">
      <w:pPr>
        <w:pStyle w:val="FootnoteText"/>
        <w:rPr>
          <w:sz w:val="14"/>
          <w:szCs w:val="14"/>
        </w:rPr>
      </w:pPr>
      <w:r w:rsidRPr="00955457">
        <w:rPr>
          <w:rStyle w:val="FootnoteReference"/>
          <w:sz w:val="14"/>
          <w:szCs w:val="14"/>
        </w:rPr>
        <w:footnoteRef/>
      </w:r>
      <w:r w:rsidRPr="00955457">
        <w:rPr>
          <w:sz w:val="14"/>
          <w:szCs w:val="14"/>
        </w:rPr>
        <w:t xml:space="preserve"> </w:t>
      </w:r>
      <w:hyperlink r:id="rId27" w:history="1">
        <w:r w:rsidRPr="00955457">
          <w:rPr>
            <w:rStyle w:val="Hyperlink"/>
            <w:sz w:val="14"/>
            <w:szCs w:val="14"/>
          </w:rPr>
          <w:t>European Commission publishes final Sustainability Impact Assessment and Position Paper on the EU-Mercosur Trade Agreement - Trade - European Commission (europa.eu)</w:t>
        </w:r>
      </w:hyperlink>
      <w:r w:rsidRPr="00955457">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F328CCFA"/>
    <w:lvl w:ilvl="0">
      <w:start w:val="3"/>
      <w:numFmt w:val="upperLetter"/>
      <w:lvlText w:val="%1."/>
      <w:lvlJc w:val="left"/>
      <w:pPr>
        <w:ind w:left="257" w:hanging="257"/>
      </w:pPr>
      <w:rPr>
        <w:rFonts w:hint="default"/>
        <w:w w:val="99"/>
        <w:u w:val="single" w:color="000000"/>
      </w:rPr>
    </w:lvl>
    <w:lvl w:ilvl="1">
      <w:start w:val="1"/>
      <w:numFmt w:val="decimal"/>
      <w:lvlText w:val="%1.%2"/>
      <w:lvlJc w:val="left"/>
      <w:pPr>
        <w:ind w:left="1220" w:hanging="370"/>
      </w:pPr>
      <w:rPr>
        <w:rFonts w:hint="default"/>
        <w:i w:val="0"/>
        <w:spacing w:val="-1"/>
        <w:w w:val="99"/>
        <w:u w:val="single" w:color="000000"/>
      </w:rPr>
    </w:lvl>
    <w:lvl w:ilvl="2">
      <w:numFmt w:val="bullet"/>
      <w:lvlText w:val="•"/>
      <w:lvlJc w:val="left"/>
      <w:pPr>
        <w:ind w:left="3070" w:hanging="370"/>
      </w:pPr>
      <w:rPr>
        <w:rFonts w:hint="default"/>
      </w:rPr>
    </w:lvl>
    <w:lvl w:ilvl="3">
      <w:numFmt w:val="bullet"/>
      <w:lvlText w:val="•"/>
      <w:lvlJc w:val="left"/>
      <w:pPr>
        <w:ind w:left="4079" w:hanging="370"/>
      </w:pPr>
      <w:rPr>
        <w:rFonts w:hint="default"/>
      </w:rPr>
    </w:lvl>
    <w:lvl w:ilvl="4">
      <w:numFmt w:val="bullet"/>
      <w:lvlText w:val="•"/>
      <w:lvlJc w:val="left"/>
      <w:pPr>
        <w:ind w:left="5088" w:hanging="370"/>
      </w:pPr>
      <w:rPr>
        <w:rFonts w:hint="default"/>
      </w:rPr>
    </w:lvl>
    <w:lvl w:ilvl="5">
      <w:numFmt w:val="bullet"/>
      <w:lvlText w:val="•"/>
      <w:lvlJc w:val="left"/>
      <w:pPr>
        <w:ind w:left="6097" w:hanging="370"/>
      </w:pPr>
      <w:rPr>
        <w:rFonts w:hint="default"/>
      </w:rPr>
    </w:lvl>
    <w:lvl w:ilvl="6">
      <w:numFmt w:val="bullet"/>
      <w:lvlText w:val="•"/>
      <w:lvlJc w:val="left"/>
      <w:pPr>
        <w:ind w:left="7106" w:hanging="370"/>
      </w:pPr>
      <w:rPr>
        <w:rFonts w:hint="default"/>
      </w:rPr>
    </w:lvl>
    <w:lvl w:ilvl="7">
      <w:numFmt w:val="bullet"/>
      <w:lvlText w:val="•"/>
      <w:lvlJc w:val="left"/>
      <w:pPr>
        <w:ind w:left="8115" w:hanging="370"/>
      </w:pPr>
      <w:rPr>
        <w:rFonts w:hint="default"/>
      </w:rPr>
    </w:lvl>
    <w:lvl w:ilvl="8">
      <w:numFmt w:val="bullet"/>
      <w:lvlText w:val="•"/>
      <w:lvlJc w:val="left"/>
      <w:pPr>
        <w:ind w:left="9124"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533DF"/>
    <w:multiLevelType w:val="hybridMultilevel"/>
    <w:tmpl w:val="7BBEA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B4BBE"/>
    <w:multiLevelType w:val="hybridMultilevel"/>
    <w:tmpl w:val="E4D68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6013D9"/>
    <w:multiLevelType w:val="hybridMultilevel"/>
    <w:tmpl w:val="2E40DA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9"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03382A"/>
    <w:multiLevelType w:val="multilevel"/>
    <w:tmpl w:val="ADF8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4" w15:restartNumberingAfterBreak="0">
    <w:nsid w:val="61E303F6"/>
    <w:multiLevelType w:val="hybridMultilevel"/>
    <w:tmpl w:val="EBC21CAA"/>
    <w:lvl w:ilvl="0" w:tplc="187E1396">
      <w:start w:val="1"/>
      <w:numFmt w:val="bullet"/>
      <w:lvlText w:val="­"/>
      <w:lvlJc w:val="left"/>
      <w:pPr>
        <w:ind w:left="1120" w:hanging="360"/>
      </w:pPr>
      <w:rPr>
        <w:rFonts w:ascii="Courier New" w:hAnsi="Courier New" w:cs="Times New Roman" w:hint="default"/>
        <w:color w:val="000000"/>
      </w:rPr>
    </w:lvl>
    <w:lvl w:ilvl="1" w:tplc="04130003">
      <w:start w:val="1"/>
      <w:numFmt w:val="bullet"/>
      <w:lvlText w:val="o"/>
      <w:lvlJc w:val="left"/>
      <w:pPr>
        <w:ind w:left="1840" w:hanging="360"/>
      </w:pPr>
      <w:rPr>
        <w:rFonts w:ascii="Courier New" w:hAnsi="Courier New" w:cs="Courier New" w:hint="default"/>
      </w:rPr>
    </w:lvl>
    <w:lvl w:ilvl="2" w:tplc="04130005">
      <w:start w:val="1"/>
      <w:numFmt w:val="bullet"/>
      <w:lvlText w:val=""/>
      <w:lvlJc w:val="left"/>
      <w:pPr>
        <w:ind w:left="2560" w:hanging="360"/>
      </w:pPr>
      <w:rPr>
        <w:rFonts w:ascii="Wingdings" w:hAnsi="Wingdings" w:hint="default"/>
      </w:rPr>
    </w:lvl>
    <w:lvl w:ilvl="3" w:tplc="04130001">
      <w:start w:val="1"/>
      <w:numFmt w:val="bullet"/>
      <w:lvlText w:val=""/>
      <w:lvlJc w:val="left"/>
      <w:pPr>
        <w:ind w:left="3280" w:hanging="360"/>
      </w:pPr>
      <w:rPr>
        <w:rFonts w:ascii="Symbol" w:hAnsi="Symbol" w:hint="default"/>
      </w:rPr>
    </w:lvl>
    <w:lvl w:ilvl="4" w:tplc="04130003">
      <w:start w:val="1"/>
      <w:numFmt w:val="bullet"/>
      <w:lvlText w:val="o"/>
      <w:lvlJc w:val="left"/>
      <w:pPr>
        <w:ind w:left="4000" w:hanging="360"/>
      </w:pPr>
      <w:rPr>
        <w:rFonts w:ascii="Courier New" w:hAnsi="Courier New" w:cs="Courier New" w:hint="default"/>
      </w:rPr>
    </w:lvl>
    <w:lvl w:ilvl="5" w:tplc="04130005">
      <w:start w:val="1"/>
      <w:numFmt w:val="bullet"/>
      <w:lvlText w:val=""/>
      <w:lvlJc w:val="left"/>
      <w:pPr>
        <w:ind w:left="4720" w:hanging="360"/>
      </w:pPr>
      <w:rPr>
        <w:rFonts w:ascii="Wingdings" w:hAnsi="Wingdings" w:hint="default"/>
      </w:rPr>
    </w:lvl>
    <w:lvl w:ilvl="6" w:tplc="04130001">
      <w:start w:val="1"/>
      <w:numFmt w:val="bullet"/>
      <w:lvlText w:val=""/>
      <w:lvlJc w:val="left"/>
      <w:pPr>
        <w:ind w:left="5440" w:hanging="360"/>
      </w:pPr>
      <w:rPr>
        <w:rFonts w:ascii="Symbol" w:hAnsi="Symbol" w:hint="default"/>
      </w:rPr>
    </w:lvl>
    <w:lvl w:ilvl="7" w:tplc="04130003">
      <w:start w:val="1"/>
      <w:numFmt w:val="bullet"/>
      <w:lvlText w:val="o"/>
      <w:lvlJc w:val="left"/>
      <w:pPr>
        <w:ind w:left="6160" w:hanging="360"/>
      </w:pPr>
      <w:rPr>
        <w:rFonts w:ascii="Courier New" w:hAnsi="Courier New" w:cs="Courier New" w:hint="default"/>
      </w:rPr>
    </w:lvl>
    <w:lvl w:ilvl="8" w:tplc="04130005">
      <w:start w:val="1"/>
      <w:numFmt w:val="bullet"/>
      <w:lvlText w:val=""/>
      <w:lvlJc w:val="left"/>
      <w:pPr>
        <w:ind w:left="6880" w:hanging="360"/>
      </w:pPr>
      <w:rPr>
        <w:rFonts w:ascii="Wingdings" w:hAnsi="Wingdings" w:hint="default"/>
      </w:rPr>
    </w:lvl>
  </w:abstractNum>
  <w:abstractNum w:abstractNumId="15" w15:restartNumberingAfterBreak="0">
    <w:nsid w:val="74A34F70"/>
    <w:multiLevelType w:val="hybridMultilevel"/>
    <w:tmpl w:val="5DC48C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282217"/>
    <w:multiLevelType w:val="hybridMultilevel"/>
    <w:tmpl w:val="1FF0A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3"/>
  </w:num>
  <w:num w:numId="5">
    <w:abstractNumId w:val="0"/>
  </w:num>
  <w:num w:numId="6">
    <w:abstractNumId w:val="9"/>
  </w:num>
  <w:num w:numId="7">
    <w:abstractNumId w:val="11"/>
  </w:num>
  <w:num w:numId="8">
    <w:abstractNumId w:val="2"/>
  </w:num>
  <w:num w:numId="9">
    <w:abstractNumId w:val="5"/>
  </w:num>
  <w:num w:numId="10">
    <w:abstractNumId w:val="6"/>
  </w:num>
  <w:num w:numId="11">
    <w:abstractNumId w:val="15"/>
  </w:num>
  <w:num w:numId="12">
    <w:abstractNumId w:val="3"/>
  </w:num>
  <w:num w:numId="13">
    <w:abstractNumId w:val="16"/>
  </w:num>
  <w:num w:numId="14">
    <w:abstractNumId w:val="14"/>
  </w:num>
  <w:num w:numId="15">
    <w:abstractNumId w:val="4"/>
  </w:num>
  <w:num w:numId="16">
    <w:abstractNumId w:val="12"/>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02"/>
    <w:rsid w:val="000003B7"/>
    <w:rsid w:val="000004F9"/>
    <w:rsid w:val="00000816"/>
    <w:rsid w:val="00000FA0"/>
    <w:rsid w:val="00000FE9"/>
    <w:rsid w:val="00001364"/>
    <w:rsid w:val="00001DE7"/>
    <w:rsid w:val="00001DFA"/>
    <w:rsid w:val="0000305E"/>
    <w:rsid w:val="00003264"/>
    <w:rsid w:val="000035DF"/>
    <w:rsid w:val="000036DC"/>
    <w:rsid w:val="000049E7"/>
    <w:rsid w:val="00004A0A"/>
    <w:rsid w:val="00004F98"/>
    <w:rsid w:val="00005787"/>
    <w:rsid w:val="00005B23"/>
    <w:rsid w:val="000061F4"/>
    <w:rsid w:val="000062F3"/>
    <w:rsid w:val="00007866"/>
    <w:rsid w:val="0001046E"/>
    <w:rsid w:val="00010E1E"/>
    <w:rsid w:val="00011C3B"/>
    <w:rsid w:val="00013DDA"/>
    <w:rsid w:val="00014060"/>
    <w:rsid w:val="00016B7E"/>
    <w:rsid w:val="000170F4"/>
    <w:rsid w:val="000203DE"/>
    <w:rsid w:val="0002135C"/>
    <w:rsid w:val="00021995"/>
    <w:rsid w:val="000222CF"/>
    <w:rsid w:val="00022A68"/>
    <w:rsid w:val="0002361A"/>
    <w:rsid w:val="0002524D"/>
    <w:rsid w:val="0002596B"/>
    <w:rsid w:val="000268AE"/>
    <w:rsid w:val="000270DC"/>
    <w:rsid w:val="000270EF"/>
    <w:rsid w:val="00030204"/>
    <w:rsid w:val="00030347"/>
    <w:rsid w:val="00031FD6"/>
    <w:rsid w:val="00032704"/>
    <w:rsid w:val="00032F30"/>
    <w:rsid w:val="00034088"/>
    <w:rsid w:val="00035200"/>
    <w:rsid w:val="000352CE"/>
    <w:rsid w:val="000356AF"/>
    <w:rsid w:val="00035C57"/>
    <w:rsid w:val="00036501"/>
    <w:rsid w:val="00036D1A"/>
    <w:rsid w:val="00036FA4"/>
    <w:rsid w:val="00040997"/>
    <w:rsid w:val="00042152"/>
    <w:rsid w:val="0004262C"/>
    <w:rsid w:val="000449A7"/>
    <w:rsid w:val="00044DAD"/>
    <w:rsid w:val="00044E4F"/>
    <w:rsid w:val="00045449"/>
    <w:rsid w:val="00045519"/>
    <w:rsid w:val="00045EF5"/>
    <w:rsid w:val="00046B87"/>
    <w:rsid w:val="00046D8B"/>
    <w:rsid w:val="0004728B"/>
    <w:rsid w:val="00050063"/>
    <w:rsid w:val="0005016A"/>
    <w:rsid w:val="000503B0"/>
    <w:rsid w:val="0005073E"/>
    <w:rsid w:val="00051259"/>
    <w:rsid w:val="000515C9"/>
    <w:rsid w:val="00051EF1"/>
    <w:rsid w:val="00053714"/>
    <w:rsid w:val="000537EC"/>
    <w:rsid w:val="00055589"/>
    <w:rsid w:val="00055CB5"/>
    <w:rsid w:val="000573D7"/>
    <w:rsid w:val="000604A6"/>
    <w:rsid w:val="00060E35"/>
    <w:rsid w:val="00060E8C"/>
    <w:rsid w:val="00061D8C"/>
    <w:rsid w:val="00064038"/>
    <w:rsid w:val="00064B51"/>
    <w:rsid w:val="000658B8"/>
    <w:rsid w:val="000660D7"/>
    <w:rsid w:val="0006771C"/>
    <w:rsid w:val="00067951"/>
    <w:rsid w:val="00067E9B"/>
    <w:rsid w:val="0007026A"/>
    <w:rsid w:val="00072611"/>
    <w:rsid w:val="00072BF2"/>
    <w:rsid w:val="00074AD5"/>
    <w:rsid w:val="0007519C"/>
    <w:rsid w:val="0007546A"/>
    <w:rsid w:val="00075745"/>
    <w:rsid w:val="000762AE"/>
    <w:rsid w:val="00076447"/>
    <w:rsid w:val="00076B93"/>
    <w:rsid w:val="000770D7"/>
    <w:rsid w:val="00077604"/>
    <w:rsid w:val="00077957"/>
    <w:rsid w:val="00077F9C"/>
    <w:rsid w:val="0008009E"/>
    <w:rsid w:val="00080A1D"/>
    <w:rsid w:val="000813C0"/>
    <w:rsid w:val="0008194F"/>
    <w:rsid w:val="00081E19"/>
    <w:rsid w:val="00082CDD"/>
    <w:rsid w:val="000843CB"/>
    <w:rsid w:val="000848E1"/>
    <w:rsid w:val="00084BA0"/>
    <w:rsid w:val="00085FA1"/>
    <w:rsid w:val="0008664D"/>
    <w:rsid w:val="00086DE9"/>
    <w:rsid w:val="0008757D"/>
    <w:rsid w:val="00090531"/>
    <w:rsid w:val="000906BF"/>
    <w:rsid w:val="00090729"/>
    <w:rsid w:val="00092697"/>
    <w:rsid w:val="00092E37"/>
    <w:rsid w:val="0009316C"/>
    <w:rsid w:val="00093FB1"/>
    <w:rsid w:val="00094025"/>
    <w:rsid w:val="0009448B"/>
    <w:rsid w:val="0009456B"/>
    <w:rsid w:val="000952BA"/>
    <w:rsid w:val="00095690"/>
    <w:rsid w:val="000962FD"/>
    <w:rsid w:val="0009772E"/>
    <w:rsid w:val="000A0639"/>
    <w:rsid w:val="000A1540"/>
    <w:rsid w:val="000A45A7"/>
    <w:rsid w:val="000A5169"/>
    <w:rsid w:val="000A5C98"/>
    <w:rsid w:val="000A5D0A"/>
    <w:rsid w:val="000A67F8"/>
    <w:rsid w:val="000A7160"/>
    <w:rsid w:val="000A7C84"/>
    <w:rsid w:val="000B073B"/>
    <w:rsid w:val="000B32B8"/>
    <w:rsid w:val="000B3347"/>
    <w:rsid w:val="000B3953"/>
    <w:rsid w:val="000B3F29"/>
    <w:rsid w:val="000B5494"/>
    <w:rsid w:val="000B54D1"/>
    <w:rsid w:val="000B64D6"/>
    <w:rsid w:val="000B677C"/>
    <w:rsid w:val="000B74D5"/>
    <w:rsid w:val="000B7CB5"/>
    <w:rsid w:val="000B7ED9"/>
    <w:rsid w:val="000C1689"/>
    <w:rsid w:val="000C2AB1"/>
    <w:rsid w:val="000C44E0"/>
    <w:rsid w:val="000C49D9"/>
    <w:rsid w:val="000C56A1"/>
    <w:rsid w:val="000C5EAC"/>
    <w:rsid w:val="000C6254"/>
    <w:rsid w:val="000D2175"/>
    <w:rsid w:val="000D25FD"/>
    <w:rsid w:val="000D2647"/>
    <w:rsid w:val="000D33F8"/>
    <w:rsid w:val="000D350F"/>
    <w:rsid w:val="000D473B"/>
    <w:rsid w:val="000D4B22"/>
    <w:rsid w:val="000D5E9A"/>
    <w:rsid w:val="000D5F56"/>
    <w:rsid w:val="000D6D72"/>
    <w:rsid w:val="000D71DE"/>
    <w:rsid w:val="000E0038"/>
    <w:rsid w:val="000E0256"/>
    <w:rsid w:val="000E0641"/>
    <w:rsid w:val="000E202B"/>
    <w:rsid w:val="000E296E"/>
    <w:rsid w:val="000E2F28"/>
    <w:rsid w:val="000E54F3"/>
    <w:rsid w:val="000E5E98"/>
    <w:rsid w:val="000E6579"/>
    <w:rsid w:val="000E6EAD"/>
    <w:rsid w:val="000F0163"/>
    <w:rsid w:val="000F1679"/>
    <w:rsid w:val="000F202F"/>
    <w:rsid w:val="000F209B"/>
    <w:rsid w:val="000F23AF"/>
    <w:rsid w:val="000F38A0"/>
    <w:rsid w:val="000F741C"/>
    <w:rsid w:val="00100069"/>
    <w:rsid w:val="0010048D"/>
    <w:rsid w:val="00100565"/>
    <w:rsid w:val="00101AAD"/>
    <w:rsid w:val="001023C5"/>
    <w:rsid w:val="00102B1B"/>
    <w:rsid w:val="00103465"/>
    <w:rsid w:val="0010462C"/>
    <w:rsid w:val="001049A1"/>
    <w:rsid w:val="001054E1"/>
    <w:rsid w:val="00105A07"/>
    <w:rsid w:val="00106601"/>
    <w:rsid w:val="00106674"/>
    <w:rsid w:val="00106798"/>
    <w:rsid w:val="00110DDB"/>
    <w:rsid w:val="00110EBE"/>
    <w:rsid w:val="00110F69"/>
    <w:rsid w:val="0011141F"/>
    <w:rsid w:val="00111A17"/>
    <w:rsid w:val="00113276"/>
    <w:rsid w:val="001145EF"/>
    <w:rsid w:val="001155C7"/>
    <w:rsid w:val="001171B0"/>
    <w:rsid w:val="00120C66"/>
    <w:rsid w:val="00121BF0"/>
    <w:rsid w:val="00122691"/>
    <w:rsid w:val="00122DCF"/>
    <w:rsid w:val="0012433F"/>
    <w:rsid w:val="00124FE8"/>
    <w:rsid w:val="00125ACD"/>
    <w:rsid w:val="0012664A"/>
    <w:rsid w:val="00126EE0"/>
    <w:rsid w:val="00126EEF"/>
    <w:rsid w:val="00130664"/>
    <w:rsid w:val="00130C13"/>
    <w:rsid w:val="00130CA8"/>
    <w:rsid w:val="0013123E"/>
    <w:rsid w:val="00132049"/>
    <w:rsid w:val="001338B7"/>
    <w:rsid w:val="00133D3B"/>
    <w:rsid w:val="00134508"/>
    <w:rsid w:val="00135BBE"/>
    <w:rsid w:val="00135D2B"/>
    <w:rsid w:val="001366D4"/>
    <w:rsid w:val="00136BB2"/>
    <w:rsid w:val="00137508"/>
    <w:rsid w:val="00140656"/>
    <w:rsid w:val="00140B87"/>
    <w:rsid w:val="00140EB9"/>
    <w:rsid w:val="0014277A"/>
    <w:rsid w:val="00143094"/>
    <w:rsid w:val="00143507"/>
    <w:rsid w:val="001436CD"/>
    <w:rsid w:val="001437E7"/>
    <w:rsid w:val="00143EE7"/>
    <w:rsid w:val="00144770"/>
    <w:rsid w:val="00144797"/>
    <w:rsid w:val="00144ABC"/>
    <w:rsid w:val="00144F75"/>
    <w:rsid w:val="0014523D"/>
    <w:rsid w:val="00145328"/>
    <w:rsid w:val="00145583"/>
    <w:rsid w:val="001458EA"/>
    <w:rsid w:val="001466C3"/>
    <w:rsid w:val="00146CB1"/>
    <w:rsid w:val="00146ECC"/>
    <w:rsid w:val="001472C6"/>
    <w:rsid w:val="0014793C"/>
    <w:rsid w:val="00147C4D"/>
    <w:rsid w:val="00151A9B"/>
    <w:rsid w:val="00152444"/>
    <w:rsid w:val="00152498"/>
    <w:rsid w:val="00153AB7"/>
    <w:rsid w:val="00153D7C"/>
    <w:rsid w:val="001549AC"/>
    <w:rsid w:val="00154A74"/>
    <w:rsid w:val="00154E85"/>
    <w:rsid w:val="001564BD"/>
    <w:rsid w:val="00156D0A"/>
    <w:rsid w:val="00157B7A"/>
    <w:rsid w:val="00160136"/>
    <w:rsid w:val="00160BCD"/>
    <w:rsid w:val="00160E83"/>
    <w:rsid w:val="0016115F"/>
    <w:rsid w:val="00161771"/>
    <w:rsid w:val="00161E74"/>
    <w:rsid w:val="00161F03"/>
    <w:rsid w:val="00162644"/>
    <w:rsid w:val="00162C40"/>
    <w:rsid w:val="00162C77"/>
    <w:rsid w:val="00163FBB"/>
    <w:rsid w:val="001641F9"/>
    <w:rsid w:val="0016481C"/>
    <w:rsid w:val="001648D8"/>
    <w:rsid w:val="00164A4F"/>
    <w:rsid w:val="001651FB"/>
    <w:rsid w:val="00165479"/>
    <w:rsid w:val="00165F24"/>
    <w:rsid w:val="001666A4"/>
    <w:rsid w:val="00167004"/>
    <w:rsid w:val="001678DA"/>
    <w:rsid w:val="0016790E"/>
    <w:rsid w:val="00167DFD"/>
    <w:rsid w:val="0017090A"/>
    <w:rsid w:val="00171350"/>
    <w:rsid w:val="001717EC"/>
    <w:rsid w:val="00172639"/>
    <w:rsid w:val="00172EE3"/>
    <w:rsid w:val="001749C9"/>
    <w:rsid w:val="001766A7"/>
    <w:rsid w:val="00176D00"/>
    <w:rsid w:val="0018018F"/>
    <w:rsid w:val="00180CDE"/>
    <w:rsid w:val="00181396"/>
    <w:rsid w:val="00181437"/>
    <w:rsid w:val="0018263B"/>
    <w:rsid w:val="00184B75"/>
    <w:rsid w:val="00185453"/>
    <w:rsid w:val="001865BF"/>
    <w:rsid w:val="00186B7E"/>
    <w:rsid w:val="00187775"/>
    <w:rsid w:val="00187833"/>
    <w:rsid w:val="00187CF9"/>
    <w:rsid w:val="00190DAF"/>
    <w:rsid w:val="00190F27"/>
    <w:rsid w:val="00191487"/>
    <w:rsid w:val="001918E6"/>
    <w:rsid w:val="00192CA7"/>
    <w:rsid w:val="0019338E"/>
    <w:rsid w:val="001938E2"/>
    <w:rsid w:val="00195AA2"/>
    <w:rsid w:val="00196681"/>
    <w:rsid w:val="001969FA"/>
    <w:rsid w:val="0019758F"/>
    <w:rsid w:val="00197EA5"/>
    <w:rsid w:val="001A005C"/>
    <w:rsid w:val="001A0091"/>
    <w:rsid w:val="001A1049"/>
    <w:rsid w:val="001A2063"/>
    <w:rsid w:val="001A23DE"/>
    <w:rsid w:val="001A27DF"/>
    <w:rsid w:val="001A29B0"/>
    <w:rsid w:val="001A3081"/>
    <w:rsid w:val="001A4007"/>
    <w:rsid w:val="001A5434"/>
    <w:rsid w:val="001A5F2D"/>
    <w:rsid w:val="001A60A9"/>
    <w:rsid w:val="001A6F2F"/>
    <w:rsid w:val="001A7C7C"/>
    <w:rsid w:val="001B06BD"/>
    <w:rsid w:val="001B0713"/>
    <w:rsid w:val="001B14FC"/>
    <w:rsid w:val="001B1847"/>
    <w:rsid w:val="001B2534"/>
    <w:rsid w:val="001B3B58"/>
    <w:rsid w:val="001B4CCE"/>
    <w:rsid w:val="001B5984"/>
    <w:rsid w:val="001B6EC0"/>
    <w:rsid w:val="001B7C01"/>
    <w:rsid w:val="001B7D59"/>
    <w:rsid w:val="001B7EEC"/>
    <w:rsid w:val="001C0906"/>
    <w:rsid w:val="001C0B26"/>
    <w:rsid w:val="001C0C5F"/>
    <w:rsid w:val="001C2250"/>
    <w:rsid w:val="001C4628"/>
    <w:rsid w:val="001C46FF"/>
    <w:rsid w:val="001C5392"/>
    <w:rsid w:val="001C5B79"/>
    <w:rsid w:val="001C6724"/>
    <w:rsid w:val="001C72D6"/>
    <w:rsid w:val="001C7EB0"/>
    <w:rsid w:val="001D1CF8"/>
    <w:rsid w:val="001D2103"/>
    <w:rsid w:val="001D2AB5"/>
    <w:rsid w:val="001D2D1D"/>
    <w:rsid w:val="001D3C32"/>
    <w:rsid w:val="001D3D5C"/>
    <w:rsid w:val="001D48B7"/>
    <w:rsid w:val="001D4E07"/>
    <w:rsid w:val="001D527E"/>
    <w:rsid w:val="001D5D7A"/>
    <w:rsid w:val="001D6313"/>
    <w:rsid w:val="001D640C"/>
    <w:rsid w:val="001D794D"/>
    <w:rsid w:val="001E0205"/>
    <w:rsid w:val="001E0B00"/>
    <w:rsid w:val="001E1FDA"/>
    <w:rsid w:val="001E35A6"/>
    <w:rsid w:val="001E3D88"/>
    <w:rsid w:val="001E3E70"/>
    <w:rsid w:val="001E53CF"/>
    <w:rsid w:val="001E6292"/>
    <w:rsid w:val="001E6818"/>
    <w:rsid w:val="001E6D39"/>
    <w:rsid w:val="001E6EFF"/>
    <w:rsid w:val="001F0842"/>
    <w:rsid w:val="001F15C5"/>
    <w:rsid w:val="001F2435"/>
    <w:rsid w:val="001F3AFA"/>
    <w:rsid w:val="001F4EA9"/>
    <w:rsid w:val="001F532C"/>
    <w:rsid w:val="001F5D75"/>
    <w:rsid w:val="001F641C"/>
    <w:rsid w:val="001F7BA1"/>
    <w:rsid w:val="001F7DD6"/>
    <w:rsid w:val="002005E3"/>
    <w:rsid w:val="00200C07"/>
    <w:rsid w:val="00201703"/>
    <w:rsid w:val="00201E05"/>
    <w:rsid w:val="00202193"/>
    <w:rsid w:val="00202459"/>
    <w:rsid w:val="00202A24"/>
    <w:rsid w:val="00203C28"/>
    <w:rsid w:val="00204036"/>
    <w:rsid w:val="00204D2F"/>
    <w:rsid w:val="002054FA"/>
    <w:rsid w:val="00206362"/>
    <w:rsid w:val="00210BFD"/>
    <w:rsid w:val="00211CD6"/>
    <w:rsid w:val="00212075"/>
    <w:rsid w:val="00213209"/>
    <w:rsid w:val="00213B74"/>
    <w:rsid w:val="00214FCE"/>
    <w:rsid w:val="00215D9A"/>
    <w:rsid w:val="002204BB"/>
    <w:rsid w:val="002205CA"/>
    <w:rsid w:val="002207E3"/>
    <w:rsid w:val="00221E5B"/>
    <w:rsid w:val="00223472"/>
    <w:rsid w:val="0022405E"/>
    <w:rsid w:val="002240FC"/>
    <w:rsid w:val="002249D7"/>
    <w:rsid w:val="002250A8"/>
    <w:rsid w:val="00226A47"/>
    <w:rsid w:val="00226E2A"/>
    <w:rsid w:val="00227B20"/>
    <w:rsid w:val="00227FEA"/>
    <w:rsid w:val="002301C5"/>
    <w:rsid w:val="002307B6"/>
    <w:rsid w:val="002310D8"/>
    <w:rsid w:val="002341A1"/>
    <w:rsid w:val="0023575F"/>
    <w:rsid w:val="00236870"/>
    <w:rsid w:val="00237258"/>
    <w:rsid w:val="0023741A"/>
    <w:rsid w:val="0024045F"/>
    <w:rsid w:val="00240D0D"/>
    <w:rsid w:val="00241DE3"/>
    <w:rsid w:val="00241E7F"/>
    <w:rsid w:val="0024215F"/>
    <w:rsid w:val="00244657"/>
    <w:rsid w:val="00244C4E"/>
    <w:rsid w:val="002451E5"/>
    <w:rsid w:val="00245578"/>
    <w:rsid w:val="00245C88"/>
    <w:rsid w:val="00247463"/>
    <w:rsid w:val="002519FE"/>
    <w:rsid w:val="00251F4A"/>
    <w:rsid w:val="00252A22"/>
    <w:rsid w:val="002532B2"/>
    <w:rsid w:val="00253683"/>
    <w:rsid w:val="00253A6F"/>
    <w:rsid w:val="00253D95"/>
    <w:rsid w:val="00254278"/>
    <w:rsid w:val="00255896"/>
    <w:rsid w:val="00256566"/>
    <w:rsid w:val="00256B8F"/>
    <w:rsid w:val="00256E64"/>
    <w:rsid w:val="00260A08"/>
    <w:rsid w:val="00261777"/>
    <w:rsid w:val="002621B5"/>
    <w:rsid w:val="00263383"/>
    <w:rsid w:val="00264005"/>
    <w:rsid w:val="00265207"/>
    <w:rsid w:val="00265311"/>
    <w:rsid w:val="00265431"/>
    <w:rsid w:val="00265BE3"/>
    <w:rsid w:val="00266510"/>
    <w:rsid w:val="00266FB8"/>
    <w:rsid w:val="002670C8"/>
    <w:rsid w:val="00270481"/>
    <w:rsid w:val="002717E8"/>
    <w:rsid w:val="00271B4A"/>
    <w:rsid w:val="002727A4"/>
    <w:rsid w:val="0027288F"/>
    <w:rsid w:val="00272FBA"/>
    <w:rsid w:val="00273637"/>
    <w:rsid w:val="002737A5"/>
    <w:rsid w:val="00275A0A"/>
    <w:rsid w:val="00276790"/>
    <w:rsid w:val="00277984"/>
    <w:rsid w:val="00277D0B"/>
    <w:rsid w:val="00281E6D"/>
    <w:rsid w:val="0028224B"/>
    <w:rsid w:val="00283625"/>
    <w:rsid w:val="00284DD3"/>
    <w:rsid w:val="00285BE0"/>
    <w:rsid w:val="0028616A"/>
    <w:rsid w:val="00287122"/>
    <w:rsid w:val="0028767C"/>
    <w:rsid w:val="002909A6"/>
    <w:rsid w:val="00292190"/>
    <w:rsid w:val="00293152"/>
    <w:rsid w:val="00293341"/>
    <w:rsid w:val="00296046"/>
    <w:rsid w:val="00296071"/>
    <w:rsid w:val="002A2155"/>
    <w:rsid w:val="002A2A52"/>
    <w:rsid w:val="002A31B6"/>
    <w:rsid w:val="002A552A"/>
    <w:rsid w:val="002A57B0"/>
    <w:rsid w:val="002A6CFD"/>
    <w:rsid w:val="002A6F18"/>
    <w:rsid w:val="002A7554"/>
    <w:rsid w:val="002A75D8"/>
    <w:rsid w:val="002A7CAC"/>
    <w:rsid w:val="002B0919"/>
    <w:rsid w:val="002B1965"/>
    <w:rsid w:val="002B1F0D"/>
    <w:rsid w:val="002B388A"/>
    <w:rsid w:val="002B42C4"/>
    <w:rsid w:val="002B4880"/>
    <w:rsid w:val="002B5877"/>
    <w:rsid w:val="002B6265"/>
    <w:rsid w:val="002B69B2"/>
    <w:rsid w:val="002B7EB4"/>
    <w:rsid w:val="002C06BB"/>
    <w:rsid w:val="002C101C"/>
    <w:rsid w:val="002C12C4"/>
    <w:rsid w:val="002C1E28"/>
    <w:rsid w:val="002C281F"/>
    <w:rsid w:val="002C31D7"/>
    <w:rsid w:val="002C376F"/>
    <w:rsid w:val="002C3C14"/>
    <w:rsid w:val="002C3EB3"/>
    <w:rsid w:val="002C49DD"/>
    <w:rsid w:val="002C550E"/>
    <w:rsid w:val="002C5598"/>
    <w:rsid w:val="002C5D60"/>
    <w:rsid w:val="002C6DBA"/>
    <w:rsid w:val="002D1037"/>
    <w:rsid w:val="002D192D"/>
    <w:rsid w:val="002D24D5"/>
    <w:rsid w:val="002D2E42"/>
    <w:rsid w:val="002D2EC8"/>
    <w:rsid w:val="002D2EDE"/>
    <w:rsid w:val="002D6B44"/>
    <w:rsid w:val="002D6E66"/>
    <w:rsid w:val="002E0C4B"/>
    <w:rsid w:val="002E2E70"/>
    <w:rsid w:val="002E339F"/>
    <w:rsid w:val="002E4764"/>
    <w:rsid w:val="002E4D83"/>
    <w:rsid w:val="002E5B5F"/>
    <w:rsid w:val="002E5CAF"/>
    <w:rsid w:val="002E61BA"/>
    <w:rsid w:val="002E63BA"/>
    <w:rsid w:val="002E6609"/>
    <w:rsid w:val="002E7469"/>
    <w:rsid w:val="002E74B1"/>
    <w:rsid w:val="002F0F78"/>
    <w:rsid w:val="002F1292"/>
    <w:rsid w:val="002F153E"/>
    <w:rsid w:val="002F184C"/>
    <w:rsid w:val="002F2866"/>
    <w:rsid w:val="002F2A28"/>
    <w:rsid w:val="002F3294"/>
    <w:rsid w:val="002F39E7"/>
    <w:rsid w:val="002F3A5D"/>
    <w:rsid w:val="002F48A9"/>
    <w:rsid w:val="002F71BB"/>
    <w:rsid w:val="0030098C"/>
    <w:rsid w:val="00302B7D"/>
    <w:rsid w:val="00303652"/>
    <w:rsid w:val="003037B3"/>
    <w:rsid w:val="00304D08"/>
    <w:rsid w:val="00306032"/>
    <w:rsid w:val="00306CD6"/>
    <w:rsid w:val="00306CE9"/>
    <w:rsid w:val="00307165"/>
    <w:rsid w:val="00307B28"/>
    <w:rsid w:val="0031003A"/>
    <w:rsid w:val="00310A95"/>
    <w:rsid w:val="00310DD6"/>
    <w:rsid w:val="003112FE"/>
    <w:rsid w:val="003128A0"/>
    <w:rsid w:val="003136DA"/>
    <w:rsid w:val="003137C5"/>
    <w:rsid w:val="0031429C"/>
    <w:rsid w:val="003143E2"/>
    <w:rsid w:val="00315DF1"/>
    <w:rsid w:val="003162E9"/>
    <w:rsid w:val="0031652E"/>
    <w:rsid w:val="0031772E"/>
    <w:rsid w:val="00317742"/>
    <w:rsid w:val="003215E8"/>
    <w:rsid w:val="00321827"/>
    <w:rsid w:val="00322B7A"/>
    <w:rsid w:val="00322D2B"/>
    <w:rsid w:val="00323337"/>
    <w:rsid w:val="00323891"/>
    <w:rsid w:val="003247E6"/>
    <w:rsid w:val="00324CAB"/>
    <w:rsid w:val="00325B69"/>
    <w:rsid w:val="00325DE9"/>
    <w:rsid w:val="003265EB"/>
    <w:rsid w:val="00327014"/>
    <w:rsid w:val="00327531"/>
    <w:rsid w:val="00327D31"/>
    <w:rsid w:val="00327D69"/>
    <w:rsid w:val="0033016F"/>
    <w:rsid w:val="003304F0"/>
    <w:rsid w:val="003306ED"/>
    <w:rsid w:val="00331593"/>
    <w:rsid w:val="0033196F"/>
    <w:rsid w:val="00331F2A"/>
    <w:rsid w:val="0033366D"/>
    <w:rsid w:val="00333BB9"/>
    <w:rsid w:val="00334730"/>
    <w:rsid w:val="003365B4"/>
    <w:rsid w:val="00337607"/>
    <w:rsid w:val="00337E7D"/>
    <w:rsid w:val="00340D94"/>
    <w:rsid w:val="003415D4"/>
    <w:rsid w:val="00342CE9"/>
    <w:rsid w:val="00342FF2"/>
    <w:rsid w:val="0034331F"/>
    <w:rsid w:val="00343471"/>
    <w:rsid w:val="00343696"/>
    <w:rsid w:val="00343768"/>
    <w:rsid w:val="0034489A"/>
    <w:rsid w:val="00345B05"/>
    <w:rsid w:val="00345EEC"/>
    <w:rsid w:val="00346F46"/>
    <w:rsid w:val="00347002"/>
    <w:rsid w:val="00347A86"/>
    <w:rsid w:val="00350E20"/>
    <w:rsid w:val="00351A12"/>
    <w:rsid w:val="00352350"/>
    <w:rsid w:val="0035276C"/>
    <w:rsid w:val="0035455B"/>
    <w:rsid w:val="0035455E"/>
    <w:rsid w:val="003549D5"/>
    <w:rsid w:val="00354B5E"/>
    <w:rsid w:val="003557E6"/>
    <w:rsid w:val="003563EB"/>
    <w:rsid w:val="00357E97"/>
    <w:rsid w:val="00357EF8"/>
    <w:rsid w:val="0036123F"/>
    <w:rsid w:val="00362463"/>
    <w:rsid w:val="00364029"/>
    <w:rsid w:val="00365533"/>
    <w:rsid w:val="00365A16"/>
    <w:rsid w:val="0036723F"/>
    <w:rsid w:val="00367A6A"/>
    <w:rsid w:val="00370D74"/>
    <w:rsid w:val="00371031"/>
    <w:rsid w:val="00371764"/>
    <w:rsid w:val="00371FDE"/>
    <w:rsid w:val="00373E58"/>
    <w:rsid w:val="00374B63"/>
    <w:rsid w:val="00374D49"/>
    <w:rsid w:val="0037541C"/>
    <w:rsid w:val="00375EE6"/>
    <w:rsid w:val="0037613D"/>
    <w:rsid w:val="0037683C"/>
    <w:rsid w:val="0037723B"/>
    <w:rsid w:val="0038024E"/>
    <w:rsid w:val="003818F4"/>
    <w:rsid w:val="0038401E"/>
    <w:rsid w:val="00384444"/>
    <w:rsid w:val="00384EA7"/>
    <w:rsid w:val="00385AB1"/>
    <w:rsid w:val="00385D83"/>
    <w:rsid w:val="0038629F"/>
    <w:rsid w:val="0039160D"/>
    <w:rsid w:val="00391719"/>
    <w:rsid w:val="00391B14"/>
    <w:rsid w:val="00393322"/>
    <w:rsid w:val="00393421"/>
    <w:rsid w:val="00394292"/>
    <w:rsid w:val="003948FC"/>
    <w:rsid w:val="00394D0F"/>
    <w:rsid w:val="00395306"/>
    <w:rsid w:val="003957B6"/>
    <w:rsid w:val="003962C1"/>
    <w:rsid w:val="00396F02"/>
    <w:rsid w:val="00397D07"/>
    <w:rsid w:val="003A09D0"/>
    <w:rsid w:val="003A0F3F"/>
    <w:rsid w:val="003A2D33"/>
    <w:rsid w:val="003A4234"/>
    <w:rsid w:val="003A4ADC"/>
    <w:rsid w:val="003A4DD5"/>
    <w:rsid w:val="003A4E08"/>
    <w:rsid w:val="003B0713"/>
    <w:rsid w:val="003B0CC3"/>
    <w:rsid w:val="003B0E5F"/>
    <w:rsid w:val="003B1262"/>
    <w:rsid w:val="003B1F4D"/>
    <w:rsid w:val="003B2B21"/>
    <w:rsid w:val="003B2FE3"/>
    <w:rsid w:val="003B3A30"/>
    <w:rsid w:val="003B4181"/>
    <w:rsid w:val="003B491E"/>
    <w:rsid w:val="003B4A9C"/>
    <w:rsid w:val="003B567C"/>
    <w:rsid w:val="003B6F00"/>
    <w:rsid w:val="003B7E3E"/>
    <w:rsid w:val="003C07A4"/>
    <w:rsid w:val="003C2293"/>
    <w:rsid w:val="003C2E85"/>
    <w:rsid w:val="003C31E8"/>
    <w:rsid w:val="003C42DD"/>
    <w:rsid w:val="003C54E2"/>
    <w:rsid w:val="003C5B1A"/>
    <w:rsid w:val="003C604E"/>
    <w:rsid w:val="003C7371"/>
    <w:rsid w:val="003C73CE"/>
    <w:rsid w:val="003D0370"/>
    <w:rsid w:val="003D07B8"/>
    <w:rsid w:val="003D15C3"/>
    <w:rsid w:val="003D1934"/>
    <w:rsid w:val="003D23D3"/>
    <w:rsid w:val="003D25E6"/>
    <w:rsid w:val="003D2D55"/>
    <w:rsid w:val="003D3113"/>
    <w:rsid w:val="003D3D86"/>
    <w:rsid w:val="003D42EB"/>
    <w:rsid w:val="003D74E9"/>
    <w:rsid w:val="003E0C17"/>
    <w:rsid w:val="003E0E9A"/>
    <w:rsid w:val="003E18F5"/>
    <w:rsid w:val="003E1A17"/>
    <w:rsid w:val="003E1FE2"/>
    <w:rsid w:val="003E1FFF"/>
    <w:rsid w:val="003E260C"/>
    <w:rsid w:val="003E3437"/>
    <w:rsid w:val="003E46AE"/>
    <w:rsid w:val="003E50F7"/>
    <w:rsid w:val="003E574A"/>
    <w:rsid w:val="003E677E"/>
    <w:rsid w:val="003E6A75"/>
    <w:rsid w:val="003E6F7B"/>
    <w:rsid w:val="003F09E8"/>
    <w:rsid w:val="003F13A7"/>
    <w:rsid w:val="003F1FCE"/>
    <w:rsid w:val="003F2FEB"/>
    <w:rsid w:val="003F3F96"/>
    <w:rsid w:val="003F49EA"/>
    <w:rsid w:val="003F4BA0"/>
    <w:rsid w:val="003F50F3"/>
    <w:rsid w:val="003F541B"/>
    <w:rsid w:val="003F5EDE"/>
    <w:rsid w:val="004007D9"/>
    <w:rsid w:val="004018A4"/>
    <w:rsid w:val="00402E00"/>
    <w:rsid w:val="00402FA9"/>
    <w:rsid w:val="00403D91"/>
    <w:rsid w:val="0040401F"/>
    <w:rsid w:val="00404797"/>
    <w:rsid w:val="004058E6"/>
    <w:rsid w:val="00406356"/>
    <w:rsid w:val="0040674D"/>
    <w:rsid w:val="00407CF7"/>
    <w:rsid w:val="00411654"/>
    <w:rsid w:val="00411763"/>
    <w:rsid w:val="00412774"/>
    <w:rsid w:val="00412C0C"/>
    <w:rsid w:val="00412DBA"/>
    <w:rsid w:val="00412E22"/>
    <w:rsid w:val="00413475"/>
    <w:rsid w:val="00413C90"/>
    <w:rsid w:val="0041479A"/>
    <w:rsid w:val="00415891"/>
    <w:rsid w:val="004162A9"/>
    <w:rsid w:val="00417F01"/>
    <w:rsid w:val="00422F72"/>
    <w:rsid w:val="00425005"/>
    <w:rsid w:val="00425C86"/>
    <w:rsid w:val="00426128"/>
    <w:rsid w:val="004271EF"/>
    <w:rsid w:val="00427219"/>
    <w:rsid w:val="00430447"/>
    <w:rsid w:val="004314D8"/>
    <w:rsid w:val="004321F5"/>
    <w:rsid w:val="0043227F"/>
    <w:rsid w:val="0043361A"/>
    <w:rsid w:val="004343D7"/>
    <w:rsid w:val="004346E8"/>
    <w:rsid w:val="0043501B"/>
    <w:rsid w:val="004351BB"/>
    <w:rsid w:val="00435DDC"/>
    <w:rsid w:val="00436A99"/>
    <w:rsid w:val="004420AA"/>
    <w:rsid w:val="00443B9E"/>
    <w:rsid w:val="004445C5"/>
    <w:rsid w:val="0044490E"/>
    <w:rsid w:val="00444DFA"/>
    <w:rsid w:val="00444EF7"/>
    <w:rsid w:val="00445351"/>
    <w:rsid w:val="004459CC"/>
    <w:rsid w:val="00445B2C"/>
    <w:rsid w:val="00446A39"/>
    <w:rsid w:val="004472F0"/>
    <w:rsid w:val="00447490"/>
    <w:rsid w:val="00451CE6"/>
    <w:rsid w:val="00452494"/>
    <w:rsid w:val="004526C6"/>
    <w:rsid w:val="004526C9"/>
    <w:rsid w:val="00452ABE"/>
    <w:rsid w:val="004546AF"/>
    <w:rsid w:val="00454E0B"/>
    <w:rsid w:val="00455525"/>
    <w:rsid w:val="00455EA6"/>
    <w:rsid w:val="00456F84"/>
    <w:rsid w:val="00457E8F"/>
    <w:rsid w:val="004612C6"/>
    <w:rsid w:val="00461343"/>
    <w:rsid w:val="004613E0"/>
    <w:rsid w:val="004626FD"/>
    <w:rsid w:val="004633B8"/>
    <w:rsid w:val="00463D60"/>
    <w:rsid w:val="00464915"/>
    <w:rsid w:val="00464D21"/>
    <w:rsid w:val="00465947"/>
    <w:rsid w:val="00465954"/>
    <w:rsid w:val="00465FBB"/>
    <w:rsid w:val="00466456"/>
    <w:rsid w:val="004666A6"/>
    <w:rsid w:val="00467106"/>
    <w:rsid w:val="00470052"/>
    <w:rsid w:val="004706AA"/>
    <w:rsid w:val="00471E4B"/>
    <w:rsid w:val="004726DC"/>
    <w:rsid w:val="00473178"/>
    <w:rsid w:val="00473AC7"/>
    <w:rsid w:val="00474C2C"/>
    <w:rsid w:val="00475A38"/>
    <w:rsid w:val="00475F50"/>
    <w:rsid w:val="00476501"/>
    <w:rsid w:val="00476575"/>
    <w:rsid w:val="00480570"/>
    <w:rsid w:val="00483823"/>
    <w:rsid w:val="00483F53"/>
    <w:rsid w:val="004852F5"/>
    <w:rsid w:val="00485C9A"/>
    <w:rsid w:val="00485E21"/>
    <w:rsid w:val="00485E38"/>
    <w:rsid w:val="00486686"/>
    <w:rsid w:val="004871EB"/>
    <w:rsid w:val="00487CD8"/>
    <w:rsid w:val="00490E06"/>
    <w:rsid w:val="00491D38"/>
    <w:rsid w:val="00493459"/>
    <w:rsid w:val="0049355C"/>
    <w:rsid w:val="0049405E"/>
    <w:rsid w:val="00494146"/>
    <w:rsid w:val="0049484B"/>
    <w:rsid w:val="00494CAB"/>
    <w:rsid w:val="00494F99"/>
    <w:rsid w:val="0049503A"/>
    <w:rsid w:val="00495D5B"/>
    <w:rsid w:val="004970C3"/>
    <w:rsid w:val="00497344"/>
    <w:rsid w:val="004977C6"/>
    <w:rsid w:val="004978B9"/>
    <w:rsid w:val="00497EAB"/>
    <w:rsid w:val="004A002B"/>
    <w:rsid w:val="004A0860"/>
    <w:rsid w:val="004A1281"/>
    <w:rsid w:val="004A1467"/>
    <w:rsid w:val="004A170C"/>
    <w:rsid w:val="004A29B9"/>
    <w:rsid w:val="004A2EBE"/>
    <w:rsid w:val="004A4C12"/>
    <w:rsid w:val="004A4EF8"/>
    <w:rsid w:val="004A5864"/>
    <w:rsid w:val="004A687C"/>
    <w:rsid w:val="004A6956"/>
    <w:rsid w:val="004A7E4A"/>
    <w:rsid w:val="004A7F06"/>
    <w:rsid w:val="004B0622"/>
    <w:rsid w:val="004B1ED3"/>
    <w:rsid w:val="004B2673"/>
    <w:rsid w:val="004B2A6E"/>
    <w:rsid w:val="004B3251"/>
    <w:rsid w:val="004B3D7F"/>
    <w:rsid w:val="004B4F33"/>
    <w:rsid w:val="004B6049"/>
    <w:rsid w:val="004B6852"/>
    <w:rsid w:val="004B6E3E"/>
    <w:rsid w:val="004C00CB"/>
    <w:rsid w:val="004C037B"/>
    <w:rsid w:val="004C0E0A"/>
    <w:rsid w:val="004C1791"/>
    <w:rsid w:val="004C21F0"/>
    <w:rsid w:val="004C2447"/>
    <w:rsid w:val="004C2D1E"/>
    <w:rsid w:val="004C36AC"/>
    <w:rsid w:val="004C3E8D"/>
    <w:rsid w:val="004C4702"/>
    <w:rsid w:val="004C498A"/>
    <w:rsid w:val="004C4C2F"/>
    <w:rsid w:val="004C4FBB"/>
    <w:rsid w:val="004C5323"/>
    <w:rsid w:val="004C545C"/>
    <w:rsid w:val="004C6F2E"/>
    <w:rsid w:val="004C7356"/>
    <w:rsid w:val="004C737A"/>
    <w:rsid w:val="004C7B66"/>
    <w:rsid w:val="004D0A46"/>
    <w:rsid w:val="004D147B"/>
    <w:rsid w:val="004D1BA4"/>
    <w:rsid w:val="004D2795"/>
    <w:rsid w:val="004D29E2"/>
    <w:rsid w:val="004D2CA9"/>
    <w:rsid w:val="004D341E"/>
    <w:rsid w:val="004D469E"/>
    <w:rsid w:val="004D58AF"/>
    <w:rsid w:val="004D5D39"/>
    <w:rsid w:val="004D5D72"/>
    <w:rsid w:val="004D67CE"/>
    <w:rsid w:val="004D7229"/>
    <w:rsid w:val="004D7A98"/>
    <w:rsid w:val="004D7FDF"/>
    <w:rsid w:val="004E04A9"/>
    <w:rsid w:val="004E1119"/>
    <w:rsid w:val="004E124F"/>
    <w:rsid w:val="004E139F"/>
    <w:rsid w:val="004E18BF"/>
    <w:rsid w:val="004E26E3"/>
    <w:rsid w:val="004E3843"/>
    <w:rsid w:val="004E41BF"/>
    <w:rsid w:val="004E51B1"/>
    <w:rsid w:val="004E5504"/>
    <w:rsid w:val="004E5CB9"/>
    <w:rsid w:val="004E5EFB"/>
    <w:rsid w:val="004E64FE"/>
    <w:rsid w:val="004E741E"/>
    <w:rsid w:val="004E778E"/>
    <w:rsid w:val="004E77B6"/>
    <w:rsid w:val="004F0CCC"/>
    <w:rsid w:val="004F238A"/>
    <w:rsid w:val="004F4CDC"/>
    <w:rsid w:val="004F50AA"/>
    <w:rsid w:val="004F5F21"/>
    <w:rsid w:val="004F6119"/>
    <w:rsid w:val="004F6A5A"/>
    <w:rsid w:val="004F72E9"/>
    <w:rsid w:val="00500E2C"/>
    <w:rsid w:val="00501DB4"/>
    <w:rsid w:val="00503321"/>
    <w:rsid w:val="0050358B"/>
    <w:rsid w:val="005037A9"/>
    <w:rsid w:val="005044E2"/>
    <w:rsid w:val="00504E42"/>
    <w:rsid w:val="0050511A"/>
    <w:rsid w:val="0050518B"/>
    <w:rsid w:val="0050577F"/>
    <w:rsid w:val="00506957"/>
    <w:rsid w:val="00506B7F"/>
    <w:rsid w:val="0050701C"/>
    <w:rsid w:val="00507476"/>
    <w:rsid w:val="00510AAB"/>
    <w:rsid w:val="00510E40"/>
    <w:rsid w:val="0051143F"/>
    <w:rsid w:val="0051235C"/>
    <w:rsid w:val="00513C2A"/>
    <w:rsid w:val="00513E97"/>
    <w:rsid w:val="00515ED8"/>
    <w:rsid w:val="00517973"/>
    <w:rsid w:val="00521110"/>
    <w:rsid w:val="00522089"/>
    <w:rsid w:val="0052214F"/>
    <w:rsid w:val="00522A67"/>
    <w:rsid w:val="00522DA7"/>
    <w:rsid w:val="005239D2"/>
    <w:rsid w:val="00524E6A"/>
    <w:rsid w:val="0052541E"/>
    <w:rsid w:val="005256E8"/>
    <w:rsid w:val="005300A2"/>
    <w:rsid w:val="005307D0"/>
    <w:rsid w:val="0053094E"/>
    <w:rsid w:val="005313D6"/>
    <w:rsid w:val="00531D8D"/>
    <w:rsid w:val="00532448"/>
    <w:rsid w:val="00532B65"/>
    <w:rsid w:val="00532B91"/>
    <w:rsid w:val="00535DD7"/>
    <w:rsid w:val="00535E0B"/>
    <w:rsid w:val="00536763"/>
    <w:rsid w:val="0053726E"/>
    <w:rsid w:val="00540DCC"/>
    <w:rsid w:val="00540F06"/>
    <w:rsid w:val="0054112B"/>
    <w:rsid w:val="005427B8"/>
    <w:rsid w:val="00542AC2"/>
    <w:rsid w:val="00542E74"/>
    <w:rsid w:val="00543601"/>
    <w:rsid w:val="005446D6"/>
    <w:rsid w:val="00550BF3"/>
    <w:rsid w:val="005526A6"/>
    <w:rsid w:val="005526DF"/>
    <w:rsid w:val="00552FE0"/>
    <w:rsid w:val="005539E1"/>
    <w:rsid w:val="00555DC1"/>
    <w:rsid w:val="00557647"/>
    <w:rsid w:val="00557E45"/>
    <w:rsid w:val="005603DE"/>
    <w:rsid w:val="00560562"/>
    <w:rsid w:val="00560687"/>
    <w:rsid w:val="00560A42"/>
    <w:rsid w:val="00560CD2"/>
    <w:rsid w:val="00560F09"/>
    <w:rsid w:val="005611D8"/>
    <w:rsid w:val="005618A6"/>
    <w:rsid w:val="00563019"/>
    <w:rsid w:val="00563F30"/>
    <w:rsid w:val="0056495F"/>
    <w:rsid w:val="00564C51"/>
    <w:rsid w:val="00564DB5"/>
    <w:rsid w:val="00565D0F"/>
    <w:rsid w:val="0057013A"/>
    <w:rsid w:val="005703A2"/>
    <w:rsid w:val="00571238"/>
    <w:rsid w:val="00572764"/>
    <w:rsid w:val="00573A02"/>
    <w:rsid w:val="0057677F"/>
    <w:rsid w:val="00576D6A"/>
    <w:rsid w:val="00577175"/>
    <w:rsid w:val="00577246"/>
    <w:rsid w:val="00580340"/>
    <w:rsid w:val="005805E4"/>
    <w:rsid w:val="005809AF"/>
    <w:rsid w:val="00581C11"/>
    <w:rsid w:val="00581E6D"/>
    <w:rsid w:val="0058446D"/>
    <w:rsid w:val="00584BC7"/>
    <w:rsid w:val="005851C8"/>
    <w:rsid w:val="00585291"/>
    <w:rsid w:val="00585C8D"/>
    <w:rsid w:val="00587145"/>
    <w:rsid w:val="0058734C"/>
    <w:rsid w:val="005877ED"/>
    <w:rsid w:val="00587D66"/>
    <w:rsid w:val="0059003C"/>
    <w:rsid w:val="00590970"/>
    <w:rsid w:val="00590A26"/>
    <w:rsid w:val="0059427E"/>
    <w:rsid w:val="00594640"/>
    <w:rsid w:val="0059529D"/>
    <w:rsid w:val="00595DDA"/>
    <w:rsid w:val="005962AA"/>
    <w:rsid w:val="005965DF"/>
    <w:rsid w:val="005972C7"/>
    <w:rsid w:val="00597561"/>
    <w:rsid w:val="00597773"/>
    <w:rsid w:val="00597A1D"/>
    <w:rsid w:val="005A0B11"/>
    <w:rsid w:val="005A1425"/>
    <w:rsid w:val="005A1DFA"/>
    <w:rsid w:val="005A1F9C"/>
    <w:rsid w:val="005A252B"/>
    <w:rsid w:val="005A32D9"/>
    <w:rsid w:val="005A393C"/>
    <w:rsid w:val="005A3D01"/>
    <w:rsid w:val="005A46AC"/>
    <w:rsid w:val="005A5D99"/>
    <w:rsid w:val="005A6338"/>
    <w:rsid w:val="005A6B5D"/>
    <w:rsid w:val="005A6ECD"/>
    <w:rsid w:val="005A7E53"/>
    <w:rsid w:val="005B1648"/>
    <w:rsid w:val="005B1943"/>
    <w:rsid w:val="005B1B74"/>
    <w:rsid w:val="005B1CD2"/>
    <w:rsid w:val="005B40CD"/>
    <w:rsid w:val="005B4217"/>
    <w:rsid w:val="005B4ACF"/>
    <w:rsid w:val="005B5549"/>
    <w:rsid w:val="005B6259"/>
    <w:rsid w:val="005B681D"/>
    <w:rsid w:val="005C01C5"/>
    <w:rsid w:val="005C088B"/>
    <w:rsid w:val="005C271A"/>
    <w:rsid w:val="005C2A75"/>
    <w:rsid w:val="005C3971"/>
    <w:rsid w:val="005C3EB1"/>
    <w:rsid w:val="005C4F01"/>
    <w:rsid w:val="005C52FF"/>
    <w:rsid w:val="005C5C1D"/>
    <w:rsid w:val="005C6ACB"/>
    <w:rsid w:val="005C7048"/>
    <w:rsid w:val="005C7D11"/>
    <w:rsid w:val="005D034C"/>
    <w:rsid w:val="005D1556"/>
    <w:rsid w:val="005D1ED5"/>
    <w:rsid w:val="005D2EF4"/>
    <w:rsid w:val="005D41CB"/>
    <w:rsid w:val="005D45AD"/>
    <w:rsid w:val="005D4942"/>
    <w:rsid w:val="005D6210"/>
    <w:rsid w:val="005D78BB"/>
    <w:rsid w:val="005D7DDF"/>
    <w:rsid w:val="005E0877"/>
    <w:rsid w:val="005E0B0D"/>
    <w:rsid w:val="005E0C05"/>
    <w:rsid w:val="005E175E"/>
    <w:rsid w:val="005E1B1D"/>
    <w:rsid w:val="005E2026"/>
    <w:rsid w:val="005E2B62"/>
    <w:rsid w:val="005E4C6A"/>
    <w:rsid w:val="005E5A62"/>
    <w:rsid w:val="005E5EA7"/>
    <w:rsid w:val="005E609E"/>
    <w:rsid w:val="005E7022"/>
    <w:rsid w:val="005F0555"/>
    <w:rsid w:val="005F1268"/>
    <w:rsid w:val="005F186A"/>
    <w:rsid w:val="005F1EF6"/>
    <w:rsid w:val="005F2F61"/>
    <w:rsid w:val="005F3009"/>
    <w:rsid w:val="005F3503"/>
    <w:rsid w:val="005F380E"/>
    <w:rsid w:val="005F42EF"/>
    <w:rsid w:val="005F5635"/>
    <w:rsid w:val="005F59E6"/>
    <w:rsid w:val="005F67BF"/>
    <w:rsid w:val="005F716F"/>
    <w:rsid w:val="006012CA"/>
    <w:rsid w:val="0060134E"/>
    <w:rsid w:val="0060148F"/>
    <w:rsid w:val="0060155D"/>
    <w:rsid w:val="00601603"/>
    <w:rsid w:val="006027E0"/>
    <w:rsid w:val="006044F8"/>
    <w:rsid w:val="0060695F"/>
    <w:rsid w:val="00607D53"/>
    <w:rsid w:val="00611260"/>
    <w:rsid w:val="00611368"/>
    <w:rsid w:val="00612B9C"/>
    <w:rsid w:val="006150BE"/>
    <w:rsid w:val="0061544D"/>
    <w:rsid w:val="00615B74"/>
    <w:rsid w:val="00615F2A"/>
    <w:rsid w:val="00616A2D"/>
    <w:rsid w:val="00616ACA"/>
    <w:rsid w:val="006175B4"/>
    <w:rsid w:val="00620338"/>
    <w:rsid w:val="006211F9"/>
    <w:rsid w:val="00621B21"/>
    <w:rsid w:val="00622966"/>
    <w:rsid w:val="0062327C"/>
    <w:rsid w:val="006232DC"/>
    <w:rsid w:val="00623E06"/>
    <w:rsid w:val="00624393"/>
    <w:rsid w:val="006246CC"/>
    <w:rsid w:val="006257B8"/>
    <w:rsid w:val="00626115"/>
    <w:rsid w:val="00626686"/>
    <w:rsid w:val="00627134"/>
    <w:rsid w:val="0063126E"/>
    <w:rsid w:val="0063141C"/>
    <w:rsid w:val="006321CA"/>
    <w:rsid w:val="006323F1"/>
    <w:rsid w:val="006329BC"/>
    <w:rsid w:val="00632B59"/>
    <w:rsid w:val="00634CD2"/>
    <w:rsid w:val="00635BA3"/>
    <w:rsid w:val="00635D5A"/>
    <w:rsid w:val="00636528"/>
    <w:rsid w:val="00636A85"/>
    <w:rsid w:val="00640752"/>
    <w:rsid w:val="00640FEB"/>
    <w:rsid w:val="006431A0"/>
    <w:rsid w:val="00645052"/>
    <w:rsid w:val="00645A20"/>
    <w:rsid w:val="006469B8"/>
    <w:rsid w:val="006474D1"/>
    <w:rsid w:val="00647A69"/>
    <w:rsid w:val="00650931"/>
    <w:rsid w:val="006509D8"/>
    <w:rsid w:val="00650BAD"/>
    <w:rsid w:val="00650BB3"/>
    <w:rsid w:val="00650C50"/>
    <w:rsid w:val="00651F8D"/>
    <w:rsid w:val="006529DF"/>
    <w:rsid w:val="00653D36"/>
    <w:rsid w:val="00654D2B"/>
    <w:rsid w:val="00654F7D"/>
    <w:rsid w:val="0065596F"/>
    <w:rsid w:val="00655BA6"/>
    <w:rsid w:val="00656312"/>
    <w:rsid w:val="00656880"/>
    <w:rsid w:val="00661780"/>
    <w:rsid w:val="00661E01"/>
    <w:rsid w:val="00662610"/>
    <w:rsid w:val="00662719"/>
    <w:rsid w:val="00663471"/>
    <w:rsid w:val="00663719"/>
    <w:rsid w:val="006648D3"/>
    <w:rsid w:val="006657F0"/>
    <w:rsid w:val="00665EA9"/>
    <w:rsid w:val="00667082"/>
    <w:rsid w:val="006672D9"/>
    <w:rsid w:val="0067141C"/>
    <w:rsid w:val="00671D59"/>
    <w:rsid w:val="00672524"/>
    <w:rsid w:val="006726AB"/>
    <w:rsid w:val="00672833"/>
    <w:rsid w:val="00673024"/>
    <w:rsid w:val="00673787"/>
    <w:rsid w:val="00674CDC"/>
    <w:rsid w:val="006762CD"/>
    <w:rsid w:val="0067678F"/>
    <w:rsid w:val="00677329"/>
    <w:rsid w:val="0067781C"/>
    <w:rsid w:val="00681EC9"/>
    <w:rsid w:val="00684AC1"/>
    <w:rsid w:val="00684BEC"/>
    <w:rsid w:val="00684C07"/>
    <w:rsid w:val="006851D1"/>
    <w:rsid w:val="006868FB"/>
    <w:rsid w:val="006870CC"/>
    <w:rsid w:val="0069137B"/>
    <w:rsid w:val="00692955"/>
    <w:rsid w:val="006931A5"/>
    <w:rsid w:val="006936A4"/>
    <w:rsid w:val="00693908"/>
    <w:rsid w:val="00694047"/>
    <w:rsid w:val="00694843"/>
    <w:rsid w:val="00694D49"/>
    <w:rsid w:val="006958C7"/>
    <w:rsid w:val="00696811"/>
    <w:rsid w:val="00696E84"/>
    <w:rsid w:val="006A0729"/>
    <w:rsid w:val="006A07CE"/>
    <w:rsid w:val="006A1324"/>
    <w:rsid w:val="006A152B"/>
    <w:rsid w:val="006A1590"/>
    <w:rsid w:val="006A16B2"/>
    <w:rsid w:val="006A16C2"/>
    <w:rsid w:val="006A17CC"/>
    <w:rsid w:val="006A3108"/>
    <w:rsid w:val="006A3CE0"/>
    <w:rsid w:val="006A4279"/>
    <w:rsid w:val="006A449A"/>
    <w:rsid w:val="006A6B97"/>
    <w:rsid w:val="006A6E00"/>
    <w:rsid w:val="006B0D51"/>
    <w:rsid w:val="006B164E"/>
    <w:rsid w:val="006B21B5"/>
    <w:rsid w:val="006B3EE8"/>
    <w:rsid w:val="006B43E7"/>
    <w:rsid w:val="006C0D09"/>
    <w:rsid w:val="006C1387"/>
    <w:rsid w:val="006C2116"/>
    <w:rsid w:val="006C37AD"/>
    <w:rsid w:val="006C3869"/>
    <w:rsid w:val="006C3B0C"/>
    <w:rsid w:val="006C3C83"/>
    <w:rsid w:val="006C3D26"/>
    <w:rsid w:val="006C50C4"/>
    <w:rsid w:val="006C5611"/>
    <w:rsid w:val="006C5CFB"/>
    <w:rsid w:val="006C6AF7"/>
    <w:rsid w:val="006C7127"/>
    <w:rsid w:val="006C76F9"/>
    <w:rsid w:val="006D0562"/>
    <w:rsid w:val="006D11B2"/>
    <w:rsid w:val="006D1223"/>
    <w:rsid w:val="006D12D9"/>
    <w:rsid w:val="006D12DF"/>
    <w:rsid w:val="006D2F53"/>
    <w:rsid w:val="006D30E3"/>
    <w:rsid w:val="006D50DC"/>
    <w:rsid w:val="006D55CE"/>
    <w:rsid w:val="006D56BB"/>
    <w:rsid w:val="006D6259"/>
    <w:rsid w:val="006D62DA"/>
    <w:rsid w:val="006D6BEB"/>
    <w:rsid w:val="006D6E1C"/>
    <w:rsid w:val="006D7D45"/>
    <w:rsid w:val="006E02EE"/>
    <w:rsid w:val="006E03F4"/>
    <w:rsid w:val="006E0506"/>
    <w:rsid w:val="006E1158"/>
    <w:rsid w:val="006E24AF"/>
    <w:rsid w:val="006E34FE"/>
    <w:rsid w:val="006E3E8E"/>
    <w:rsid w:val="006E464F"/>
    <w:rsid w:val="006E4B31"/>
    <w:rsid w:val="006E567C"/>
    <w:rsid w:val="006E57C7"/>
    <w:rsid w:val="006E6471"/>
    <w:rsid w:val="006E757B"/>
    <w:rsid w:val="006F234A"/>
    <w:rsid w:val="006F33A9"/>
    <w:rsid w:val="006F3D9A"/>
    <w:rsid w:val="006F59C6"/>
    <w:rsid w:val="006F5B96"/>
    <w:rsid w:val="006F60F1"/>
    <w:rsid w:val="006F6E53"/>
    <w:rsid w:val="006F7D8D"/>
    <w:rsid w:val="0070085C"/>
    <w:rsid w:val="007013E8"/>
    <w:rsid w:val="00701E84"/>
    <w:rsid w:val="007023BC"/>
    <w:rsid w:val="00702AFD"/>
    <w:rsid w:val="007042D6"/>
    <w:rsid w:val="00704679"/>
    <w:rsid w:val="0070649A"/>
    <w:rsid w:val="00706F32"/>
    <w:rsid w:val="0070771C"/>
    <w:rsid w:val="007102FA"/>
    <w:rsid w:val="00710AF8"/>
    <w:rsid w:val="0071121C"/>
    <w:rsid w:val="00711946"/>
    <w:rsid w:val="00711AED"/>
    <w:rsid w:val="00711B57"/>
    <w:rsid w:val="0071230E"/>
    <w:rsid w:val="00712B76"/>
    <w:rsid w:val="00713F86"/>
    <w:rsid w:val="00714E81"/>
    <w:rsid w:val="007160A9"/>
    <w:rsid w:val="007160E4"/>
    <w:rsid w:val="007163AC"/>
    <w:rsid w:val="0071727A"/>
    <w:rsid w:val="007173D5"/>
    <w:rsid w:val="007176DF"/>
    <w:rsid w:val="007177CB"/>
    <w:rsid w:val="00717CA4"/>
    <w:rsid w:val="007204E6"/>
    <w:rsid w:val="00720F58"/>
    <w:rsid w:val="00721CF1"/>
    <w:rsid w:val="00722144"/>
    <w:rsid w:val="007221D7"/>
    <w:rsid w:val="007224C7"/>
    <w:rsid w:val="007225C2"/>
    <w:rsid w:val="007230E7"/>
    <w:rsid w:val="00724BAA"/>
    <w:rsid w:val="00725928"/>
    <w:rsid w:val="00725BEB"/>
    <w:rsid w:val="00725DCF"/>
    <w:rsid w:val="00725E32"/>
    <w:rsid w:val="007262DF"/>
    <w:rsid w:val="007271ED"/>
    <w:rsid w:val="00727688"/>
    <w:rsid w:val="007277D9"/>
    <w:rsid w:val="00727DC2"/>
    <w:rsid w:val="0073187E"/>
    <w:rsid w:val="007320B8"/>
    <w:rsid w:val="007337B5"/>
    <w:rsid w:val="00733C10"/>
    <w:rsid w:val="00734205"/>
    <w:rsid w:val="00734844"/>
    <w:rsid w:val="007353B2"/>
    <w:rsid w:val="007356FB"/>
    <w:rsid w:val="007359C8"/>
    <w:rsid w:val="0073609D"/>
    <w:rsid w:val="00736F91"/>
    <w:rsid w:val="00737321"/>
    <w:rsid w:val="00737469"/>
    <w:rsid w:val="0074174E"/>
    <w:rsid w:val="0074184D"/>
    <w:rsid w:val="00742125"/>
    <w:rsid w:val="0074280C"/>
    <w:rsid w:val="00742FAA"/>
    <w:rsid w:val="00743FE3"/>
    <w:rsid w:val="007448F3"/>
    <w:rsid w:val="007504AD"/>
    <w:rsid w:val="0075065A"/>
    <w:rsid w:val="0075075A"/>
    <w:rsid w:val="00751FFA"/>
    <w:rsid w:val="0075326F"/>
    <w:rsid w:val="00753C33"/>
    <w:rsid w:val="00754384"/>
    <w:rsid w:val="00755AE1"/>
    <w:rsid w:val="0076004A"/>
    <w:rsid w:val="007631A5"/>
    <w:rsid w:val="007638A4"/>
    <w:rsid w:val="00764955"/>
    <w:rsid w:val="00764C8E"/>
    <w:rsid w:val="00764DD6"/>
    <w:rsid w:val="00764EE1"/>
    <w:rsid w:val="007650CD"/>
    <w:rsid w:val="007656D7"/>
    <w:rsid w:val="00765AF2"/>
    <w:rsid w:val="00765D63"/>
    <w:rsid w:val="0076618C"/>
    <w:rsid w:val="007707E0"/>
    <w:rsid w:val="00770B2D"/>
    <w:rsid w:val="00770E9E"/>
    <w:rsid w:val="007726A8"/>
    <w:rsid w:val="00773079"/>
    <w:rsid w:val="00773249"/>
    <w:rsid w:val="0077325B"/>
    <w:rsid w:val="00773D66"/>
    <w:rsid w:val="00774568"/>
    <w:rsid w:val="00774E86"/>
    <w:rsid w:val="007770CA"/>
    <w:rsid w:val="00780638"/>
    <w:rsid w:val="00780C80"/>
    <w:rsid w:val="0078216C"/>
    <w:rsid w:val="00782321"/>
    <w:rsid w:val="00782B16"/>
    <w:rsid w:val="00783D8C"/>
    <w:rsid w:val="00783FB5"/>
    <w:rsid w:val="007844A3"/>
    <w:rsid w:val="00785926"/>
    <w:rsid w:val="007872E0"/>
    <w:rsid w:val="0079002C"/>
    <w:rsid w:val="007903A3"/>
    <w:rsid w:val="00792B6C"/>
    <w:rsid w:val="00793028"/>
    <w:rsid w:val="00793F72"/>
    <w:rsid w:val="007941C9"/>
    <w:rsid w:val="00795B30"/>
    <w:rsid w:val="0079696A"/>
    <w:rsid w:val="00796EE0"/>
    <w:rsid w:val="00797FB5"/>
    <w:rsid w:val="007A022A"/>
    <w:rsid w:val="007A0AC7"/>
    <w:rsid w:val="007A0DC1"/>
    <w:rsid w:val="007A15E1"/>
    <w:rsid w:val="007A1AE6"/>
    <w:rsid w:val="007A28CB"/>
    <w:rsid w:val="007A49F0"/>
    <w:rsid w:val="007A4A1B"/>
    <w:rsid w:val="007A648D"/>
    <w:rsid w:val="007A64DA"/>
    <w:rsid w:val="007A6A1C"/>
    <w:rsid w:val="007A7388"/>
    <w:rsid w:val="007A7C6D"/>
    <w:rsid w:val="007B09E1"/>
    <w:rsid w:val="007B0C55"/>
    <w:rsid w:val="007B0D13"/>
    <w:rsid w:val="007B0F3F"/>
    <w:rsid w:val="007B16A6"/>
    <w:rsid w:val="007B180E"/>
    <w:rsid w:val="007B1E0A"/>
    <w:rsid w:val="007B214A"/>
    <w:rsid w:val="007B2381"/>
    <w:rsid w:val="007B2C0D"/>
    <w:rsid w:val="007B2D14"/>
    <w:rsid w:val="007B3099"/>
    <w:rsid w:val="007B3284"/>
    <w:rsid w:val="007B32F0"/>
    <w:rsid w:val="007B46BF"/>
    <w:rsid w:val="007B4E4C"/>
    <w:rsid w:val="007B5BC3"/>
    <w:rsid w:val="007B758E"/>
    <w:rsid w:val="007B75D2"/>
    <w:rsid w:val="007B76EF"/>
    <w:rsid w:val="007B7B11"/>
    <w:rsid w:val="007C045D"/>
    <w:rsid w:val="007C11C3"/>
    <w:rsid w:val="007C1F09"/>
    <w:rsid w:val="007C202E"/>
    <w:rsid w:val="007C21A3"/>
    <w:rsid w:val="007C230B"/>
    <w:rsid w:val="007C349F"/>
    <w:rsid w:val="007C5740"/>
    <w:rsid w:val="007D16FD"/>
    <w:rsid w:val="007D196F"/>
    <w:rsid w:val="007D1C10"/>
    <w:rsid w:val="007D2A2D"/>
    <w:rsid w:val="007D30EB"/>
    <w:rsid w:val="007D3A76"/>
    <w:rsid w:val="007D492A"/>
    <w:rsid w:val="007D5ADA"/>
    <w:rsid w:val="007D6276"/>
    <w:rsid w:val="007D6C21"/>
    <w:rsid w:val="007D6F0C"/>
    <w:rsid w:val="007D7365"/>
    <w:rsid w:val="007D77BB"/>
    <w:rsid w:val="007E187D"/>
    <w:rsid w:val="007E2483"/>
    <w:rsid w:val="007E39A7"/>
    <w:rsid w:val="007E41BF"/>
    <w:rsid w:val="007E47AC"/>
    <w:rsid w:val="007E4817"/>
    <w:rsid w:val="007E4BF5"/>
    <w:rsid w:val="007E5306"/>
    <w:rsid w:val="007E5FF0"/>
    <w:rsid w:val="007E7A92"/>
    <w:rsid w:val="007F26D4"/>
    <w:rsid w:val="007F3AB8"/>
    <w:rsid w:val="007F4972"/>
    <w:rsid w:val="007F4A52"/>
    <w:rsid w:val="007F5751"/>
    <w:rsid w:val="007F5962"/>
    <w:rsid w:val="007F69A1"/>
    <w:rsid w:val="007F711C"/>
    <w:rsid w:val="007F7EEB"/>
    <w:rsid w:val="007F7FB1"/>
    <w:rsid w:val="00800252"/>
    <w:rsid w:val="00800F30"/>
    <w:rsid w:val="0080111E"/>
    <w:rsid w:val="0080184A"/>
    <w:rsid w:val="0080281C"/>
    <w:rsid w:val="00803135"/>
    <w:rsid w:val="00804A7C"/>
    <w:rsid w:val="00805ACA"/>
    <w:rsid w:val="0080695D"/>
    <w:rsid w:val="0080787C"/>
    <w:rsid w:val="00807DF3"/>
    <w:rsid w:val="00807FFC"/>
    <w:rsid w:val="00810F23"/>
    <w:rsid w:val="008111CD"/>
    <w:rsid w:val="00811BB9"/>
    <w:rsid w:val="00811E99"/>
    <w:rsid w:val="00812352"/>
    <w:rsid w:val="00813FE6"/>
    <w:rsid w:val="00814DAC"/>
    <w:rsid w:val="0081569A"/>
    <w:rsid w:val="008161A7"/>
    <w:rsid w:val="00816559"/>
    <w:rsid w:val="00817446"/>
    <w:rsid w:val="008206A8"/>
    <w:rsid w:val="00820BCD"/>
    <w:rsid w:val="00821224"/>
    <w:rsid w:val="00821A46"/>
    <w:rsid w:val="00822804"/>
    <w:rsid w:val="00822BB4"/>
    <w:rsid w:val="00822D2E"/>
    <w:rsid w:val="00822DC7"/>
    <w:rsid w:val="0082388D"/>
    <w:rsid w:val="00824EF3"/>
    <w:rsid w:val="008260D4"/>
    <w:rsid w:val="008265BC"/>
    <w:rsid w:val="00826E10"/>
    <w:rsid w:val="00826EA9"/>
    <w:rsid w:val="008301B9"/>
    <w:rsid w:val="00830AE6"/>
    <w:rsid w:val="00831290"/>
    <w:rsid w:val="0083188D"/>
    <w:rsid w:val="00831EFC"/>
    <w:rsid w:val="00833BAB"/>
    <w:rsid w:val="00833DF7"/>
    <w:rsid w:val="00834011"/>
    <w:rsid w:val="00834F08"/>
    <w:rsid w:val="00835F8B"/>
    <w:rsid w:val="008374D3"/>
    <w:rsid w:val="0083786B"/>
    <w:rsid w:val="00840E26"/>
    <w:rsid w:val="00840E89"/>
    <w:rsid w:val="00841230"/>
    <w:rsid w:val="008420DD"/>
    <w:rsid w:val="00842371"/>
    <w:rsid w:val="0084323D"/>
    <w:rsid w:val="0084376A"/>
    <w:rsid w:val="0084398B"/>
    <w:rsid w:val="00843DFC"/>
    <w:rsid w:val="008455F1"/>
    <w:rsid w:val="00845D01"/>
    <w:rsid w:val="00845D76"/>
    <w:rsid w:val="00847099"/>
    <w:rsid w:val="008473EB"/>
    <w:rsid w:val="008527AE"/>
    <w:rsid w:val="00853CEE"/>
    <w:rsid w:val="00853FE9"/>
    <w:rsid w:val="008540A6"/>
    <w:rsid w:val="008550DE"/>
    <w:rsid w:val="0085512F"/>
    <w:rsid w:val="008551D7"/>
    <w:rsid w:val="00855903"/>
    <w:rsid w:val="00855FC1"/>
    <w:rsid w:val="0085631D"/>
    <w:rsid w:val="008563EA"/>
    <w:rsid w:val="00856E6F"/>
    <w:rsid w:val="00856F37"/>
    <w:rsid w:val="00857B13"/>
    <w:rsid w:val="00857F23"/>
    <w:rsid w:val="008619CE"/>
    <w:rsid w:val="00861EA6"/>
    <w:rsid w:val="008633F5"/>
    <w:rsid w:val="00864142"/>
    <w:rsid w:val="00870315"/>
    <w:rsid w:val="008708A4"/>
    <w:rsid w:val="00872DE4"/>
    <w:rsid w:val="00873796"/>
    <w:rsid w:val="008751DE"/>
    <w:rsid w:val="00876ADD"/>
    <w:rsid w:val="00876B85"/>
    <w:rsid w:val="008772B6"/>
    <w:rsid w:val="00877BC2"/>
    <w:rsid w:val="00880399"/>
    <w:rsid w:val="00880830"/>
    <w:rsid w:val="008815D8"/>
    <w:rsid w:val="0088177A"/>
    <w:rsid w:val="00881976"/>
    <w:rsid w:val="008819CA"/>
    <w:rsid w:val="008825C5"/>
    <w:rsid w:val="00882CA0"/>
    <w:rsid w:val="00882FDB"/>
    <w:rsid w:val="00883B29"/>
    <w:rsid w:val="00883B88"/>
    <w:rsid w:val="00883F36"/>
    <w:rsid w:val="008853CE"/>
    <w:rsid w:val="008860FC"/>
    <w:rsid w:val="008866F7"/>
    <w:rsid w:val="00886847"/>
    <w:rsid w:val="00887C8A"/>
    <w:rsid w:val="00890113"/>
    <w:rsid w:val="00891B41"/>
    <w:rsid w:val="00892123"/>
    <w:rsid w:val="00894269"/>
    <w:rsid w:val="00895797"/>
    <w:rsid w:val="00896A00"/>
    <w:rsid w:val="00897105"/>
    <w:rsid w:val="00897180"/>
    <w:rsid w:val="00897619"/>
    <w:rsid w:val="00897E58"/>
    <w:rsid w:val="008A0ACE"/>
    <w:rsid w:val="008A0D93"/>
    <w:rsid w:val="008A111E"/>
    <w:rsid w:val="008A2B1F"/>
    <w:rsid w:val="008A33F8"/>
    <w:rsid w:val="008A3E92"/>
    <w:rsid w:val="008A55CA"/>
    <w:rsid w:val="008A6428"/>
    <w:rsid w:val="008A75F4"/>
    <w:rsid w:val="008B23F6"/>
    <w:rsid w:val="008B2932"/>
    <w:rsid w:val="008B29DA"/>
    <w:rsid w:val="008B2D7C"/>
    <w:rsid w:val="008B3629"/>
    <w:rsid w:val="008B42E7"/>
    <w:rsid w:val="008B618C"/>
    <w:rsid w:val="008B6B94"/>
    <w:rsid w:val="008B7193"/>
    <w:rsid w:val="008B7796"/>
    <w:rsid w:val="008C13D9"/>
    <w:rsid w:val="008C1596"/>
    <w:rsid w:val="008C1897"/>
    <w:rsid w:val="008C1E5B"/>
    <w:rsid w:val="008C31FD"/>
    <w:rsid w:val="008C44C4"/>
    <w:rsid w:val="008C493F"/>
    <w:rsid w:val="008C5753"/>
    <w:rsid w:val="008C60B8"/>
    <w:rsid w:val="008C62BC"/>
    <w:rsid w:val="008C6AB0"/>
    <w:rsid w:val="008C77E9"/>
    <w:rsid w:val="008D08A4"/>
    <w:rsid w:val="008D1002"/>
    <w:rsid w:val="008D31BF"/>
    <w:rsid w:val="008D3278"/>
    <w:rsid w:val="008D4599"/>
    <w:rsid w:val="008D5115"/>
    <w:rsid w:val="008D64BD"/>
    <w:rsid w:val="008E1160"/>
    <w:rsid w:val="008E122B"/>
    <w:rsid w:val="008E25F2"/>
    <w:rsid w:val="008E4DC5"/>
    <w:rsid w:val="008E4E01"/>
    <w:rsid w:val="008E55A4"/>
    <w:rsid w:val="008E6A7C"/>
    <w:rsid w:val="008E7E25"/>
    <w:rsid w:val="008F05C6"/>
    <w:rsid w:val="008F072E"/>
    <w:rsid w:val="008F27F3"/>
    <w:rsid w:val="008F32F6"/>
    <w:rsid w:val="008F3530"/>
    <w:rsid w:val="008F366F"/>
    <w:rsid w:val="008F5093"/>
    <w:rsid w:val="009004E2"/>
    <w:rsid w:val="00900E35"/>
    <w:rsid w:val="00900F77"/>
    <w:rsid w:val="00901EEF"/>
    <w:rsid w:val="009020D7"/>
    <w:rsid w:val="00903EF4"/>
    <w:rsid w:val="0090516E"/>
    <w:rsid w:val="00905766"/>
    <w:rsid w:val="00905F24"/>
    <w:rsid w:val="00907926"/>
    <w:rsid w:val="00911027"/>
    <w:rsid w:val="00911065"/>
    <w:rsid w:val="00911D8B"/>
    <w:rsid w:val="00912AA2"/>
    <w:rsid w:val="0091300B"/>
    <w:rsid w:val="009136A3"/>
    <w:rsid w:val="0091371D"/>
    <w:rsid w:val="00913AA7"/>
    <w:rsid w:val="0091467A"/>
    <w:rsid w:val="00914848"/>
    <w:rsid w:val="009154AF"/>
    <w:rsid w:val="0091588C"/>
    <w:rsid w:val="00920CF2"/>
    <w:rsid w:val="00920F6B"/>
    <w:rsid w:val="009215AA"/>
    <w:rsid w:val="00921AFC"/>
    <w:rsid w:val="00922131"/>
    <w:rsid w:val="00922BB1"/>
    <w:rsid w:val="00922E4D"/>
    <w:rsid w:val="009234DB"/>
    <w:rsid w:val="009249BA"/>
    <w:rsid w:val="009254EF"/>
    <w:rsid w:val="00925937"/>
    <w:rsid w:val="0092644C"/>
    <w:rsid w:val="0092738C"/>
    <w:rsid w:val="0093113C"/>
    <w:rsid w:val="0093204E"/>
    <w:rsid w:val="00932277"/>
    <w:rsid w:val="009325B8"/>
    <w:rsid w:val="00933748"/>
    <w:rsid w:val="00933A11"/>
    <w:rsid w:val="00933A42"/>
    <w:rsid w:val="00935538"/>
    <w:rsid w:val="009358B4"/>
    <w:rsid w:val="00935E63"/>
    <w:rsid w:val="0093640F"/>
    <w:rsid w:val="00937663"/>
    <w:rsid w:val="009403CB"/>
    <w:rsid w:val="00940F98"/>
    <w:rsid w:val="009415C5"/>
    <w:rsid w:val="00941EA3"/>
    <w:rsid w:val="0094214D"/>
    <w:rsid w:val="009426D6"/>
    <w:rsid w:val="009427CC"/>
    <w:rsid w:val="009428B6"/>
    <w:rsid w:val="00943D59"/>
    <w:rsid w:val="00944018"/>
    <w:rsid w:val="00944E4A"/>
    <w:rsid w:val="00952081"/>
    <w:rsid w:val="009524D8"/>
    <w:rsid w:val="00952558"/>
    <w:rsid w:val="00952DA2"/>
    <w:rsid w:val="00952F64"/>
    <w:rsid w:val="00953DA2"/>
    <w:rsid w:val="00954F57"/>
    <w:rsid w:val="00954FFC"/>
    <w:rsid w:val="009551AF"/>
    <w:rsid w:val="00955457"/>
    <w:rsid w:val="00955888"/>
    <w:rsid w:val="00955CFD"/>
    <w:rsid w:val="009562A1"/>
    <w:rsid w:val="00957235"/>
    <w:rsid w:val="009605C4"/>
    <w:rsid w:val="009607AD"/>
    <w:rsid w:val="00960C50"/>
    <w:rsid w:val="00960E26"/>
    <w:rsid w:val="009612D2"/>
    <w:rsid w:val="00961685"/>
    <w:rsid w:val="00962BE0"/>
    <w:rsid w:val="00962EC9"/>
    <w:rsid w:val="0096371F"/>
    <w:rsid w:val="00963FA3"/>
    <w:rsid w:val="00964EF3"/>
    <w:rsid w:val="00965910"/>
    <w:rsid w:val="009677B6"/>
    <w:rsid w:val="00967843"/>
    <w:rsid w:val="00970E0E"/>
    <w:rsid w:val="0097157E"/>
    <w:rsid w:val="00972F62"/>
    <w:rsid w:val="0097475F"/>
    <w:rsid w:val="00974DC2"/>
    <w:rsid w:val="00975F5C"/>
    <w:rsid w:val="00976290"/>
    <w:rsid w:val="009762B0"/>
    <w:rsid w:val="00976392"/>
    <w:rsid w:val="009766DA"/>
    <w:rsid w:val="00977589"/>
    <w:rsid w:val="00977C6B"/>
    <w:rsid w:val="00977E04"/>
    <w:rsid w:val="0098083E"/>
    <w:rsid w:val="00981113"/>
    <w:rsid w:val="009818FB"/>
    <w:rsid w:val="009826A0"/>
    <w:rsid w:val="00982C9C"/>
    <w:rsid w:val="009834CD"/>
    <w:rsid w:val="0098652C"/>
    <w:rsid w:val="00986A23"/>
    <w:rsid w:val="00986E7D"/>
    <w:rsid w:val="009876E5"/>
    <w:rsid w:val="009910B5"/>
    <w:rsid w:val="00991758"/>
    <w:rsid w:val="00991B59"/>
    <w:rsid w:val="009929A7"/>
    <w:rsid w:val="00992A11"/>
    <w:rsid w:val="009948C6"/>
    <w:rsid w:val="00995338"/>
    <w:rsid w:val="00995649"/>
    <w:rsid w:val="009956FA"/>
    <w:rsid w:val="00995D75"/>
    <w:rsid w:val="00996207"/>
    <w:rsid w:val="00996405"/>
    <w:rsid w:val="00996F7C"/>
    <w:rsid w:val="009A09F9"/>
    <w:rsid w:val="009A1919"/>
    <w:rsid w:val="009A1947"/>
    <w:rsid w:val="009A1A8C"/>
    <w:rsid w:val="009A2380"/>
    <w:rsid w:val="009A3ACE"/>
    <w:rsid w:val="009A49CC"/>
    <w:rsid w:val="009A5224"/>
    <w:rsid w:val="009B0012"/>
    <w:rsid w:val="009B04EF"/>
    <w:rsid w:val="009B0555"/>
    <w:rsid w:val="009B0E0B"/>
    <w:rsid w:val="009B1A4E"/>
    <w:rsid w:val="009B29CA"/>
    <w:rsid w:val="009B3077"/>
    <w:rsid w:val="009B37FA"/>
    <w:rsid w:val="009B48F2"/>
    <w:rsid w:val="009B4C8F"/>
    <w:rsid w:val="009B6FB4"/>
    <w:rsid w:val="009B7B87"/>
    <w:rsid w:val="009C07B4"/>
    <w:rsid w:val="009C1727"/>
    <w:rsid w:val="009C237E"/>
    <w:rsid w:val="009C2979"/>
    <w:rsid w:val="009C3450"/>
    <w:rsid w:val="009C3499"/>
    <w:rsid w:val="009C398F"/>
    <w:rsid w:val="009C4091"/>
    <w:rsid w:val="009C434E"/>
    <w:rsid w:val="009C576C"/>
    <w:rsid w:val="009C5BD3"/>
    <w:rsid w:val="009C5C18"/>
    <w:rsid w:val="009D2148"/>
    <w:rsid w:val="009D2B6F"/>
    <w:rsid w:val="009D3345"/>
    <w:rsid w:val="009D33EF"/>
    <w:rsid w:val="009D34FC"/>
    <w:rsid w:val="009D353F"/>
    <w:rsid w:val="009D4618"/>
    <w:rsid w:val="009D63AA"/>
    <w:rsid w:val="009D64BC"/>
    <w:rsid w:val="009D6709"/>
    <w:rsid w:val="009D6D90"/>
    <w:rsid w:val="009D794D"/>
    <w:rsid w:val="009E1910"/>
    <w:rsid w:val="009E1EDB"/>
    <w:rsid w:val="009E219E"/>
    <w:rsid w:val="009E2954"/>
    <w:rsid w:val="009E2BD6"/>
    <w:rsid w:val="009E36BC"/>
    <w:rsid w:val="009E3CD8"/>
    <w:rsid w:val="009E3F04"/>
    <w:rsid w:val="009E47F0"/>
    <w:rsid w:val="009E5A28"/>
    <w:rsid w:val="009E6698"/>
    <w:rsid w:val="009E76FF"/>
    <w:rsid w:val="009F28FF"/>
    <w:rsid w:val="009F2B99"/>
    <w:rsid w:val="009F40E5"/>
    <w:rsid w:val="009F42B2"/>
    <w:rsid w:val="009F4890"/>
    <w:rsid w:val="009F4DF5"/>
    <w:rsid w:val="009F6BB5"/>
    <w:rsid w:val="009F6F9E"/>
    <w:rsid w:val="009F7071"/>
    <w:rsid w:val="009F7F1A"/>
    <w:rsid w:val="00A007A2"/>
    <w:rsid w:val="00A0081C"/>
    <w:rsid w:val="00A0237B"/>
    <w:rsid w:val="00A0416F"/>
    <w:rsid w:val="00A0421E"/>
    <w:rsid w:val="00A0517B"/>
    <w:rsid w:val="00A062C9"/>
    <w:rsid w:val="00A067C3"/>
    <w:rsid w:val="00A06FD6"/>
    <w:rsid w:val="00A0778A"/>
    <w:rsid w:val="00A11704"/>
    <w:rsid w:val="00A12410"/>
    <w:rsid w:val="00A12648"/>
    <w:rsid w:val="00A128AA"/>
    <w:rsid w:val="00A12DA7"/>
    <w:rsid w:val="00A12E37"/>
    <w:rsid w:val="00A13523"/>
    <w:rsid w:val="00A138FE"/>
    <w:rsid w:val="00A14205"/>
    <w:rsid w:val="00A14A26"/>
    <w:rsid w:val="00A15220"/>
    <w:rsid w:val="00A1583A"/>
    <w:rsid w:val="00A162F4"/>
    <w:rsid w:val="00A166BA"/>
    <w:rsid w:val="00A16869"/>
    <w:rsid w:val="00A16F60"/>
    <w:rsid w:val="00A16F84"/>
    <w:rsid w:val="00A2165E"/>
    <w:rsid w:val="00A226C4"/>
    <w:rsid w:val="00A22AEA"/>
    <w:rsid w:val="00A22DE2"/>
    <w:rsid w:val="00A24144"/>
    <w:rsid w:val="00A2432C"/>
    <w:rsid w:val="00A2521A"/>
    <w:rsid w:val="00A27933"/>
    <w:rsid w:val="00A30754"/>
    <w:rsid w:val="00A30F5A"/>
    <w:rsid w:val="00A322BA"/>
    <w:rsid w:val="00A34ABB"/>
    <w:rsid w:val="00A34ED8"/>
    <w:rsid w:val="00A3516E"/>
    <w:rsid w:val="00A358A4"/>
    <w:rsid w:val="00A366BB"/>
    <w:rsid w:val="00A36D23"/>
    <w:rsid w:val="00A3743F"/>
    <w:rsid w:val="00A37B8C"/>
    <w:rsid w:val="00A40A64"/>
    <w:rsid w:val="00A41FEB"/>
    <w:rsid w:val="00A430D0"/>
    <w:rsid w:val="00A43278"/>
    <w:rsid w:val="00A436B2"/>
    <w:rsid w:val="00A44201"/>
    <w:rsid w:val="00A45BE2"/>
    <w:rsid w:val="00A45F77"/>
    <w:rsid w:val="00A46474"/>
    <w:rsid w:val="00A5182B"/>
    <w:rsid w:val="00A5201E"/>
    <w:rsid w:val="00A52041"/>
    <w:rsid w:val="00A521F3"/>
    <w:rsid w:val="00A522A5"/>
    <w:rsid w:val="00A52CA7"/>
    <w:rsid w:val="00A53389"/>
    <w:rsid w:val="00A533B1"/>
    <w:rsid w:val="00A54A85"/>
    <w:rsid w:val="00A55DF2"/>
    <w:rsid w:val="00A56941"/>
    <w:rsid w:val="00A577D3"/>
    <w:rsid w:val="00A578EC"/>
    <w:rsid w:val="00A607CB"/>
    <w:rsid w:val="00A6085E"/>
    <w:rsid w:val="00A60ADA"/>
    <w:rsid w:val="00A610EE"/>
    <w:rsid w:val="00A6211E"/>
    <w:rsid w:val="00A6277D"/>
    <w:rsid w:val="00A62CFC"/>
    <w:rsid w:val="00A63549"/>
    <w:rsid w:val="00A654B5"/>
    <w:rsid w:val="00A66C79"/>
    <w:rsid w:val="00A67DD4"/>
    <w:rsid w:val="00A7001F"/>
    <w:rsid w:val="00A71C0E"/>
    <w:rsid w:val="00A72B5E"/>
    <w:rsid w:val="00A72BB0"/>
    <w:rsid w:val="00A72F96"/>
    <w:rsid w:val="00A737CC"/>
    <w:rsid w:val="00A73E2D"/>
    <w:rsid w:val="00A747E5"/>
    <w:rsid w:val="00A747F7"/>
    <w:rsid w:val="00A74865"/>
    <w:rsid w:val="00A752DD"/>
    <w:rsid w:val="00A76292"/>
    <w:rsid w:val="00A80042"/>
    <w:rsid w:val="00A80D7E"/>
    <w:rsid w:val="00A817B9"/>
    <w:rsid w:val="00A824B4"/>
    <w:rsid w:val="00A830D7"/>
    <w:rsid w:val="00A85D1F"/>
    <w:rsid w:val="00A86080"/>
    <w:rsid w:val="00A8764F"/>
    <w:rsid w:val="00A8778D"/>
    <w:rsid w:val="00A903C6"/>
    <w:rsid w:val="00A9085B"/>
    <w:rsid w:val="00A91845"/>
    <w:rsid w:val="00A922A4"/>
    <w:rsid w:val="00A9287B"/>
    <w:rsid w:val="00A933F3"/>
    <w:rsid w:val="00A93706"/>
    <w:rsid w:val="00A945FC"/>
    <w:rsid w:val="00A954EE"/>
    <w:rsid w:val="00A95CBC"/>
    <w:rsid w:val="00A9613A"/>
    <w:rsid w:val="00A96528"/>
    <w:rsid w:val="00A96E51"/>
    <w:rsid w:val="00A971D2"/>
    <w:rsid w:val="00AA2106"/>
    <w:rsid w:val="00AA2171"/>
    <w:rsid w:val="00AA256A"/>
    <w:rsid w:val="00AA2628"/>
    <w:rsid w:val="00AA291A"/>
    <w:rsid w:val="00AA297B"/>
    <w:rsid w:val="00AA4EC8"/>
    <w:rsid w:val="00AA757F"/>
    <w:rsid w:val="00AA77EA"/>
    <w:rsid w:val="00AB0424"/>
    <w:rsid w:val="00AB0628"/>
    <w:rsid w:val="00AB1832"/>
    <w:rsid w:val="00AB300B"/>
    <w:rsid w:val="00AB342C"/>
    <w:rsid w:val="00AB3494"/>
    <w:rsid w:val="00AB3CD5"/>
    <w:rsid w:val="00AB3FF2"/>
    <w:rsid w:val="00AB42F2"/>
    <w:rsid w:val="00AB5FFF"/>
    <w:rsid w:val="00AB6C49"/>
    <w:rsid w:val="00AB745E"/>
    <w:rsid w:val="00AC0FAA"/>
    <w:rsid w:val="00AC34B8"/>
    <w:rsid w:val="00AC356E"/>
    <w:rsid w:val="00AC4D16"/>
    <w:rsid w:val="00AC6114"/>
    <w:rsid w:val="00AC63FC"/>
    <w:rsid w:val="00AC64F7"/>
    <w:rsid w:val="00AC6D1D"/>
    <w:rsid w:val="00AC71F9"/>
    <w:rsid w:val="00AC7A69"/>
    <w:rsid w:val="00AC7D31"/>
    <w:rsid w:val="00AC7FDF"/>
    <w:rsid w:val="00AD1E39"/>
    <w:rsid w:val="00AD294B"/>
    <w:rsid w:val="00AD35E1"/>
    <w:rsid w:val="00AD5C7B"/>
    <w:rsid w:val="00AD608C"/>
    <w:rsid w:val="00AD6A55"/>
    <w:rsid w:val="00AD7058"/>
    <w:rsid w:val="00AE0701"/>
    <w:rsid w:val="00AE07B0"/>
    <w:rsid w:val="00AE11C1"/>
    <w:rsid w:val="00AE1778"/>
    <w:rsid w:val="00AE3C4E"/>
    <w:rsid w:val="00AE4B00"/>
    <w:rsid w:val="00AE532C"/>
    <w:rsid w:val="00AE55CB"/>
    <w:rsid w:val="00AE5704"/>
    <w:rsid w:val="00AE5AD9"/>
    <w:rsid w:val="00AE5DF4"/>
    <w:rsid w:val="00AE68B2"/>
    <w:rsid w:val="00AE6CB5"/>
    <w:rsid w:val="00AE7168"/>
    <w:rsid w:val="00AE7BF2"/>
    <w:rsid w:val="00AF08EF"/>
    <w:rsid w:val="00AF2A66"/>
    <w:rsid w:val="00AF3F2D"/>
    <w:rsid w:val="00AF5BED"/>
    <w:rsid w:val="00B0042B"/>
    <w:rsid w:val="00B00CBA"/>
    <w:rsid w:val="00B00F0E"/>
    <w:rsid w:val="00B01380"/>
    <w:rsid w:val="00B03617"/>
    <w:rsid w:val="00B04012"/>
    <w:rsid w:val="00B04244"/>
    <w:rsid w:val="00B04FA3"/>
    <w:rsid w:val="00B058AD"/>
    <w:rsid w:val="00B059F6"/>
    <w:rsid w:val="00B05E4D"/>
    <w:rsid w:val="00B0685A"/>
    <w:rsid w:val="00B10580"/>
    <w:rsid w:val="00B11CB6"/>
    <w:rsid w:val="00B125A4"/>
    <w:rsid w:val="00B14DAF"/>
    <w:rsid w:val="00B14FE3"/>
    <w:rsid w:val="00B153CF"/>
    <w:rsid w:val="00B157E3"/>
    <w:rsid w:val="00B16F12"/>
    <w:rsid w:val="00B171F9"/>
    <w:rsid w:val="00B20012"/>
    <w:rsid w:val="00B22CB4"/>
    <w:rsid w:val="00B234CC"/>
    <w:rsid w:val="00B23AA1"/>
    <w:rsid w:val="00B2422B"/>
    <w:rsid w:val="00B25111"/>
    <w:rsid w:val="00B252E6"/>
    <w:rsid w:val="00B254CB"/>
    <w:rsid w:val="00B25B5A"/>
    <w:rsid w:val="00B25DC3"/>
    <w:rsid w:val="00B25E00"/>
    <w:rsid w:val="00B26056"/>
    <w:rsid w:val="00B26FF0"/>
    <w:rsid w:val="00B27451"/>
    <w:rsid w:val="00B31481"/>
    <w:rsid w:val="00B3288F"/>
    <w:rsid w:val="00B3372E"/>
    <w:rsid w:val="00B33F7C"/>
    <w:rsid w:val="00B3457C"/>
    <w:rsid w:val="00B34774"/>
    <w:rsid w:val="00B349B5"/>
    <w:rsid w:val="00B34C7A"/>
    <w:rsid w:val="00B35D00"/>
    <w:rsid w:val="00B37CD5"/>
    <w:rsid w:val="00B40CFF"/>
    <w:rsid w:val="00B41FC5"/>
    <w:rsid w:val="00B42C53"/>
    <w:rsid w:val="00B43553"/>
    <w:rsid w:val="00B43CEC"/>
    <w:rsid w:val="00B44134"/>
    <w:rsid w:val="00B45AB2"/>
    <w:rsid w:val="00B45E5A"/>
    <w:rsid w:val="00B4700E"/>
    <w:rsid w:val="00B4735A"/>
    <w:rsid w:val="00B50854"/>
    <w:rsid w:val="00B51F57"/>
    <w:rsid w:val="00B527DB"/>
    <w:rsid w:val="00B52FC8"/>
    <w:rsid w:val="00B53130"/>
    <w:rsid w:val="00B53BB0"/>
    <w:rsid w:val="00B5448A"/>
    <w:rsid w:val="00B550CA"/>
    <w:rsid w:val="00B55FC7"/>
    <w:rsid w:val="00B56549"/>
    <w:rsid w:val="00B56A9C"/>
    <w:rsid w:val="00B56CBB"/>
    <w:rsid w:val="00B57121"/>
    <w:rsid w:val="00B57178"/>
    <w:rsid w:val="00B57DEB"/>
    <w:rsid w:val="00B603E8"/>
    <w:rsid w:val="00B6240C"/>
    <w:rsid w:val="00B62A6C"/>
    <w:rsid w:val="00B6300C"/>
    <w:rsid w:val="00B63BB4"/>
    <w:rsid w:val="00B64015"/>
    <w:rsid w:val="00B64B6B"/>
    <w:rsid w:val="00B65BDD"/>
    <w:rsid w:val="00B6630B"/>
    <w:rsid w:val="00B7007D"/>
    <w:rsid w:val="00B70BEA"/>
    <w:rsid w:val="00B714A5"/>
    <w:rsid w:val="00B7254A"/>
    <w:rsid w:val="00B728BA"/>
    <w:rsid w:val="00B72E12"/>
    <w:rsid w:val="00B736F4"/>
    <w:rsid w:val="00B74215"/>
    <w:rsid w:val="00B74F07"/>
    <w:rsid w:val="00B77587"/>
    <w:rsid w:val="00B77765"/>
    <w:rsid w:val="00B77841"/>
    <w:rsid w:val="00B77C12"/>
    <w:rsid w:val="00B80566"/>
    <w:rsid w:val="00B81214"/>
    <w:rsid w:val="00B8199F"/>
    <w:rsid w:val="00B81FAA"/>
    <w:rsid w:val="00B8445A"/>
    <w:rsid w:val="00B8696D"/>
    <w:rsid w:val="00B86980"/>
    <w:rsid w:val="00B87273"/>
    <w:rsid w:val="00B90004"/>
    <w:rsid w:val="00B9046E"/>
    <w:rsid w:val="00B90AD7"/>
    <w:rsid w:val="00B92D8C"/>
    <w:rsid w:val="00B92ED2"/>
    <w:rsid w:val="00B9371E"/>
    <w:rsid w:val="00B9389F"/>
    <w:rsid w:val="00B93A00"/>
    <w:rsid w:val="00B93C32"/>
    <w:rsid w:val="00B946C9"/>
    <w:rsid w:val="00B955EC"/>
    <w:rsid w:val="00B958DA"/>
    <w:rsid w:val="00B95D66"/>
    <w:rsid w:val="00B96952"/>
    <w:rsid w:val="00B96D60"/>
    <w:rsid w:val="00B976E2"/>
    <w:rsid w:val="00BA06BB"/>
    <w:rsid w:val="00BA06F2"/>
    <w:rsid w:val="00BA115E"/>
    <w:rsid w:val="00BA18EC"/>
    <w:rsid w:val="00BA3998"/>
    <w:rsid w:val="00BA545C"/>
    <w:rsid w:val="00BA597A"/>
    <w:rsid w:val="00BA74A4"/>
    <w:rsid w:val="00BA7DC8"/>
    <w:rsid w:val="00BB0B7A"/>
    <w:rsid w:val="00BB3290"/>
    <w:rsid w:val="00BB39DE"/>
    <w:rsid w:val="00BB531A"/>
    <w:rsid w:val="00BB730D"/>
    <w:rsid w:val="00BC03D3"/>
    <w:rsid w:val="00BC0701"/>
    <w:rsid w:val="00BC2904"/>
    <w:rsid w:val="00BC35CB"/>
    <w:rsid w:val="00BC4400"/>
    <w:rsid w:val="00BC4C0C"/>
    <w:rsid w:val="00BC4CFA"/>
    <w:rsid w:val="00BC53C5"/>
    <w:rsid w:val="00BC6B01"/>
    <w:rsid w:val="00BC6F09"/>
    <w:rsid w:val="00BC7B92"/>
    <w:rsid w:val="00BD0055"/>
    <w:rsid w:val="00BD31A1"/>
    <w:rsid w:val="00BD3579"/>
    <w:rsid w:val="00BD460D"/>
    <w:rsid w:val="00BD4C98"/>
    <w:rsid w:val="00BD608B"/>
    <w:rsid w:val="00BD6977"/>
    <w:rsid w:val="00BD6AC1"/>
    <w:rsid w:val="00BD7BE3"/>
    <w:rsid w:val="00BE0324"/>
    <w:rsid w:val="00BE0A2A"/>
    <w:rsid w:val="00BE0F28"/>
    <w:rsid w:val="00BE2917"/>
    <w:rsid w:val="00BE2B75"/>
    <w:rsid w:val="00BE3091"/>
    <w:rsid w:val="00BE4079"/>
    <w:rsid w:val="00BE43EF"/>
    <w:rsid w:val="00BE5002"/>
    <w:rsid w:val="00BE504A"/>
    <w:rsid w:val="00BE56CA"/>
    <w:rsid w:val="00BE663D"/>
    <w:rsid w:val="00BE69B9"/>
    <w:rsid w:val="00BE6EFD"/>
    <w:rsid w:val="00BF17FB"/>
    <w:rsid w:val="00BF28A9"/>
    <w:rsid w:val="00BF2A8B"/>
    <w:rsid w:val="00BF6B53"/>
    <w:rsid w:val="00BF7352"/>
    <w:rsid w:val="00C001EB"/>
    <w:rsid w:val="00C015FB"/>
    <w:rsid w:val="00C0252D"/>
    <w:rsid w:val="00C028D4"/>
    <w:rsid w:val="00C02972"/>
    <w:rsid w:val="00C02C7E"/>
    <w:rsid w:val="00C03174"/>
    <w:rsid w:val="00C033A0"/>
    <w:rsid w:val="00C03B6A"/>
    <w:rsid w:val="00C041A6"/>
    <w:rsid w:val="00C04373"/>
    <w:rsid w:val="00C04430"/>
    <w:rsid w:val="00C04A58"/>
    <w:rsid w:val="00C04EEE"/>
    <w:rsid w:val="00C064AC"/>
    <w:rsid w:val="00C07B1D"/>
    <w:rsid w:val="00C07F7D"/>
    <w:rsid w:val="00C10ABA"/>
    <w:rsid w:val="00C1154D"/>
    <w:rsid w:val="00C1251B"/>
    <w:rsid w:val="00C12B86"/>
    <w:rsid w:val="00C12E05"/>
    <w:rsid w:val="00C13496"/>
    <w:rsid w:val="00C13906"/>
    <w:rsid w:val="00C14DF1"/>
    <w:rsid w:val="00C153A3"/>
    <w:rsid w:val="00C15BD4"/>
    <w:rsid w:val="00C170EE"/>
    <w:rsid w:val="00C1753A"/>
    <w:rsid w:val="00C17542"/>
    <w:rsid w:val="00C17961"/>
    <w:rsid w:val="00C21560"/>
    <w:rsid w:val="00C227B7"/>
    <w:rsid w:val="00C24E77"/>
    <w:rsid w:val="00C253E9"/>
    <w:rsid w:val="00C267D7"/>
    <w:rsid w:val="00C268BD"/>
    <w:rsid w:val="00C26D8A"/>
    <w:rsid w:val="00C270CB"/>
    <w:rsid w:val="00C27B5F"/>
    <w:rsid w:val="00C30AEA"/>
    <w:rsid w:val="00C31A37"/>
    <w:rsid w:val="00C33C8B"/>
    <w:rsid w:val="00C33FE6"/>
    <w:rsid w:val="00C3422E"/>
    <w:rsid w:val="00C34787"/>
    <w:rsid w:val="00C34BE8"/>
    <w:rsid w:val="00C3575B"/>
    <w:rsid w:val="00C3616F"/>
    <w:rsid w:val="00C3639B"/>
    <w:rsid w:val="00C379B0"/>
    <w:rsid w:val="00C40E90"/>
    <w:rsid w:val="00C4296D"/>
    <w:rsid w:val="00C429F1"/>
    <w:rsid w:val="00C443E0"/>
    <w:rsid w:val="00C445F4"/>
    <w:rsid w:val="00C44A24"/>
    <w:rsid w:val="00C44EC9"/>
    <w:rsid w:val="00C450B2"/>
    <w:rsid w:val="00C452BB"/>
    <w:rsid w:val="00C4554A"/>
    <w:rsid w:val="00C4601C"/>
    <w:rsid w:val="00C46BD6"/>
    <w:rsid w:val="00C46BE5"/>
    <w:rsid w:val="00C46D24"/>
    <w:rsid w:val="00C46D4D"/>
    <w:rsid w:val="00C46F8C"/>
    <w:rsid w:val="00C471D7"/>
    <w:rsid w:val="00C505B4"/>
    <w:rsid w:val="00C50B7D"/>
    <w:rsid w:val="00C51096"/>
    <w:rsid w:val="00C51356"/>
    <w:rsid w:val="00C51A1C"/>
    <w:rsid w:val="00C51A2D"/>
    <w:rsid w:val="00C52A97"/>
    <w:rsid w:val="00C53875"/>
    <w:rsid w:val="00C55EDB"/>
    <w:rsid w:val="00C56225"/>
    <w:rsid w:val="00C56271"/>
    <w:rsid w:val="00C56768"/>
    <w:rsid w:val="00C56847"/>
    <w:rsid w:val="00C575F8"/>
    <w:rsid w:val="00C65527"/>
    <w:rsid w:val="00C66B98"/>
    <w:rsid w:val="00C72A68"/>
    <w:rsid w:val="00C76138"/>
    <w:rsid w:val="00C765FB"/>
    <w:rsid w:val="00C76ABF"/>
    <w:rsid w:val="00C774D0"/>
    <w:rsid w:val="00C8017F"/>
    <w:rsid w:val="00C81185"/>
    <w:rsid w:val="00C814E5"/>
    <w:rsid w:val="00C81DAA"/>
    <w:rsid w:val="00C82B4B"/>
    <w:rsid w:val="00C86743"/>
    <w:rsid w:val="00C87014"/>
    <w:rsid w:val="00C879C4"/>
    <w:rsid w:val="00C9207B"/>
    <w:rsid w:val="00C93A98"/>
    <w:rsid w:val="00C93FAF"/>
    <w:rsid w:val="00C94B3A"/>
    <w:rsid w:val="00C94B65"/>
    <w:rsid w:val="00C951E9"/>
    <w:rsid w:val="00C97FCC"/>
    <w:rsid w:val="00CA0B25"/>
    <w:rsid w:val="00CA148A"/>
    <w:rsid w:val="00CA18AA"/>
    <w:rsid w:val="00CA4F86"/>
    <w:rsid w:val="00CA54C4"/>
    <w:rsid w:val="00CA5C9D"/>
    <w:rsid w:val="00CA7901"/>
    <w:rsid w:val="00CB03D3"/>
    <w:rsid w:val="00CB0B50"/>
    <w:rsid w:val="00CB182A"/>
    <w:rsid w:val="00CB1FD2"/>
    <w:rsid w:val="00CB21B1"/>
    <w:rsid w:val="00CB2401"/>
    <w:rsid w:val="00CB3A38"/>
    <w:rsid w:val="00CB4325"/>
    <w:rsid w:val="00CB4990"/>
    <w:rsid w:val="00CB57BC"/>
    <w:rsid w:val="00CB6A4B"/>
    <w:rsid w:val="00CC1390"/>
    <w:rsid w:val="00CC273F"/>
    <w:rsid w:val="00CC2E5D"/>
    <w:rsid w:val="00CC3C28"/>
    <w:rsid w:val="00CC3DAA"/>
    <w:rsid w:val="00CC43DD"/>
    <w:rsid w:val="00CC47D4"/>
    <w:rsid w:val="00CC4899"/>
    <w:rsid w:val="00CC48CF"/>
    <w:rsid w:val="00CC68F3"/>
    <w:rsid w:val="00CC6975"/>
    <w:rsid w:val="00CC6C75"/>
    <w:rsid w:val="00CC75E4"/>
    <w:rsid w:val="00CC7D58"/>
    <w:rsid w:val="00CD0A5B"/>
    <w:rsid w:val="00CD1597"/>
    <w:rsid w:val="00CD2B7D"/>
    <w:rsid w:val="00CD2E53"/>
    <w:rsid w:val="00CD32BE"/>
    <w:rsid w:val="00CD4EAC"/>
    <w:rsid w:val="00CD5A5C"/>
    <w:rsid w:val="00CD5DAE"/>
    <w:rsid w:val="00CD6D2C"/>
    <w:rsid w:val="00CD7C25"/>
    <w:rsid w:val="00CD7EAF"/>
    <w:rsid w:val="00CE102B"/>
    <w:rsid w:val="00CE1C09"/>
    <w:rsid w:val="00CE1C38"/>
    <w:rsid w:val="00CE2C0B"/>
    <w:rsid w:val="00CE38CA"/>
    <w:rsid w:val="00CE5378"/>
    <w:rsid w:val="00CE5615"/>
    <w:rsid w:val="00CE5669"/>
    <w:rsid w:val="00CE5862"/>
    <w:rsid w:val="00CE5D15"/>
    <w:rsid w:val="00CF0514"/>
    <w:rsid w:val="00CF0754"/>
    <w:rsid w:val="00CF1380"/>
    <w:rsid w:val="00CF2335"/>
    <w:rsid w:val="00CF2794"/>
    <w:rsid w:val="00CF2876"/>
    <w:rsid w:val="00CF28E6"/>
    <w:rsid w:val="00CF28EB"/>
    <w:rsid w:val="00CF339C"/>
    <w:rsid w:val="00CF361A"/>
    <w:rsid w:val="00CF3CF5"/>
    <w:rsid w:val="00CF3EAE"/>
    <w:rsid w:val="00CF688B"/>
    <w:rsid w:val="00CF69EE"/>
    <w:rsid w:val="00CF70DD"/>
    <w:rsid w:val="00CF7A67"/>
    <w:rsid w:val="00D01A9B"/>
    <w:rsid w:val="00D01ECC"/>
    <w:rsid w:val="00D021A3"/>
    <w:rsid w:val="00D02A46"/>
    <w:rsid w:val="00D0373C"/>
    <w:rsid w:val="00D039E7"/>
    <w:rsid w:val="00D03BD2"/>
    <w:rsid w:val="00D10131"/>
    <w:rsid w:val="00D111F2"/>
    <w:rsid w:val="00D112FB"/>
    <w:rsid w:val="00D114B5"/>
    <w:rsid w:val="00D11948"/>
    <w:rsid w:val="00D11E77"/>
    <w:rsid w:val="00D126F4"/>
    <w:rsid w:val="00D13A05"/>
    <w:rsid w:val="00D13E05"/>
    <w:rsid w:val="00D14153"/>
    <w:rsid w:val="00D1532A"/>
    <w:rsid w:val="00D15FD5"/>
    <w:rsid w:val="00D161F2"/>
    <w:rsid w:val="00D166FA"/>
    <w:rsid w:val="00D17D86"/>
    <w:rsid w:val="00D216D2"/>
    <w:rsid w:val="00D21D10"/>
    <w:rsid w:val="00D21F6D"/>
    <w:rsid w:val="00D22782"/>
    <w:rsid w:val="00D22BFF"/>
    <w:rsid w:val="00D243F6"/>
    <w:rsid w:val="00D24828"/>
    <w:rsid w:val="00D24DDF"/>
    <w:rsid w:val="00D26444"/>
    <w:rsid w:val="00D26BE5"/>
    <w:rsid w:val="00D27791"/>
    <w:rsid w:val="00D30C90"/>
    <w:rsid w:val="00D31104"/>
    <w:rsid w:val="00D32914"/>
    <w:rsid w:val="00D33AED"/>
    <w:rsid w:val="00D3599C"/>
    <w:rsid w:val="00D36673"/>
    <w:rsid w:val="00D37AAF"/>
    <w:rsid w:val="00D40F3F"/>
    <w:rsid w:val="00D41E76"/>
    <w:rsid w:val="00D45E8E"/>
    <w:rsid w:val="00D47071"/>
    <w:rsid w:val="00D4734D"/>
    <w:rsid w:val="00D47504"/>
    <w:rsid w:val="00D509EE"/>
    <w:rsid w:val="00D50C68"/>
    <w:rsid w:val="00D5104D"/>
    <w:rsid w:val="00D51D40"/>
    <w:rsid w:val="00D5453A"/>
    <w:rsid w:val="00D558A3"/>
    <w:rsid w:val="00D55C4A"/>
    <w:rsid w:val="00D5601F"/>
    <w:rsid w:val="00D56364"/>
    <w:rsid w:val="00D57A14"/>
    <w:rsid w:val="00D57D00"/>
    <w:rsid w:val="00D602FD"/>
    <w:rsid w:val="00D61869"/>
    <w:rsid w:val="00D6258C"/>
    <w:rsid w:val="00D62757"/>
    <w:rsid w:val="00D62C7F"/>
    <w:rsid w:val="00D63441"/>
    <w:rsid w:val="00D6383E"/>
    <w:rsid w:val="00D647A0"/>
    <w:rsid w:val="00D668AC"/>
    <w:rsid w:val="00D66BFB"/>
    <w:rsid w:val="00D672A8"/>
    <w:rsid w:val="00D6763D"/>
    <w:rsid w:val="00D716D7"/>
    <w:rsid w:val="00D73ACA"/>
    <w:rsid w:val="00D75080"/>
    <w:rsid w:val="00D76517"/>
    <w:rsid w:val="00D76548"/>
    <w:rsid w:val="00D76D8B"/>
    <w:rsid w:val="00D80065"/>
    <w:rsid w:val="00D80D0F"/>
    <w:rsid w:val="00D810E4"/>
    <w:rsid w:val="00D81117"/>
    <w:rsid w:val="00D81A5E"/>
    <w:rsid w:val="00D81E61"/>
    <w:rsid w:val="00D82433"/>
    <w:rsid w:val="00D827CB"/>
    <w:rsid w:val="00D82823"/>
    <w:rsid w:val="00D84749"/>
    <w:rsid w:val="00D84C5C"/>
    <w:rsid w:val="00D86152"/>
    <w:rsid w:val="00D86458"/>
    <w:rsid w:val="00D8666A"/>
    <w:rsid w:val="00D87123"/>
    <w:rsid w:val="00D87AC8"/>
    <w:rsid w:val="00D91049"/>
    <w:rsid w:val="00D91F51"/>
    <w:rsid w:val="00D921B4"/>
    <w:rsid w:val="00D9492B"/>
    <w:rsid w:val="00D95D5A"/>
    <w:rsid w:val="00D9648A"/>
    <w:rsid w:val="00DA056C"/>
    <w:rsid w:val="00DA0825"/>
    <w:rsid w:val="00DA12D6"/>
    <w:rsid w:val="00DA1638"/>
    <w:rsid w:val="00DA17B7"/>
    <w:rsid w:val="00DA2534"/>
    <w:rsid w:val="00DA3DCA"/>
    <w:rsid w:val="00DA44AA"/>
    <w:rsid w:val="00DA47A0"/>
    <w:rsid w:val="00DA52FF"/>
    <w:rsid w:val="00DA5E76"/>
    <w:rsid w:val="00DA6067"/>
    <w:rsid w:val="00DA69EC"/>
    <w:rsid w:val="00DA7116"/>
    <w:rsid w:val="00DB08E8"/>
    <w:rsid w:val="00DB0ACC"/>
    <w:rsid w:val="00DB0D38"/>
    <w:rsid w:val="00DB1429"/>
    <w:rsid w:val="00DB14D1"/>
    <w:rsid w:val="00DB3189"/>
    <w:rsid w:val="00DB38A1"/>
    <w:rsid w:val="00DB3C1C"/>
    <w:rsid w:val="00DB508A"/>
    <w:rsid w:val="00DB66F4"/>
    <w:rsid w:val="00DB6912"/>
    <w:rsid w:val="00DB6D90"/>
    <w:rsid w:val="00DB7276"/>
    <w:rsid w:val="00DB74CF"/>
    <w:rsid w:val="00DB7B5C"/>
    <w:rsid w:val="00DC03A8"/>
    <w:rsid w:val="00DC0A93"/>
    <w:rsid w:val="00DC18AE"/>
    <w:rsid w:val="00DC1B86"/>
    <w:rsid w:val="00DC1ECE"/>
    <w:rsid w:val="00DC1F71"/>
    <w:rsid w:val="00DC360B"/>
    <w:rsid w:val="00DC458B"/>
    <w:rsid w:val="00DC55B5"/>
    <w:rsid w:val="00DC60B5"/>
    <w:rsid w:val="00DC6818"/>
    <w:rsid w:val="00DC74D2"/>
    <w:rsid w:val="00DD0F13"/>
    <w:rsid w:val="00DD1028"/>
    <w:rsid w:val="00DD1072"/>
    <w:rsid w:val="00DD2687"/>
    <w:rsid w:val="00DD2C06"/>
    <w:rsid w:val="00DD2FDC"/>
    <w:rsid w:val="00DD37F8"/>
    <w:rsid w:val="00DD3DB3"/>
    <w:rsid w:val="00DD5AB5"/>
    <w:rsid w:val="00DD5FFB"/>
    <w:rsid w:val="00DD6803"/>
    <w:rsid w:val="00DE135A"/>
    <w:rsid w:val="00DE1A02"/>
    <w:rsid w:val="00DE204F"/>
    <w:rsid w:val="00DE3096"/>
    <w:rsid w:val="00DE43F9"/>
    <w:rsid w:val="00DE6577"/>
    <w:rsid w:val="00DE7878"/>
    <w:rsid w:val="00DE7B11"/>
    <w:rsid w:val="00DF016C"/>
    <w:rsid w:val="00DF06AE"/>
    <w:rsid w:val="00DF0CDE"/>
    <w:rsid w:val="00DF11F7"/>
    <w:rsid w:val="00DF1F20"/>
    <w:rsid w:val="00DF2F9F"/>
    <w:rsid w:val="00DF3CE9"/>
    <w:rsid w:val="00DF5300"/>
    <w:rsid w:val="00DF5642"/>
    <w:rsid w:val="00DF6305"/>
    <w:rsid w:val="00DF6A50"/>
    <w:rsid w:val="00DF6EE4"/>
    <w:rsid w:val="00E00B28"/>
    <w:rsid w:val="00E019F0"/>
    <w:rsid w:val="00E03BD9"/>
    <w:rsid w:val="00E045EC"/>
    <w:rsid w:val="00E04E64"/>
    <w:rsid w:val="00E05E5D"/>
    <w:rsid w:val="00E062BD"/>
    <w:rsid w:val="00E077B9"/>
    <w:rsid w:val="00E07C48"/>
    <w:rsid w:val="00E106FB"/>
    <w:rsid w:val="00E10A56"/>
    <w:rsid w:val="00E10B4D"/>
    <w:rsid w:val="00E10FA9"/>
    <w:rsid w:val="00E117CC"/>
    <w:rsid w:val="00E11CA6"/>
    <w:rsid w:val="00E120C2"/>
    <w:rsid w:val="00E12B5A"/>
    <w:rsid w:val="00E14C58"/>
    <w:rsid w:val="00E203CD"/>
    <w:rsid w:val="00E20469"/>
    <w:rsid w:val="00E20966"/>
    <w:rsid w:val="00E20BE6"/>
    <w:rsid w:val="00E212AC"/>
    <w:rsid w:val="00E22072"/>
    <w:rsid w:val="00E22166"/>
    <w:rsid w:val="00E22440"/>
    <w:rsid w:val="00E2532E"/>
    <w:rsid w:val="00E268F2"/>
    <w:rsid w:val="00E26EB9"/>
    <w:rsid w:val="00E300A7"/>
    <w:rsid w:val="00E3063E"/>
    <w:rsid w:val="00E317EA"/>
    <w:rsid w:val="00E31A57"/>
    <w:rsid w:val="00E31FC4"/>
    <w:rsid w:val="00E3211B"/>
    <w:rsid w:val="00E32AC7"/>
    <w:rsid w:val="00E33C27"/>
    <w:rsid w:val="00E33E6E"/>
    <w:rsid w:val="00E33FA5"/>
    <w:rsid w:val="00E34C85"/>
    <w:rsid w:val="00E35B06"/>
    <w:rsid w:val="00E35BFC"/>
    <w:rsid w:val="00E35D9B"/>
    <w:rsid w:val="00E364A3"/>
    <w:rsid w:val="00E404BC"/>
    <w:rsid w:val="00E40AB3"/>
    <w:rsid w:val="00E40F4A"/>
    <w:rsid w:val="00E426E1"/>
    <w:rsid w:val="00E434F7"/>
    <w:rsid w:val="00E44072"/>
    <w:rsid w:val="00E448DE"/>
    <w:rsid w:val="00E45ECB"/>
    <w:rsid w:val="00E4733B"/>
    <w:rsid w:val="00E502AF"/>
    <w:rsid w:val="00E5112F"/>
    <w:rsid w:val="00E53374"/>
    <w:rsid w:val="00E53F94"/>
    <w:rsid w:val="00E5464C"/>
    <w:rsid w:val="00E54E1C"/>
    <w:rsid w:val="00E55E3E"/>
    <w:rsid w:val="00E561BB"/>
    <w:rsid w:val="00E56511"/>
    <w:rsid w:val="00E56AB7"/>
    <w:rsid w:val="00E57816"/>
    <w:rsid w:val="00E579D7"/>
    <w:rsid w:val="00E60E48"/>
    <w:rsid w:val="00E60FDA"/>
    <w:rsid w:val="00E611B1"/>
    <w:rsid w:val="00E616B4"/>
    <w:rsid w:val="00E626E3"/>
    <w:rsid w:val="00E639EA"/>
    <w:rsid w:val="00E63AEB"/>
    <w:rsid w:val="00E652BB"/>
    <w:rsid w:val="00E65E83"/>
    <w:rsid w:val="00E66D8F"/>
    <w:rsid w:val="00E70B98"/>
    <w:rsid w:val="00E70CE2"/>
    <w:rsid w:val="00E71200"/>
    <w:rsid w:val="00E7139D"/>
    <w:rsid w:val="00E713A8"/>
    <w:rsid w:val="00E73A36"/>
    <w:rsid w:val="00E73BAE"/>
    <w:rsid w:val="00E7423E"/>
    <w:rsid w:val="00E74290"/>
    <w:rsid w:val="00E7454B"/>
    <w:rsid w:val="00E7486C"/>
    <w:rsid w:val="00E75213"/>
    <w:rsid w:val="00E755FA"/>
    <w:rsid w:val="00E76ED1"/>
    <w:rsid w:val="00E7796D"/>
    <w:rsid w:val="00E77C42"/>
    <w:rsid w:val="00E800D6"/>
    <w:rsid w:val="00E8015B"/>
    <w:rsid w:val="00E80268"/>
    <w:rsid w:val="00E82200"/>
    <w:rsid w:val="00E82878"/>
    <w:rsid w:val="00E82880"/>
    <w:rsid w:val="00E83379"/>
    <w:rsid w:val="00E836E6"/>
    <w:rsid w:val="00E838C5"/>
    <w:rsid w:val="00E838FB"/>
    <w:rsid w:val="00E8417C"/>
    <w:rsid w:val="00E846BA"/>
    <w:rsid w:val="00E8517F"/>
    <w:rsid w:val="00E872D0"/>
    <w:rsid w:val="00E87624"/>
    <w:rsid w:val="00E90767"/>
    <w:rsid w:val="00E91BB6"/>
    <w:rsid w:val="00E9226A"/>
    <w:rsid w:val="00E9337C"/>
    <w:rsid w:val="00E93E3A"/>
    <w:rsid w:val="00E9429E"/>
    <w:rsid w:val="00E954CC"/>
    <w:rsid w:val="00E95F0F"/>
    <w:rsid w:val="00EA0AF5"/>
    <w:rsid w:val="00EA20EB"/>
    <w:rsid w:val="00EA2432"/>
    <w:rsid w:val="00EA40E1"/>
    <w:rsid w:val="00EA4917"/>
    <w:rsid w:val="00EA5FD8"/>
    <w:rsid w:val="00EA6443"/>
    <w:rsid w:val="00EA6545"/>
    <w:rsid w:val="00EB0C79"/>
    <w:rsid w:val="00EB1341"/>
    <w:rsid w:val="00EB1CAC"/>
    <w:rsid w:val="00EB285A"/>
    <w:rsid w:val="00EB390C"/>
    <w:rsid w:val="00EB3D23"/>
    <w:rsid w:val="00EB44A3"/>
    <w:rsid w:val="00EB481F"/>
    <w:rsid w:val="00EB48E5"/>
    <w:rsid w:val="00EB5947"/>
    <w:rsid w:val="00EB6061"/>
    <w:rsid w:val="00EC070D"/>
    <w:rsid w:val="00EC0DBD"/>
    <w:rsid w:val="00EC1C64"/>
    <w:rsid w:val="00EC1C77"/>
    <w:rsid w:val="00EC236B"/>
    <w:rsid w:val="00EC54FA"/>
    <w:rsid w:val="00EC6C9A"/>
    <w:rsid w:val="00EC7981"/>
    <w:rsid w:val="00EC7B55"/>
    <w:rsid w:val="00ED0B4F"/>
    <w:rsid w:val="00ED2E52"/>
    <w:rsid w:val="00ED4183"/>
    <w:rsid w:val="00ED4A75"/>
    <w:rsid w:val="00ED5A23"/>
    <w:rsid w:val="00ED648C"/>
    <w:rsid w:val="00ED651F"/>
    <w:rsid w:val="00ED6551"/>
    <w:rsid w:val="00ED690D"/>
    <w:rsid w:val="00EE0019"/>
    <w:rsid w:val="00EE0125"/>
    <w:rsid w:val="00EE016B"/>
    <w:rsid w:val="00EE0264"/>
    <w:rsid w:val="00EE04AD"/>
    <w:rsid w:val="00EE236C"/>
    <w:rsid w:val="00EE2B06"/>
    <w:rsid w:val="00EE2E35"/>
    <w:rsid w:val="00EE32C3"/>
    <w:rsid w:val="00EE4142"/>
    <w:rsid w:val="00EE56F9"/>
    <w:rsid w:val="00EE7B4C"/>
    <w:rsid w:val="00EF00C1"/>
    <w:rsid w:val="00EF136F"/>
    <w:rsid w:val="00EF186C"/>
    <w:rsid w:val="00EF2617"/>
    <w:rsid w:val="00EF3404"/>
    <w:rsid w:val="00EF4506"/>
    <w:rsid w:val="00EF7789"/>
    <w:rsid w:val="00EF7A20"/>
    <w:rsid w:val="00EF7D62"/>
    <w:rsid w:val="00EF7E3F"/>
    <w:rsid w:val="00F022F9"/>
    <w:rsid w:val="00F029AD"/>
    <w:rsid w:val="00F03136"/>
    <w:rsid w:val="00F03512"/>
    <w:rsid w:val="00F03916"/>
    <w:rsid w:val="00F04B29"/>
    <w:rsid w:val="00F073C9"/>
    <w:rsid w:val="00F10775"/>
    <w:rsid w:val="00F112EB"/>
    <w:rsid w:val="00F1279B"/>
    <w:rsid w:val="00F129E8"/>
    <w:rsid w:val="00F12BDF"/>
    <w:rsid w:val="00F13513"/>
    <w:rsid w:val="00F152A1"/>
    <w:rsid w:val="00F155DF"/>
    <w:rsid w:val="00F159AF"/>
    <w:rsid w:val="00F15D2F"/>
    <w:rsid w:val="00F16704"/>
    <w:rsid w:val="00F16B85"/>
    <w:rsid w:val="00F2244C"/>
    <w:rsid w:val="00F2375E"/>
    <w:rsid w:val="00F23DC5"/>
    <w:rsid w:val="00F257AF"/>
    <w:rsid w:val="00F25C4A"/>
    <w:rsid w:val="00F26784"/>
    <w:rsid w:val="00F26E25"/>
    <w:rsid w:val="00F27BD4"/>
    <w:rsid w:val="00F30872"/>
    <w:rsid w:val="00F308C8"/>
    <w:rsid w:val="00F30CF7"/>
    <w:rsid w:val="00F312CA"/>
    <w:rsid w:val="00F337A4"/>
    <w:rsid w:val="00F33C06"/>
    <w:rsid w:val="00F33FA8"/>
    <w:rsid w:val="00F3448B"/>
    <w:rsid w:val="00F3482E"/>
    <w:rsid w:val="00F3515A"/>
    <w:rsid w:val="00F356D5"/>
    <w:rsid w:val="00F36744"/>
    <w:rsid w:val="00F371DF"/>
    <w:rsid w:val="00F436B0"/>
    <w:rsid w:val="00F44556"/>
    <w:rsid w:val="00F45242"/>
    <w:rsid w:val="00F47B99"/>
    <w:rsid w:val="00F50390"/>
    <w:rsid w:val="00F50429"/>
    <w:rsid w:val="00F51861"/>
    <w:rsid w:val="00F51881"/>
    <w:rsid w:val="00F52263"/>
    <w:rsid w:val="00F52A09"/>
    <w:rsid w:val="00F532BE"/>
    <w:rsid w:val="00F534FA"/>
    <w:rsid w:val="00F5417D"/>
    <w:rsid w:val="00F5549F"/>
    <w:rsid w:val="00F56054"/>
    <w:rsid w:val="00F560E6"/>
    <w:rsid w:val="00F564D0"/>
    <w:rsid w:val="00F570AA"/>
    <w:rsid w:val="00F57702"/>
    <w:rsid w:val="00F60FFD"/>
    <w:rsid w:val="00F61FCA"/>
    <w:rsid w:val="00F6435E"/>
    <w:rsid w:val="00F65C55"/>
    <w:rsid w:val="00F66D0B"/>
    <w:rsid w:val="00F66EC0"/>
    <w:rsid w:val="00F70C59"/>
    <w:rsid w:val="00F7120E"/>
    <w:rsid w:val="00F71BEF"/>
    <w:rsid w:val="00F71E0B"/>
    <w:rsid w:val="00F72092"/>
    <w:rsid w:val="00F725B1"/>
    <w:rsid w:val="00F72775"/>
    <w:rsid w:val="00F72B50"/>
    <w:rsid w:val="00F73D02"/>
    <w:rsid w:val="00F742EE"/>
    <w:rsid w:val="00F749CD"/>
    <w:rsid w:val="00F760F8"/>
    <w:rsid w:val="00F76825"/>
    <w:rsid w:val="00F76A48"/>
    <w:rsid w:val="00F772D4"/>
    <w:rsid w:val="00F7742B"/>
    <w:rsid w:val="00F7782B"/>
    <w:rsid w:val="00F7799C"/>
    <w:rsid w:val="00F77FC8"/>
    <w:rsid w:val="00F811B5"/>
    <w:rsid w:val="00F813A2"/>
    <w:rsid w:val="00F819DD"/>
    <w:rsid w:val="00F81FF3"/>
    <w:rsid w:val="00F82055"/>
    <w:rsid w:val="00F82F08"/>
    <w:rsid w:val="00F83B89"/>
    <w:rsid w:val="00F83D5D"/>
    <w:rsid w:val="00F86A59"/>
    <w:rsid w:val="00F87FC7"/>
    <w:rsid w:val="00F90701"/>
    <w:rsid w:val="00F91037"/>
    <w:rsid w:val="00F92375"/>
    <w:rsid w:val="00F9260A"/>
    <w:rsid w:val="00F928E2"/>
    <w:rsid w:val="00F94381"/>
    <w:rsid w:val="00F95565"/>
    <w:rsid w:val="00F95C16"/>
    <w:rsid w:val="00F971D7"/>
    <w:rsid w:val="00F97A38"/>
    <w:rsid w:val="00FA0026"/>
    <w:rsid w:val="00FA0060"/>
    <w:rsid w:val="00FA01C1"/>
    <w:rsid w:val="00FA0DC6"/>
    <w:rsid w:val="00FA1C1A"/>
    <w:rsid w:val="00FA237F"/>
    <w:rsid w:val="00FA23F6"/>
    <w:rsid w:val="00FA470A"/>
    <w:rsid w:val="00FA4C8A"/>
    <w:rsid w:val="00FA4FBC"/>
    <w:rsid w:val="00FA536A"/>
    <w:rsid w:val="00FA6606"/>
    <w:rsid w:val="00FA7975"/>
    <w:rsid w:val="00FB14BF"/>
    <w:rsid w:val="00FB1675"/>
    <w:rsid w:val="00FB1FF6"/>
    <w:rsid w:val="00FB27CC"/>
    <w:rsid w:val="00FB3CE1"/>
    <w:rsid w:val="00FB41B9"/>
    <w:rsid w:val="00FB4467"/>
    <w:rsid w:val="00FB50F9"/>
    <w:rsid w:val="00FB6880"/>
    <w:rsid w:val="00FB6F97"/>
    <w:rsid w:val="00FC0B3F"/>
    <w:rsid w:val="00FC0E4A"/>
    <w:rsid w:val="00FC0F0C"/>
    <w:rsid w:val="00FC14EA"/>
    <w:rsid w:val="00FC1DE9"/>
    <w:rsid w:val="00FC209F"/>
    <w:rsid w:val="00FC2409"/>
    <w:rsid w:val="00FC25AE"/>
    <w:rsid w:val="00FC4A67"/>
    <w:rsid w:val="00FC4E19"/>
    <w:rsid w:val="00FC52D1"/>
    <w:rsid w:val="00FC5664"/>
    <w:rsid w:val="00FC623E"/>
    <w:rsid w:val="00FC62D2"/>
    <w:rsid w:val="00FD12D0"/>
    <w:rsid w:val="00FD2B2A"/>
    <w:rsid w:val="00FD3DC0"/>
    <w:rsid w:val="00FD3FE9"/>
    <w:rsid w:val="00FD648D"/>
    <w:rsid w:val="00FD6B2E"/>
    <w:rsid w:val="00FE18D1"/>
    <w:rsid w:val="00FE32C6"/>
    <w:rsid w:val="00FE3AFC"/>
    <w:rsid w:val="00FE3FE7"/>
    <w:rsid w:val="00FE475F"/>
    <w:rsid w:val="00FE5B4A"/>
    <w:rsid w:val="00FE691A"/>
    <w:rsid w:val="00FE7BB7"/>
    <w:rsid w:val="00FE7D6D"/>
    <w:rsid w:val="00FF001D"/>
    <w:rsid w:val="00FF129E"/>
    <w:rsid w:val="00FF227C"/>
    <w:rsid w:val="00FF2D98"/>
    <w:rsid w:val="00FF342C"/>
    <w:rsid w:val="00FF36EB"/>
    <w:rsid w:val="00FF3CE2"/>
    <w:rsid w:val="00FF45FB"/>
    <w:rsid w:val="00FF538D"/>
    <w:rsid w:val="00FF751F"/>
    <w:rsid w:val="00FF7822"/>
    <w:rsid w:val="00FF7B11"/>
    <w:rsid w:val="00FF7D42"/>
    <w:rsid w:val="0572D457"/>
    <w:rsid w:val="13D29E9D"/>
    <w:rsid w:val="2181CCDA"/>
    <w:rsid w:val="224E4834"/>
    <w:rsid w:val="285A22C5"/>
    <w:rsid w:val="2E220BF6"/>
    <w:rsid w:val="2F67F16D"/>
    <w:rsid w:val="3066BEA6"/>
    <w:rsid w:val="33E7DE4B"/>
    <w:rsid w:val="3624536E"/>
    <w:rsid w:val="37C73DE9"/>
    <w:rsid w:val="53D6F538"/>
    <w:rsid w:val="5B8F2973"/>
    <w:rsid w:val="611B8F42"/>
    <w:rsid w:val="734496B7"/>
    <w:rsid w:val="7A73479E"/>
    <w:rsid w:val="7A899A4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301C5"/>
    <w:rPr>
      <w:sz w:val="20"/>
      <w:szCs w:val="20"/>
    </w:rPr>
  </w:style>
  <w:style w:type="character" w:customStyle="1" w:styleId="FootnoteTextChar">
    <w:name w:val="Footnote Text Char"/>
    <w:basedOn w:val="DefaultParagraphFont"/>
    <w:link w:val="FootnoteText"/>
    <w:uiPriority w:val="99"/>
    <w:semiHidden/>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semiHidden/>
    <w:unhideWhenUsed/>
    <w:rsid w:val="00753C33"/>
    <w:rPr>
      <w:sz w:val="20"/>
      <w:szCs w:val="20"/>
    </w:rPr>
  </w:style>
  <w:style w:type="character" w:customStyle="1" w:styleId="CommentTextChar">
    <w:name w:val="Comment Text Char"/>
    <w:basedOn w:val="DefaultParagraphFont"/>
    <w:link w:val="CommentText"/>
    <w:uiPriority w:val="99"/>
    <w:semiHidden/>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st1">
    <w:name w:val="st1"/>
    <w:basedOn w:val="DefaultParagraphFont"/>
    <w:rsid w:val="00720F58"/>
  </w:style>
  <w:style w:type="paragraph" w:styleId="EndnoteText">
    <w:name w:val="endnote text"/>
    <w:basedOn w:val="Normal"/>
    <w:link w:val="EndnoteTextChar"/>
    <w:uiPriority w:val="99"/>
    <w:semiHidden/>
    <w:unhideWhenUsed/>
    <w:rsid w:val="004C2447"/>
    <w:rPr>
      <w:sz w:val="20"/>
      <w:szCs w:val="20"/>
    </w:rPr>
  </w:style>
  <w:style w:type="character" w:customStyle="1" w:styleId="EndnoteTextChar">
    <w:name w:val="Endnote Text Char"/>
    <w:basedOn w:val="DefaultParagraphFont"/>
    <w:link w:val="EndnoteText"/>
    <w:uiPriority w:val="99"/>
    <w:semiHidden/>
    <w:rsid w:val="004C2447"/>
    <w:rPr>
      <w:rFonts w:ascii="Verdana" w:eastAsia="Verdana" w:hAnsi="Verdana" w:cs="Verdana"/>
      <w:sz w:val="20"/>
      <w:szCs w:val="20"/>
    </w:rPr>
  </w:style>
  <w:style w:type="character" w:styleId="EndnoteReference">
    <w:name w:val="endnote reference"/>
    <w:basedOn w:val="DefaultParagraphFont"/>
    <w:uiPriority w:val="99"/>
    <w:semiHidden/>
    <w:unhideWhenUsed/>
    <w:rsid w:val="004C2447"/>
    <w:rPr>
      <w:vertAlign w:val="superscript"/>
    </w:rPr>
  </w:style>
  <w:style w:type="character" w:customStyle="1" w:styleId="normaltextrun">
    <w:name w:val="normaltextrun"/>
    <w:basedOn w:val="DefaultParagraphFont"/>
    <w:rsid w:val="00D11948"/>
  </w:style>
  <w:style w:type="character" w:customStyle="1" w:styleId="jlqj4b">
    <w:name w:val="jlqj4b"/>
    <w:basedOn w:val="DefaultParagraphFont"/>
    <w:rsid w:val="0064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476">
      <w:bodyDiv w:val="1"/>
      <w:marLeft w:val="0"/>
      <w:marRight w:val="0"/>
      <w:marTop w:val="0"/>
      <w:marBottom w:val="0"/>
      <w:divBdr>
        <w:top w:val="none" w:sz="0" w:space="0" w:color="auto"/>
        <w:left w:val="none" w:sz="0" w:space="0" w:color="auto"/>
        <w:bottom w:val="none" w:sz="0" w:space="0" w:color="auto"/>
        <w:right w:val="none" w:sz="0" w:space="0" w:color="auto"/>
      </w:divBdr>
      <w:divsChild>
        <w:div w:id="1489248732">
          <w:marLeft w:val="0"/>
          <w:marRight w:val="0"/>
          <w:marTop w:val="0"/>
          <w:marBottom w:val="0"/>
          <w:divBdr>
            <w:top w:val="none" w:sz="0" w:space="0" w:color="auto"/>
            <w:left w:val="none" w:sz="0" w:space="0" w:color="auto"/>
            <w:bottom w:val="none" w:sz="0" w:space="0" w:color="auto"/>
            <w:right w:val="none" w:sz="0" w:space="0" w:color="auto"/>
          </w:divBdr>
          <w:divsChild>
            <w:div w:id="1076972695">
              <w:marLeft w:val="0"/>
              <w:marRight w:val="0"/>
              <w:marTop w:val="0"/>
              <w:marBottom w:val="0"/>
              <w:divBdr>
                <w:top w:val="none" w:sz="0" w:space="0" w:color="auto"/>
                <w:left w:val="none" w:sz="0" w:space="0" w:color="auto"/>
                <w:bottom w:val="none" w:sz="0" w:space="0" w:color="auto"/>
                <w:right w:val="none" w:sz="0" w:space="0" w:color="auto"/>
              </w:divBdr>
              <w:divsChild>
                <w:div w:id="653219004">
                  <w:marLeft w:val="0"/>
                  <w:marRight w:val="0"/>
                  <w:marTop w:val="0"/>
                  <w:marBottom w:val="0"/>
                  <w:divBdr>
                    <w:top w:val="none" w:sz="0" w:space="0" w:color="auto"/>
                    <w:left w:val="none" w:sz="0" w:space="0" w:color="auto"/>
                    <w:bottom w:val="none" w:sz="0" w:space="0" w:color="auto"/>
                    <w:right w:val="none" w:sz="0" w:space="0" w:color="auto"/>
                  </w:divBdr>
                  <w:divsChild>
                    <w:div w:id="1437940127">
                      <w:marLeft w:val="0"/>
                      <w:marRight w:val="0"/>
                      <w:marTop w:val="0"/>
                      <w:marBottom w:val="0"/>
                      <w:divBdr>
                        <w:top w:val="none" w:sz="0" w:space="0" w:color="auto"/>
                        <w:left w:val="none" w:sz="0" w:space="0" w:color="auto"/>
                        <w:bottom w:val="none" w:sz="0" w:space="0" w:color="auto"/>
                        <w:right w:val="none" w:sz="0" w:space="0" w:color="auto"/>
                      </w:divBdr>
                      <w:divsChild>
                        <w:div w:id="8480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83770">
      <w:bodyDiv w:val="1"/>
      <w:marLeft w:val="0"/>
      <w:marRight w:val="0"/>
      <w:marTop w:val="0"/>
      <w:marBottom w:val="0"/>
      <w:divBdr>
        <w:top w:val="none" w:sz="0" w:space="0" w:color="auto"/>
        <w:left w:val="none" w:sz="0" w:space="0" w:color="auto"/>
        <w:bottom w:val="none" w:sz="0" w:space="0" w:color="auto"/>
        <w:right w:val="none" w:sz="0" w:space="0" w:color="auto"/>
      </w:divBdr>
    </w:div>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96145909">
      <w:bodyDiv w:val="1"/>
      <w:marLeft w:val="0"/>
      <w:marRight w:val="0"/>
      <w:marTop w:val="0"/>
      <w:marBottom w:val="0"/>
      <w:divBdr>
        <w:top w:val="none" w:sz="0" w:space="0" w:color="auto"/>
        <w:left w:val="none" w:sz="0" w:space="0" w:color="auto"/>
        <w:bottom w:val="none" w:sz="0" w:space="0" w:color="auto"/>
        <w:right w:val="none" w:sz="0" w:space="0" w:color="auto"/>
      </w:divBdr>
    </w:div>
    <w:div w:id="117913877">
      <w:bodyDiv w:val="1"/>
      <w:marLeft w:val="0"/>
      <w:marRight w:val="0"/>
      <w:marTop w:val="0"/>
      <w:marBottom w:val="0"/>
      <w:divBdr>
        <w:top w:val="none" w:sz="0" w:space="0" w:color="auto"/>
        <w:left w:val="none" w:sz="0" w:space="0" w:color="auto"/>
        <w:bottom w:val="none" w:sz="0" w:space="0" w:color="auto"/>
        <w:right w:val="none" w:sz="0" w:space="0" w:color="auto"/>
      </w:divBdr>
    </w:div>
    <w:div w:id="125513094">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302851100">
      <w:bodyDiv w:val="1"/>
      <w:marLeft w:val="0"/>
      <w:marRight w:val="0"/>
      <w:marTop w:val="0"/>
      <w:marBottom w:val="0"/>
      <w:divBdr>
        <w:top w:val="none" w:sz="0" w:space="0" w:color="auto"/>
        <w:left w:val="none" w:sz="0" w:space="0" w:color="auto"/>
        <w:bottom w:val="none" w:sz="0" w:space="0" w:color="auto"/>
        <w:right w:val="none" w:sz="0" w:space="0" w:color="auto"/>
      </w:divBdr>
    </w:div>
    <w:div w:id="360665669">
      <w:bodyDiv w:val="1"/>
      <w:marLeft w:val="0"/>
      <w:marRight w:val="0"/>
      <w:marTop w:val="0"/>
      <w:marBottom w:val="0"/>
      <w:divBdr>
        <w:top w:val="none" w:sz="0" w:space="0" w:color="auto"/>
        <w:left w:val="none" w:sz="0" w:space="0" w:color="auto"/>
        <w:bottom w:val="none" w:sz="0" w:space="0" w:color="auto"/>
        <w:right w:val="none" w:sz="0" w:space="0" w:color="auto"/>
      </w:divBdr>
    </w:div>
    <w:div w:id="444275661">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619728311">
      <w:bodyDiv w:val="1"/>
      <w:marLeft w:val="0"/>
      <w:marRight w:val="0"/>
      <w:marTop w:val="0"/>
      <w:marBottom w:val="0"/>
      <w:divBdr>
        <w:top w:val="none" w:sz="0" w:space="0" w:color="auto"/>
        <w:left w:val="none" w:sz="0" w:space="0" w:color="auto"/>
        <w:bottom w:val="none" w:sz="0" w:space="0" w:color="auto"/>
        <w:right w:val="none" w:sz="0" w:space="0" w:color="auto"/>
      </w:divBdr>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07317">
      <w:bodyDiv w:val="1"/>
      <w:marLeft w:val="0"/>
      <w:marRight w:val="0"/>
      <w:marTop w:val="0"/>
      <w:marBottom w:val="0"/>
      <w:divBdr>
        <w:top w:val="none" w:sz="0" w:space="0" w:color="auto"/>
        <w:left w:val="none" w:sz="0" w:space="0" w:color="auto"/>
        <w:bottom w:val="none" w:sz="0" w:space="0" w:color="auto"/>
        <w:right w:val="none" w:sz="0" w:space="0" w:color="auto"/>
      </w:divBdr>
    </w:div>
    <w:div w:id="893468797">
      <w:bodyDiv w:val="1"/>
      <w:marLeft w:val="0"/>
      <w:marRight w:val="0"/>
      <w:marTop w:val="0"/>
      <w:marBottom w:val="0"/>
      <w:divBdr>
        <w:top w:val="none" w:sz="0" w:space="0" w:color="auto"/>
        <w:left w:val="none" w:sz="0" w:space="0" w:color="auto"/>
        <w:bottom w:val="none" w:sz="0" w:space="0" w:color="auto"/>
        <w:right w:val="none" w:sz="0" w:space="0" w:color="auto"/>
      </w:divBdr>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25771347">
      <w:bodyDiv w:val="1"/>
      <w:marLeft w:val="0"/>
      <w:marRight w:val="0"/>
      <w:marTop w:val="0"/>
      <w:marBottom w:val="0"/>
      <w:divBdr>
        <w:top w:val="none" w:sz="0" w:space="0" w:color="auto"/>
        <w:left w:val="none" w:sz="0" w:space="0" w:color="auto"/>
        <w:bottom w:val="none" w:sz="0" w:space="0" w:color="auto"/>
        <w:right w:val="none" w:sz="0" w:space="0" w:color="auto"/>
      </w:divBdr>
      <w:divsChild>
        <w:div w:id="780683414">
          <w:marLeft w:val="0"/>
          <w:marRight w:val="0"/>
          <w:marTop w:val="0"/>
          <w:marBottom w:val="0"/>
          <w:divBdr>
            <w:top w:val="none" w:sz="0" w:space="0" w:color="auto"/>
            <w:left w:val="none" w:sz="0" w:space="0" w:color="auto"/>
            <w:bottom w:val="none" w:sz="0" w:space="0" w:color="auto"/>
            <w:right w:val="none" w:sz="0" w:space="0" w:color="auto"/>
          </w:divBdr>
          <w:divsChild>
            <w:div w:id="297761011">
              <w:marLeft w:val="0"/>
              <w:marRight w:val="0"/>
              <w:marTop w:val="0"/>
              <w:marBottom w:val="0"/>
              <w:divBdr>
                <w:top w:val="none" w:sz="0" w:space="0" w:color="auto"/>
                <w:left w:val="none" w:sz="0" w:space="0" w:color="auto"/>
                <w:bottom w:val="none" w:sz="0" w:space="0" w:color="auto"/>
                <w:right w:val="none" w:sz="0" w:space="0" w:color="auto"/>
              </w:divBdr>
              <w:divsChild>
                <w:div w:id="1973510258">
                  <w:marLeft w:val="0"/>
                  <w:marRight w:val="0"/>
                  <w:marTop w:val="0"/>
                  <w:marBottom w:val="0"/>
                  <w:divBdr>
                    <w:top w:val="none" w:sz="0" w:space="0" w:color="auto"/>
                    <w:left w:val="none" w:sz="0" w:space="0" w:color="auto"/>
                    <w:bottom w:val="none" w:sz="0" w:space="0" w:color="auto"/>
                    <w:right w:val="none" w:sz="0" w:space="0" w:color="auto"/>
                  </w:divBdr>
                  <w:divsChild>
                    <w:div w:id="80563625">
                      <w:marLeft w:val="0"/>
                      <w:marRight w:val="0"/>
                      <w:marTop w:val="0"/>
                      <w:marBottom w:val="0"/>
                      <w:divBdr>
                        <w:top w:val="none" w:sz="0" w:space="0" w:color="auto"/>
                        <w:left w:val="none" w:sz="0" w:space="0" w:color="auto"/>
                        <w:bottom w:val="none" w:sz="0" w:space="0" w:color="auto"/>
                        <w:right w:val="none" w:sz="0" w:space="0" w:color="auto"/>
                      </w:divBdr>
                      <w:divsChild>
                        <w:div w:id="524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76841761">
      <w:bodyDiv w:val="1"/>
      <w:marLeft w:val="0"/>
      <w:marRight w:val="0"/>
      <w:marTop w:val="0"/>
      <w:marBottom w:val="0"/>
      <w:divBdr>
        <w:top w:val="none" w:sz="0" w:space="0" w:color="auto"/>
        <w:left w:val="none" w:sz="0" w:space="0" w:color="auto"/>
        <w:bottom w:val="none" w:sz="0" w:space="0" w:color="auto"/>
        <w:right w:val="none" w:sz="0" w:space="0" w:color="auto"/>
      </w:divBdr>
    </w:div>
    <w:div w:id="986975158">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09983433">
      <w:bodyDiv w:val="1"/>
      <w:marLeft w:val="0"/>
      <w:marRight w:val="0"/>
      <w:marTop w:val="0"/>
      <w:marBottom w:val="0"/>
      <w:divBdr>
        <w:top w:val="none" w:sz="0" w:space="0" w:color="auto"/>
        <w:left w:val="none" w:sz="0" w:space="0" w:color="auto"/>
        <w:bottom w:val="none" w:sz="0" w:space="0" w:color="auto"/>
        <w:right w:val="none" w:sz="0" w:space="0" w:color="auto"/>
      </w:divBdr>
    </w:div>
    <w:div w:id="1032538414">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074816653">
      <w:bodyDiv w:val="1"/>
      <w:marLeft w:val="0"/>
      <w:marRight w:val="0"/>
      <w:marTop w:val="0"/>
      <w:marBottom w:val="0"/>
      <w:divBdr>
        <w:top w:val="none" w:sz="0" w:space="0" w:color="auto"/>
        <w:left w:val="none" w:sz="0" w:space="0" w:color="auto"/>
        <w:bottom w:val="none" w:sz="0" w:space="0" w:color="auto"/>
        <w:right w:val="none" w:sz="0" w:space="0" w:color="auto"/>
      </w:divBdr>
    </w:div>
    <w:div w:id="1223524164">
      <w:bodyDiv w:val="1"/>
      <w:marLeft w:val="0"/>
      <w:marRight w:val="0"/>
      <w:marTop w:val="0"/>
      <w:marBottom w:val="0"/>
      <w:divBdr>
        <w:top w:val="none" w:sz="0" w:space="0" w:color="auto"/>
        <w:left w:val="none" w:sz="0" w:space="0" w:color="auto"/>
        <w:bottom w:val="none" w:sz="0" w:space="0" w:color="auto"/>
        <w:right w:val="none" w:sz="0" w:space="0" w:color="auto"/>
      </w:divBdr>
    </w:div>
    <w:div w:id="1307852211">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81203565">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17240064">
      <w:bodyDiv w:val="1"/>
      <w:marLeft w:val="0"/>
      <w:marRight w:val="0"/>
      <w:marTop w:val="0"/>
      <w:marBottom w:val="0"/>
      <w:divBdr>
        <w:top w:val="none" w:sz="0" w:space="0" w:color="auto"/>
        <w:left w:val="none" w:sz="0" w:space="0" w:color="auto"/>
        <w:bottom w:val="none" w:sz="0" w:space="0" w:color="auto"/>
        <w:right w:val="none" w:sz="0" w:space="0" w:color="auto"/>
      </w:divBdr>
    </w:div>
    <w:div w:id="1439789860">
      <w:bodyDiv w:val="1"/>
      <w:marLeft w:val="0"/>
      <w:marRight w:val="0"/>
      <w:marTop w:val="0"/>
      <w:marBottom w:val="0"/>
      <w:divBdr>
        <w:top w:val="none" w:sz="0" w:space="0" w:color="auto"/>
        <w:left w:val="none" w:sz="0" w:space="0" w:color="auto"/>
        <w:bottom w:val="none" w:sz="0" w:space="0" w:color="auto"/>
        <w:right w:val="none" w:sz="0" w:space="0" w:color="auto"/>
      </w:divBdr>
    </w:div>
    <w:div w:id="1454710486">
      <w:bodyDiv w:val="1"/>
      <w:marLeft w:val="0"/>
      <w:marRight w:val="0"/>
      <w:marTop w:val="0"/>
      <w:marBottom w:val="0"/>
      <w:divBdr>
        <w:top w:val="none" w:sz="0" w:space="0" w:color="auto"/>
        <w:left w:val="none" w:sz="0" w:space="0" w:color="auto"/>
        <w:bottom w:val="none" w:sz="0" w:space="0" w:color="auto"/>
        <w:right w:val="none" w:sz="0" w:space="0" w:color="auto"/>
      </w:divBdr>
    </w:div>
    <w:div w:id="1459492435">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638719">
      <w:bodyDiv w:val="1"/>
      <w:marLeft w:val="0"/>
      <w:marRight w:val="0"/>
      <w:marTop w:val="0"/>
      <w:marBottom w:val="0"/>
      <w:divBdr>
        <w:top w:val="none" w:sz="0" w:space="0" w:color="auto"/>
        <w:left w:val="none" w:sz="0" w:space="0" w:color="auto"/>
        <w:bottom w:val="none" w:sz="0" w:space="0" w:color="auto"/>
        <w:right w:val="none" w:sz="0" w:space="0" w:color="auto"/>
      </w:divBdr>
    </w:div>
    <w:div w:id="1574926816">
      <w:bodyDiv w:val="1"/>
      <w:marLeft w:val="0"/>
      <w:marRight w:val="0"/>
      <w:marTop w:val="0"/>
      <w:marBottom w:val="0"/>
      <w:divBdr>
        <w:top w:val="none" w:sz="0" w:space="0" w:color="auto"/>
        <w:left w:val="none" w:sz="0" w:space="0" w:color="auto"/>
        <w:bottom w:val="none" w:sz="0" w:space="0" w:color="auto"/>
        <w:right w:val="none" w:sz="0" w:space="0" w:color="auto"/>
      </w:divBdr>
    </w:div>
    <w:div w:id="1601255189">
      <w:bodyDiv w:val="1"/>
      <w:marLeft w:val="0"/>
      <w:marRight w:val="0"/>
      <w:marTop w:val="0"/>
      <w:marBottom w:val="0"/>
      <w:divBdr>
        <w:top w:val="none" w:sz="0" w:space="0" w:color="auto"/>
        <w:left w:val="none" w:sz="0" w:space="0" w:color="auto"/>
        <w:bottom w:val="none" w:sz="0" w:space="0" w:color="auto"/>
        <w:right w:val="none" w:sz="0" w:space="0" w:color="auto"/>
      </w:divBdr>
    </w:div>
    <w:div w:id="1643004334">
      <w:bodyDiv w:val="1"/>
      <w:marLeft w:val="0"/>
      <w:marRight w:val="0"/>
      <w:marTop w:val="0"/>
      <w:marBottom w:val="0"/>
      <w:divBdr>
        <w:top w:val="none" w:sz="0" w:space="0" w:color="auto"/>
        <w:left w:val="none" w:sz="0" w:space="0" w:color="auto"/>
        <w:bottom w:val="none" w:sz="0" w:space="0" w:color="auto"/>
        <w:right w:val="none" w:sz="0" w:space="0" w:color="auto"/>
      </w:divBdr>
    </w:div>
    <w:div w:id="1651978936">
      <w:bodyDiv w:val="1"/>
      <w:marLeft w:val="0"/>
      <w:marRight w:val="0"/>
      <w:marTop w:val="0"/>
      <w:marBottom w:val="0"/>
      <w:divBdr>
        <w:top w:val="none" w:sz="0" w:space="0" w:color="auto"/>
        <w:left w:val="none" w:sz="0" w:space="0" w:color="auto"/>
        <w:bottom w:val="none" w:sz="0" w:space="0" w:color="auto"/>
        <w:right w:val="none" w:sz="0" w:space="0" w:color="auto"/>
      </w:divBdr>
    </w:div>
    <w:div w:id="1656186096">
      <w:bodyDiv w:val="1"/>
      <w:marLeft w:val="0"/>
      <w:marRight w:val="0"/>
      <w:marTop w:val="0"/>
      <w:marBottom w:val="0"/>
      <w:divBdr>
        <w:top w:val="none" w:sz="0" w:space="0" w:color="auto"/>
        <w:left w:val="none" w:sz="0" w:space="0" w:color="auto"/>
        <w:bottom w:val="none" w:sz="0" w:space="0" w:color="auto"/>
        <w:right w:val="none" w:sz="0" w:space="0" w:color="auto"/>
      </w:divBdr>
    </w:div>
    <w:div w:id="1661079465">
      <w:bodyDiv w:val="1"/>
      <w:marLeft w:val="0"/>
      <w:marRight w:val="0"/>
      <w:marTop w:val="0"/>
      <w:marBottom w:val="0"/>
      <w:divBdr>
        <w:top w:val="none" w:sz="0" w:space="0" w:color="auto"/>
        <w:left w:val="none" w:sz="0" w:space="0" w:color="auto"/>
        <w:bottom w:val="none" w:sz="0" w:space="0" w:color="auto"/>
        <w:right w:val="none" w:sz="0" w:space="0" w:color="auto"/>
      </w:divBdr>
    </w:div>
    <w:div w:id="1745032456">
      <w:bodyDiv w:val="1"/>
      <w:marLeft w:val="0"/>
      <w:marRight w:val="0"/>
      <w:marTop w:val="0"/>
      <w:marBottom w:val="0"/>
      <w:divBdr>
        <w:top w:val="none" w:sz="0" w:space="0" w:color="auto"/>
        <w:left w:val="none" w:sz="0" w:space="0" w:color="auto"/>
        <w:bottom w:val="none" w:sz="0" w:space="0" w:color="auto"/>
        <w:right w:val="none" w:sz="0" w:space="0" w:color="auto"/>
      </w:divBdr>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767461998">
      <w:bodyDiv w:val="1"/>
      <w:marLeft w:val="0"/>
      <w:marRight w:val="0"/>
      <w:marTop w:val="0"/>
      <w:marBottom w:val="0"/>
      <w:divBdr>
        <w:top w:val="none" w:sz="0" w:space="0" w:color="auto"/>
        <w:left w:val="none" w:sz="0" w:space="0" w:color="auto"/>
        <w:bottom w:val="none" w:sz="0" w:space="0" w:color="auto"/>
        <w:right w:val="none" w:sz="0" w:space="0" w:color="auto"/>
      </w:divBdr>
      <w:divsChild>
        <w:div w:id="17124747">
          <w:marLeft w:val="0"/>
          <w:marRight w:val="0"/>
          <w:marTop w:val="0"/>
          <w:marBottom w:val="0"/>
          <w:divBdr>
            <w:top w:val="none" w:sz="0" w:space="0" w:color="auto"/>
            <w:left w:val="none" w:sz="0" w:space="0" w:color="auto"/>
            <w:bottom w:val="single" w:sz="6" w:space="30" w:color="EEEEEE"/>
            <w:right w:val="none" w:sz="0" w:space="0" w:color="auto"/>
          </w:divBdr>
          <w:divsChild>
            <w:div w:id="1293440133">
              <w:marLeft w:val="0"/>
              <w:marRight w:val="0"/>
              <w:marTop w:val="0"/>
              <w:marBottom w:val="0"/>
              <w:divBdr>
                <w:top w:val="none" w:sz="0" w:space="0" w:color="auto"/>
                <w:left w:val="none" w:sz="0" w:space="0" w:color="auto"/>
                <w:bottom w:val="none" w:sz="0" w:space="0" w:color="auto"/>
                <w:right w:val="none" w:sz="0" w:space="0" w:color="auto"/>
              </w:divBdr>
              <w:divsChild>
                <w:div w:id="21101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79006">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70668">
      <w:bodyDiv w:val="1"/>
      <w:marLeft w:val="0"/>
      <w:marRight w:val="0"/>
      <w:marTop w:val="0"/>
      <w:marBottom w:val="0"/>
      <w:divBdr>
        <w:top w:val="none" w:sz="0" w:space="0" w:color="auto"/>
        <w:left w:val="none" w:sz="0" w:space="0" w:color="auto"/>
        <w:bottom w:val="none" w:sz="0" w:space="0" w:color="auto"/>
        <w:right w:val="none" w:sz="0" w:space="0" w:color="auto"/>
      </w:divBdr>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1988824979">
      <w:bodyDiv w:val="1"/>
      <w:marLeft w:val="0"/>
      <w:marRight w:val="0"/>
      <w:marTop w:val="0"/>
      <w:marBottom w:val="0"/>
      <w:divBdr>
        <w:top w:val="none" w:sz="0" w:space="0" w:color="auto"/>
        <w:left w:val="none" w:sz="0" w:space="0" w:color="auto"/>
        <w:bottom w:val="none" w:sz="0" w:space="0" w:color="auto"/>
        <w:right w:val="none" w:sz="0" w:space="0" w:color="auto"/>
      </w:divBdr>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19/june/tradoc_157912.pdf" TargetMode="External"/><Relationship Id="rId13" Type="http://schemas.openxmlformats.org/officeDocument/2006/relationships/hyperlink" Target="https://trade.ec.europa.eu/doclib/docs/2020/july/tradoc_158900.07.10%20public%20report%20virtual%20round.doc.pdf" TargetMode="External"/><Relationship Id="rId18" Type="http://schemas.openxmlformats.org/officeDocument/2006/relationships/hyperlink" Target="https://www.consilium.europa.eu/media/41182/st13066-en19.pdf" TargetMode="External"/><Relationship Id="rId26" Type="http://schemas.openxmlformats.org/officeDocument/2006/relationships/hyperlink" Target="https://ec.europa.eu/trade/policy/countries-and-regions/regions/mercosur/" TargetMode="External"/><Relationship Id="rId3" Type="http://schemas.openxmlformats.org/officeDocument/2006/relationships/hyperlink" Target="http://trade.ec.europa.eu/doclib/press/index.cfm?id=2016" TargetMode="External"/><Relationship Id="rId21" Type="http://schemas.openxmlformats.org/officeDocument/2006/relationships/hyperlink" Target="https://trade.ec.europa.eu/doclib/docs/2021/june/tradoc_159652.pdf" TargetMode="External"/><Relationship Id="rId7" Type="http://schemas.openxmlformats.org/officeDocument/2006/relationships/hyperlink" Target="http://trade.ec.europa.eu/doclib/press/index.cfm?id=1490" TargetMode="External"/><Relationship Id="rId12" Type="http://schemas.openxmlformats.org/officeDocument/2006/relationships/hyperlink" Target="http://trade.ec.europa.eu/doclib/docs/2017/march/tradoc_155435.pdf" TargetMode="External"/><Relationship Id="rId17" Type="http://schemas.openxmlformats.org/officeDocument/2006/relationships/hyperlink" Target="https://trade.ec.europa.eu/doclib/docs/2021/july/tradoc_159677.pdf" TargetMode="External"/><Relationship Id="rId25" Type="http://schemas.openxmlformats.org/officeDocument/2006/relationships/hyperlink" Target="https://trade.ec.europa.eu/doclib/docs/2021/may/tradoc_159588.pdf" TargetMode="External"/><Relationship Id="rId2" Type="http://schemas.openxmlformats.org/officeDocument/2006/relationships/hyperlink" Target="http://trade.ec.europa.eu/doclib/docs/2016/november/tradoc_155095.pdf" TargetMode="External"/><Relationship Id="rId16" Type="http://schemas.openxmlformats.org/officeDocument/2006/relationships/hyperlink" Target="http://trade.ec.europa.eu/doclib/docs/2017/april/tradoc_155507.pdf" TargetMode="External"/><Relationship Id="rId20" Type="http://schemas.openxmlformats.org/officeDocument/2006/relationships/hyperlink" Target="http://ec.europa.eu/transparency/regdoc/?fuseaction=list&amp;n=10&amp;adv=0&amp;coteId=1&amp;year=2017&amp;number=472" TargetMode="External"/><Relationship Id="rId1" Type="http://schemas.openxmlformats.org/officeDocument/2006/relationships/hyperlink" Target="http://data.consilium.europa.eu/doc/document/ST-6891-2013-ADD-1-DCL-1/en/pdf" TargetMode="External"/><Relationship Id="rId6" Type="http://schemas.openxmlformats.org/officeDocument/2006/relationships/hyperlink" Target="https://www.consilium.europa.eu/en/press/press-releases/2019/06/27/joint-declaration-by-the-european-union-and-the-kingdom-of-morocco-for-the-fourteenth-meeting-of-the-association-council" TargetMode="External"/><Relationship Id="rId11" Type="http://schemas.openxmlformats.org/officeDocument/2006/relationships/hyperlink" Target="https://www.rijksoverheid.nl/ministeries/ministerie-van-buitenlandse-zaken/documenten/kamerstukken/2021/02/12/kamerbrief-inzake-schriftelijke-inbreng-tbv-het-eu-china-investeringsakkoord" TargetMode="External"/><Relationship Id="rId24" Type="http://schemas.openxmlformats.org/officeDocument/2006/relationships/hyperlink" Target="http://ec.europa.eu/trade/policy/countries-and-regions/countries/chile/" TargetMode="External"/><Relationship Id="rId5" Type="http://schemas.openxmlformats.org/officeDocument/2006/relationships/hyperlink" Target="https://trade.ec.europa.eu/doclib/docs/2009/september/tradoc_144912.pdf" TargetMode="External"/><Relationship Id="rId15" Type="http://schemas.openxmlformats.org/officeDocument/2006/relationships/hyperlink" Target="https://eur-lex.europa.eu/legal-content/EN/TXT/?uri=CELEX:32016D0123" TargetMode="External"/><Relationship Id="rId23" Type="http://schemas.openxmlformats.org/officeDocument/2006/relationships/hyperlink" Target="https://trade.ec.europa.eu/doclib/docs/2021/july/tradoc_159741.pdf" TargetMode="External"/><Relationship Id="rId10" Type="http://schemas.openxmlformats.org/officeDocument/2006/relationships/hyperlink" Target="https://trade.ec.europa.eu/doclib/press/index.cfm?id=2237" TargetMode="External"/><Relationship Id="rId19" Type="http://schemas.openxmlformats.org/officeDocument/2006/relationships/hyperlink" Target="https://trade.ec.europa.eu/doclib/docs/2021/january/tradoc_159354.pdf" TargetMode="External"/><Relationship Id="rId4" Type="http://schemas.openxmlformats.org/officeDocument/2006/relationships/hyperlink" Target="https://ec.europa.eu/trade/policy/countries-and-regions/development/economic-partnerships/" TargetMode="External"/><Relationship Id="rId9" Type="http://schemas.openxmlformats.org/officeDocument/2006/relationships/hyperlink" Target="https://www.rijksoverheid.nl/ministeries/ministerie-van-buitenlandse-zaken/documenten/kamerstukken/2021/01/06/kamerbrief-inzake-eu-china-investeringsakkoord" TargetMode="External"/><Relationship Id="rId14" Type="http://schemas.openxmlformats.org/officeDocument/2006/relationships/hyperlink" Target="https://trade.ec.europa.eu/doclib/docs/2021/march/tradoc_159484.pdf" TargetMode="External"/><Relationship Id="rId22" Type="http://schemas.openxmlformats.org/officeDocument/2006/relationships/hyperlink" Target="http://ec.europa.eu/transparency/regdoc/?fuseaction=list&amp;n=10&amp;adv=0&amp;coteId=1&amp;year=2017&amp;number=469" TargetMode="External"/><Relationship Id="rId27" Type="http://schemas.openxmlformats.org/officeDocument/2006/relationships/hyperlink" Target="https://trade.ec.europa.eu/doclib/press/index.cfm?id=2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7173</ap:Words>
  <ap:Characters>39457</ap:Characters>
  <ap:DocSecurity>0</ap:DocSecurity>
  <ap:Lines>328</ap:Lines>
  <ap:Paragraphs>93</ap:Paragraphs>
  <ap:ScaleCrop>false</ap:ScaleCrop>
  <ap:HeadingPairs>
    <vt:vector baseType="variant" size="2">
      <vt:variant>
        <vt:lpstr>Title</vt:lpstr>
      </vt:variant>
      <vt:variant>
        <vt:i4>1</vt:i4>
      </vt:variant>
    </vt:vector>
  </ap:HeadingPairs>
  <ap:TitlesOfParts>
    <vt:vector baseType="lpstr" size="1">
      <vt:lpstr>Voortgangsrapportage handelsakkoorden september 2020</vt:lpstr>
    </vt:vector>
  </ap:TitlesOfParts>
  <ap:LinksUpToDate>false</ap:LinksUpToDate>
  <ap:CharactersWithSpaces>46537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2021-10-14T10:10:00.0000000Z</dcterms:created>
  <dcterms:modified xsi:type="dcterms:W3CDTF">2021-10-27T07:59:00.0000000Z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0x0101009FFE7A2FBA144D4699EC54818DF680F200A544CFD43AF39745B55C27329BDBD78B</vt:lpwstr>
  </property>
  <property fmtid="{D5CDD505-2E9C-101B-9397-08002B2CF9AE}" pid="6" name="BZ_Forum">
    <vt:lpwstr>3;#RBZ|9ab59c09-4fde-4d79-aca5-202222d30e08</vt:lpwstr>
  </property>
  <property fmtid="{D5CDD505-2E9C-101B-9397-08002B2CF9AE}" pid="7" name="BZ_Country">
    <vt:lpwstr>2;#Not applicable|ec01d90b-9d0f-4785-8785-e1ea615196bf</vt:lpwstr>
  </property>
  <property fmtid="{D5CDD505-2E9C-101B-9397-08002B2CF9AE}" pid="8" name="BZ_Theme">
    <vt:lpwstr>1;#Trade policy|b9fa3ffc-5597-4a84-a9df-28e6349298d4</vt:lpwstr>
  </property>
  <property fmtid="{D5CDD505-2E9C-101B-9397-08002B2CF9AE}" pid="9" name="BZ_Classification">
    <vt:lpwstr>5;#Unclassified|d92c6340-bc14-4cb2-a9a6-6deda93c493b</vt:lpwstr>
  </property>
  <property fmtid="{D5CDD505-2E9C-101B-9397-08002B2CF9AE}" pid="10" name="_dlc_DocIdItemGuid">
    <vt:lpwstr>5ab93e91-5e0d-4d11-b6c5-7e65f4f19bf1</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y fmtid="{D5CDD505-2E9C-101B-9397-08002B2CF9AE}" pid="14" name="IsMyDocuments">
    <vt:bool>true</vt:bool>
  </property>
  <property fmtid="{D5CDD505-2E9C-101B-9397-08002B2CF9AE}" pid="15" name="Land0">
    <vt:lpwstr/>
  </property>
  <property fmtid="{D5CDD505-2E9C-101B-9397-08002B2CF9AE}" pid="16" name="Forum">
    <vt:lpwstr/>
  </property>
</Properties>
</file>