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W06.21.0108/III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juni 2021</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E6C27" w:rsidRDefault="009F1E07">
              <w:r>
                <w:t>Bij Kabinetsmissive van 16 april 2021, no.2021000770, heeft Uwe Majesteit, op voordracht van de Minister van Financiën, mede namens de Minister van Sociale Zaken en Werkgelegenheid, bij de Afdeling advisering van de Raad van State ter overweging aanhangig gemaakt het voorstel van wet tot wijziging van de Wet op het financieel toezicht, de Wet bekostiging financieel toezicht 2019 en enige andere wetten op het terrein van de financiële markten (Wijzigingswet financiële markten 2022), met memorie van toelichting.</w:t>
              </w:r>
            </w:p>
          </w:sdtContent>
        </w:sdt>
        <w:p w:rsidRPr="00831363" w:rsidR="00CE4655" w:rsidP="003C7608" w:rsidRDefault="00CE4655"/>
        <w:sdt>
          <w:sdtPr>
            <w:alias w:val="VrijeTekst1"/>
            <w:tag w:val="VrijeTekst1"/>
            <w:id w:val="-437221631"/>
            <w:lock w:val="sdtLocked"/>
          </w:sdtPr>
          <w:sdtEndPr/>
          <w:sdtContent>
            <w:p w:rsidR="00D107AA" w:rsidP="00D107AA" w:rsidRDefault="009F1E07">
              <w:r>
                <w:t>Het wetsvoorstel bevat diverse wijzigingen van de Wet op het financieel toezicht (Wft) en enige andere wetten.</w:t>
              </w:r>
            </w:p>
            <w:p w:rsidR="00D107AA" w:rsidP="00D107AA" w:rsidRDefault="00CC43BF"/>
            <w:p w:rsidR="00D107AA" w:rsidP="00D107AA" w:rsidRDefault="009F1E07">
              <w:r>
                <w:t>De Afdeling advisering van de Raad van State adviseert het wetsvoorstel aan de Tweede Kamer te zenden maar maakt een opmerking over de wijzigingen die betrekking hebben op v</w:t>
              </w:r>
              <w:r w:rsidRPr="00D107AA">
                <w:t xml:space="preserve">ermogensscheiding </w:t>
              </w:r>
              <w:r>
                <w:t>via</w:t>
              </w:r>
              <w:r w:rsidRPr="00D107AA">
                <w:t xml:space="preserve"> een rekening met afgescheiden vermogen</w:t>
              </w:r>
              <w:r>
                <w:t xml:space="preserve">. </w:t>
              </w:r>
              <w:r w:rsidRPr="002D30B1">
                <w:t xml:space="preserve">In verband daarmee is aanpassing van </w:t>
              </w:r>
              <w:r>
                <w:t xml:space="preserve">de </w:t>
              </w:r>
              <w:r w:rsidRPr="002D30B1">
                <w:t>toelichting wenselijk.</w:t>
              </w:r>
            </w:p>
            <w:p w:rsidR="00D107AA" w:rsidP="00D107AA" w:rsidRDefault="00CC43BF"/>
            <w:p w:rsidR="00D107AA" w:rsidP="00FF035E" w:rsidRDefault="009F1E07">
              <w:pPr>
                <w:rPr>
                  <w:u w:val="single"/>
                </w:rPr>
              </w:pPr>
              <w:r w:rsidRPr="00D107AA">
                <w:t xml:space="preserve">1. </w:t>
              </w:r>
              <w:r w:rsidRPr="00D107AA">
                <w:tab/>
              </w:r>
              <w:r w:rsidRPr="00D107AA">
                <w:rPr>
                  <w:u w:val="single"/>
                </w:rPr>
                <w:t>Afgescheiden vermogen</w:t>
              </w:r>
            </w:p>
            <w:p w:rsidR="00555FE4" w:rsidP="00555FE4" w:rsidRDefault="00CC43BF"/>
            <w:p w:rsidR="00555FE4" w:rsidP="00FB2744" w:rsidRDefault="009F1E07">
              <w:r w:rsidRPr="00555FE4">
                <w:t>Op grond van</w:t>
              </w:r>
              <w:r>
                <w:t xml:space="preserve"> de </w:t>
              </w:r>
              <w:r w:rsidRPr="00555FE4">
                <w:t xml:space="preserve">Wft zijn </w:t>
              </w:r>
              <w:r>
                <w:t xml:space="preserve">bepaalde financiële ondernemingen </w:t>
              </w:r>
              <w:r w:rsidRPr="00555FE4">
                <w:t>verplicht de gelden die zij ontvangen</w:t>
              </w:r>
              <w:r>
                <w:t xml:space="preserve">, en </w:t>
              </w:r>
              <w:r w:rsidRPr="00555FE4">
                <w:t>die toekomen aan hun cliënten of derden</w:t>
              </w:r>
              <w:r>
                <w:t>, in</w:t>
              </w:r>
              <w:r w:rsidRPr="00555FE4">
                <w:t xml:space="preserve"> het</w:t>
              </w:r>
              <w:r>
                <w:t xml:space="preserve"> </w:t>
              </w:r>
              <w:r w:rsidRPr="00555FE4">
                <w:t>kader van hun dienstverlening veilig te stellen.</w:t>
              </w:r>
              <w:r>
                <w:rPr>
                  <w:rStyle w:val="Voetnootmarkering"/>
                </w:rPr>
                <w:footnoteReference w:id="1"/>
              </w:r>
              <w:r>
                <w:t xml:space="preserve"> In de praktijk gebeurt dit veelal met het gebruik van een aparte juridische entiteit (vaak een stichting derdengelden).</w:t>
              </w:r>
              <w:r>
                <w:rPr>
                  <w:rStyle w:val="Voetnootmarkering"/>
                </w:rPr>
                <w:footnoteReference w:id="2"/>
              </w:r>
              <w:r>
                <w:t xml:space="preserve"> Uit de toelichting blijkt dat het gebruik van zo’n </w:t>
              </w:r>
              <w:r>
                <w:rPr>
                  <w:sz w:val="23"/>
                  <w:szCs w:val="23"/>
                </w:rPr>
                <w:t xml:space="preserve">aparte juridische entiteit </w:t>
              </w:r>
              <w:r>
                <w:t>veelal tot verwarring leidt bij buitenlandse partijen.</w:t>
              </w:r>
            </w:p>
            <w:p w:rsidR="00555FE4" w:rsidP="00555FE4" w:rsidRDefault="00CC43BF"/>
            <w:p w:rsidR="00555FE4" w:rsidP="00555FE4" w:rsidRDefault="009F1E07">
              <w:r>
                <w:t xml:space="preserve">Met het wetsvoorstel wordt voor </w:t>
              </w:r>
              <w:r w:rsidRPr="009971F9">
                <w:t>afwikkelondernemingen, betaalinstellingen, elektronischgeldinstellingen (EGI’s) en beleggingsondernemingen</w:t>
              </w:r>
              <w:r>
                <w:t xml:space="preserve"> een nieuw instrument toegevoegd om de onder die ondernemingen gehouden middelen veilig te stellen, door een bij een bank aan te houden aparte rekening, zodat deze niet worden vermengd met het overige vermogen van de onderneming.</w:t>
              </w:r>
              <w:r>
                <w:rPr>
                  <w:rStyle w:val="Voetnootmarkering"/>
                </w:rPr>
                <w:footnoteReference w:id="3"/>
              </w:r>
              <w:r>
                <w:t xml:space="preserve"> Belangrijke voorziening in dit verband is, dat wordt voorzien in afwijking van de normale regels van het Burgerlijk Wetboek dat een schuldeiser zijn vordering op alle goederen van zijn schuldenaar kan verhalen. </w:t>
              </w:r>
              <w:r w:rsidRPr="00C64152">
                <w:t>Consultatiereacties zijn positief over deze voorgestelde wettelijke regeling</w:t>
              </w:r>
              <w:r>
                <w:t>,</w:t>
              </w:r>
              <w:r w:rsidRPr="00C64152">
                <w:t xml:space="preserve"> maar stellen de nodige vragen over de (technische) uitwerking</w:t>
              </w:r>
              <w:r w:rsidRPr="007A6DCC">
                <w:t>.</w:t>
              </w:r>
              <w:r>
                <w:rPr>
                  <w:rStyle w:val="Voetnootmarkering"/>
                </w:rPr>
                <w:footnoteReference w:id="4"/>
              </w:r>
              <w:r w:rsidRPr="007A6DCC">
                <w:t xml:space="preserve"> </w:t>
              </w:r>
            </w:p>
            <w:p w:rsidR="007A6DCC" w:rsidP="00555FE4" w:rsidRDefault="00CC43BF"/>
            <w:p w:rsidR="00F20094" w:rsidP="00FF035E" w:rsidRDefault="009F1E07">
              <w:r w:rsidRPr="00F368FF">
                <w:t>De Afdeling merkt op dat het voor de praktijk van groot belang is dat duidelijkheid bestaat over de regeling en de werking ervan</w:t>
              </w:r>
              <w:r>
                <w:t xml:space="preserve">. </w:t>
              </w:r>
              <w:r w:rsidRPr="00C64152">
                <w:t xml:space="preserve">De Afdeling wijst naar aanleiding van de consultatiereacties in het bijzonder op banken die elders in de Europese Unie zijn gevestigd en dergelijke rekeningen kunnen aanbieden. Het is niet zonneklaar hoe de </w:t>
              </w:r>
              <w:r w:rsidRPr="00C64152">
                <w:lastRenderedPageBreak/>
                <w:t>uitzondering op de</w:t>
              </w:r>
              <w:r>
                <w:t xml:space="preserve"> </w:t>
              </w:r>
              <w:r w:rsidRPr="00C64152">
                <w:t>normale verhaalsregels kan worden geëffectueerd</w:t>
              </w:r>
              <w:r>
                <w:t>.</w:t>
              </w:r>
              <w:r>
                <w:rPr>
                  <w:rStyle w:val="Voetnootmarkering"/>
                </w:rPr>
                <w:footnoteReference w:id="5"/>
              </w:r>
              <w:r>
                <w:t xml:space="preserve"> Op de buitenlandse betaalrekening zal immers veelal niet het Nederlandse Burgerlijk Wetboek van toepassing zijn, en in dat geval mist de voorgestelde afwijking van het Burgerlijk Wetboek effect.</w:t>
              </w:r>
              <w:r w:rsidRPr="002C3D25">
                <w:rPr>
                  <w:vertAlign w:val="superscript"/>
                </w:rPr>
                <w:footnoteReference w:id="6"/>
              </w:r>
              <w:r w:rsidRPr="002C3D25">
                <w:t xml:space="preserve"> </w:t>
              </w:r>
            </w:p>
            <w:p w:rsidR="00F20094" w:rsidP="00FF035E" w:rsidRDefault="00CC43BF"/>
            <w:p w:rsidR="0031089B" w:rsidP="00FF035E" w:rsidRDefault="009F1E07">
              <w:r w:rsidRPr="002C1C12">
                <w:t xml:space="preserve">De Afdeling adviseert in de toelichting nader </w:t>
              </w:r>
              <w:r>
                <w:t>op de werking van de regeling in te gaan. Daarbij dient in het bijzonder aandacht te worden besteed aan de werking</w:t>
              </w:r>
              <w:r w:rsidRPr="0055044C">
                <w:t xml:space="preserve"> </w:t>
              </w:r>
              <w:r>
                <w:t xml:space="preserve">van de voorgestelde regeling </w:t>
              </w:r>
              <w:r w:rsidRPr="0055044C">
                <w:t>indien een rekening bij een buitenlandse bank wordt aangehouden</w:t>
              </w:r>
              <w:r>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F1E07">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E6C27" w:rsidRDefault="009F1E0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W06.21.0108</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532B76" w:rsidRDefault="009F1E07">
              <w:pPr>
                <w:pStyle w:val="Lijstalinea"/>
                <w:numPr>
                  <w:ilvl w:val="0"/>
                  <w:numId w:val="2"/>
                </w:numPr>
              </w:pPr>
              <w:r>
                <w:t xml:space="preserve">In de toelichting bij artikel IV nader motiveren waarom is gekozen voor behoud van artikel 3.10, derde lid van de </w:t>
              </w:r>
              <w:r w:rsidRPr="007609FE">
                <w:t>Wet ter voorkoming van witwassen en financieren van terrorisme BES</w:t>
              </w:r>
              <w:r>
                <w:t xml:space="preserve"> in plaats van artikel 3.9a van diezelfde wet, nu deze verschillend zijn van elkaar.</w:t>
              </w:r>
            </w:p>
          </w:sdtContent>
        </w:sdt>
        <w:p w:rsidR="00C50D4F" w:rsidP="005841EA" w:rsidRDefault="00CC43BF">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E07" w:rsidRDefault="009F1E07" w:rsidP="005B3E03">
      <w:r>
        <w:separator/>
      </w:r>
    </w:p>
    <w:p w:rsidR="009F1E07" w:rsidRDefault="009F1E07"/>
  </w:endnote>
  <w:endnote w:type="continuationSeparator" w:id="0">
    <w:p w:rsidR="009F1E07" w:rsidRDefault="009F1E07" w:rsidP="005B3E03">
      <w:r>
        <w:continuationSeparator/>
      </w:r>
    </w:p>
    <w:p w:rsidR="009F1E07" w:rsidRDefault="009F1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E07" w:rsidRDefault="009F1E07" w:rsidP="005B3E03">
      <w:r>
        <w:separator/>
      </w:r>
    </w:p>
    <w:p w:rsidR="009F1E07" w:rsidRDefault="009F1E07"/>
  </w:footnote>
  <w:footnote w:type="continuationSeparator" w:id="0">
    <w:p w:rsidR="009F1E07" w:rsidRDefault="009F1E07" w:rsidP="005B3E03">
      <w:r>
        <w:continuationSeparator/>
      </w:r>
    </w:p>
    <w:p w:rsidR="009F1E07" w:rsidRDefault="009F1E07"/>
  </w:footnote>
  <w:footnote w:id="1">
    <w:p w:rsidR="00045948" w:rsidRDefault="009F1E07">
      <w:pPr>
        <w:pStyle w:val="Voetnoottekst"/>
      </w:pPr>
      <w:r>
        <w:rPr>
          <w:rStyle w:val="Voetnootmarkering"/>
        </w:rPr>
        <w:footnoteRef/>
      </w:r>
      <w:r>
        <w:t xml:space="preserve"> </w:t>
      </w:r>
      <w:r>
        <w:tab/>
        <w:t xml:space="preserve">Zie bijvoorbeeld artikel </w:t>
      </w:r>
      <w:r w:rsidRPr="00045948">
        <w:t xml:space="preserve">3:29a Wft </w:t>
      </w:r>
      <w:r>
        <w:t xml:space="preserve">voor </w:t>
      </w:r>
      <w:r w:rsidRPr="00045948">
        <w:t>betaalinstelling</w:t>
      </w:r>
      <w:r>
        <w:t>en</w:t>
      </w:r>
      <w:r w:rsidRPr="00045948">
        <w:t xml:space="preserve"> en artikel 4:87 Wft voor beleggingsondernemingen</w:t>
      </w:r>
      <w:r>
        <w:t xml:space="preserve">.  </w:t>
      </w:r>
    </w:p>
  </w:footnote>
  <w:footnote w:id="2">
    <w:p w:rsidR="007A6DCC" w:rsidRDefault="009F1E07">
      <w:pPr>
        <w:pStyle w:val="Voetnoottekst"/>
      </w:pPr>
      <w:r>
        <w:rPr>
          <w:rStyle w:val="Voetnootmarkering"/>
        </w:rPr>
        <w:footnoteRef/>
      </w:r>
      <w:r>
        <w:t xml:space="preserve"> </w:t>
      </w:r>
      <w:r>
        <w:tab/>
      </w:r>
      <w:r w:rsidRPr="00D22878">
        <w:t xml:space="preserve">Memorie van toelichting, Algemeen deel, paragraaf </w:t>
      </w:r>
      <w:r>
        <w:t>2</w:t>
      </w:r>
      <w:r w:rsidRPr="00D22878">
        <w:t xml:space="preserve">. </w:t>
      </w:r>
      <w:r w:rsidRPr="007A6DCC">
        <w:t>Vermogensscheiding middels een rekening met afgescheiden vermogen</w:t>
      </w:r>
      <w:r>
        <w:t xml:space="preserve">. </w:t>
      </w:r>
    </w:p>
  </w:footnote>
  <w:footnote w:id="3">
    <w:p w:rsidR="00233E38" w:rsidRDefault="009F1E07" w:rsidP="00233E38">
      <w:pPr>
        <w:pStyle w:val="Voetnoottekst"/>
      </w:pPr>
      <w:r>
        <w:rPr>
          <w:rStyle w:val="Voetnootmarkering"/>
        </w:rPr>
        <w:footnoteRef/>
      </w:r>
      <w:r>
        <w:t xml:space="preserve"> </w:t>
      </w:r>
      <w:r>
        <w:tab/>
      </w:r>
      <w:r w:rsidRPr="00D22878">
        <w:t xml:space="preserve">Memorie van toelichting, Algemeen deel, paragraaf </w:t>
      </w:r>
      <w:r>
        <w:t>2</w:t>
      </w:r>
      <w:r w:rsidRPr="00D22878">
        <w:t xml:space="preserve">. </w:t>
      </w:r>
      <w:r w:rsidRPr="007A6DCC">
        <w:t>Vermogensscheiding middels een rekening met afgescheiden vermogen</w:t>
      </w:r>
      <w:r>
        <w:t xml:space="preserve">.  </w:t>
      </w:r>
    </w:p>
  </w:footnote>
  <w:footnote w:id="4">
    <w:p w:rsidR="007A6DCC" w:rsidRDefault="009F1E07">
      <w:pPr>
        <w:pStyle w:val="Voetnoottekst"/>
      </w:pPr>
      <w:r>
        <w:rPr>
          <w:rStyle w:val="Voetnootmarkering"/>
        </w:rPr>
        <w:footnoteRef/>
      </w:r>
      <w:r>
        <w:t xml:space="preserve"> </w:t>
      </w:r>
      <w:r>
        <w:tab/>
        <w:t xml:space="preserve">Memorie </w:t>
      </w:r>
      <w:r w:rsidRPr="00D22878">
        <w:t xml:space="preserve">van toelichting, Algemeen deel, paragraaf </w:t>
      </w:r>
      <w:r>
        <w:t>6</w:t>
      </w:r>
      <w:r w:rsidRPr="00D22878">
        <w:t xml:space="preserve">. </w:t>
      </w:r>
      <w:r>
        <w:t>Consultatie.</w:t>
      </w:r>
    </w:p>
  </w:footnote>
  <w:footnote w:id="5">
    <w:p w:rsidR="002D30B1" w:rsidRDefault="009F1E07" w:rsidP="002D30B1">
      <w:pPr>
        <w:pStyle w:val="Voetnoottekst"/>
      </w:pPr>
      <w:r>
        <w:rPr>
          <w:rStyle w:val="Voetnootmarkering"/>
        </w:rPr>
        <w:footnoteRef/>
      </w:r>
      <w:r>
        <w:t xml:space="preserve">  In de consultatietekst werd de beperking tot in Nederland gevestigde banken onderbouwd door erop te wijzen dat bij in het buitenland gevestigde banken niet verzekerd is dat Nederlands privaatrecht van toepassing is en de voorgestelde uitzondering dan niet kan worden geëffectueerd. </w:t>
      </w:r>
    </w:p>
  </w:footnote>
  <w:footnote w:id="6">
    <w:p w:rsidR="00F20094" w:rsidRDefault="009F1E07" w:rsidP="00F20094">
      <w:pPr>
        <w:pStyle w:val="Voetnoottekst"/>
      </w:pPr>
      <w:r>
        <w:rPr>
          <w:rStyle w:val="Voetnootmarkering"/>
        </w:rPr>
        <w:footnoteRef/>
      </w:r>
      <w:r>
        <w:t xml:space="preserve"> </w:t>
      </w:r>
      <w:r>
        <w:tab/>
        <w:t>In dit verband is ook d</w:t>
      </w:r>
      <w:r w:rsidRPr="002C3D25">
        <w:t>e Insolventieverordening</w:t>
      </w:r>
      <w:r>
        <w:t xml:space="preserve"> betreffende regels bij </w:t>
      </w:r>
      <w:r w:rsidRPr="002C3D25">
        <w:t xml:space="preserve">een faillissement in </w:t>
      </w:r>
      <w:r>
        <w:t>lidstaten (Verordening (EU) 2015/848 van het Europees Parlement en de Raad van 20 mei 2015 betreffende insolventieprocedures (PbEU 2015, L 141)) van belang. Zie in het bijzonder artikel 8 en artikel 12 van de 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C43BF">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C43B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510DD"/>
    <w:multiLevelType w:val="hybridMultilevel"/>
    <w:tmpl w:val="35847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FC199C"/>
    <w:multiLevelType w:val="hybridMultilevel"/>
    <w:tmpl w:val="7098130E"/>
    <w:lvl w:ilvl="0" w:tplc="3E8034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E6C27"/>
    <w:rsid w:val="008108EA"/>
    <w:rsid w:val="00831363"/>
    <w:rsid w:val="00883369"/>
    <w:rsid w:val="008C5EDD"/>
    <w:rsid w:val="00907421"/>
    <w:rsid w:val="00977969"/>
    <w:rsid w:val="009E537C"/>
    <w:rsid w:val="009E72D2"/>
    <w:rsid w:val="009F1E07"/>
    <w:rsid w:val="00A316AD"/>
    <w:rsid w:val="00A31DA9"/>
    <w:rsid w:val="00AC5AD9"/>
    <w:rsid w:val="00B15811"/>
    <w:rsid w:val="00B82659"/>
    <w:rsid w:val="00B8700C"/>
    <w:rsid w:val="00B9540E"/>
    <w:rsid w:val="00B97BA6"/>
    <w:rsid w:val="00C5066A"/>
    <w:rsid w:val="00C50D4F"/>
    <w:rsid w:val="00C5589A"/>
    <w:rsid w:val="00C93CC0"/>
    <w:rsid w:val="00C94D31"/>
    <w:rsid w:val="00CA109A"/>
    <w:rsid w:val="00CC43BF"/>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31419D3-5E2A-4D8E-A7C5-A2602D1B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D107A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0505C"/>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555</ap:Words>
  <ap:Characters>3228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2021-10-25T10:24:00.0000000Z</dcterms:created>
  <dcterms:modified xsi:type="dcterms:W3CDTF">2021-10-25T10:24:00.0000000Z</dcterms:modified>
  <dc:description>------------------------</dc:description>
  <dc:subject/>
  <dc:title/>
  <keywords/>
  <version/>
  <category/>
</coreProperties>
</file>