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5255" w:rsidR="00274702" w:rsidP="001E5255" w:rsidRDefault="00274702">
      <w:pPr>
        <w:pStyle w:val="Kop"/>
      </w:pPr>
      <w:bookmarkStart w:name="_GoBack" w:id="0"/>
      <w:bookmarkEnd w:id="0"/>
      <w:r w:rsidRPr="001E5255">
        <w:t>WETENSCHAPPELIJKE FACTSHEETS OVER OPEN STRATEGISCHE AUTONOMIE</w:t>
      </w:r>
    </w:p>
    <w:p w:rsidRPr="00274702" w:rsidR="00274702" w:rsidP="00274702" w:rsidRDefault="00274702">
      <w:pPr>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Vraagstelling</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(Uit de besluitenlijst van de Vaste commissie voor Buitenlandse Zaken d.d. 8 juli 2021)</w:t>
      </w:r>
    </w:p>
    <w:p w:rsidRPr="00274702" w:rsidR="00274702" w:rsidP="00274702" w:rsidRDefault="00274702">
      <w:pPr>
        <w:spacing w:line="276" w:lineRule="auto"/>
        <w:rPr>
          <w:rFonts w:ascii="Cambria" w:hAnsi="Cambria" w:eastAsia="Cambria" w:cs="Times New Roman"/>
          <w:i/>
          <w:iCs/>
          <w:sz w:val="22"/>
          <w:szCs w:val="22"/>
        </w:rPr>
      </w:pPr>
    </w:p>
    <w:p w:rsidRPr="00274702" w:rsidR="00274702" w:rsidP="00274702" w:rsidRDefault="00274702">
      <w:pPr>
        <w:spacing w:line="276" w:lineRule="auto"/>
        <w:rPr>
          <w:rFonts w:ascii="Cambria" w:hAnsi="Cambria" w:eastAsia="Cambria" w:cs="Times New Roman"/>
          <w:i/>
          <w:iCs/>
          <w:sz w:val="22"/>
          <w:szCs w:val="22"/>
        </w:rPr>
      </w:pPr>
      <w:r w:rsidRPr="00274702">
        <w:rPr>
          <w:rFonts w:ascii="Cambria" w:hAnsi="Cambria" w:eastAsia="Cambria" w:cs="Times New Roman"/>
          <w:i/>
          <w:iCs/>
          <w:sz w:val="22"/>
          <w:szCs w:val="22"/>
        </w:rPr>
        <w:t xml:space="preserve">“De commissie stemt in met de voorstellen van de voorbereidingsgroep; 1. De verschillende kennisvragen aan [Parlement &amp; Wetenschap] voorleggen met het verzoek om een wetenschappelijke </w:t>
      </w:r>
      <w:proofErr w:type="spellStart"/>
      <w:r w:rsidRPr="00274702">
        <w:rPr>
          <w:rFonts w:ascii="Cambria" w:hAnsi="Cambria" w:eastAsia="Cambria" w:cs="Times New Roman"/>
          <w:i/>
          <w:iCs/>
          <w:sz w:val="22"/>
          <w:szCs w:val="22"/>
        </w:rPr>
        <w:t>factsheet</w:t>
      </w:r>
      <w:proofErr w:type="spellEnd"/>
      <w:r w:rsidRPr="00274702">
        <w:rPr>
          <w:rFonts w:ascii="Cambria" w:hAnsi="Cambria" w:eastAsia="Cambria" w:cs="Times New Roman"/>
          <w:i/>
          <w:iCs/>
          <w:sz w:val="22"/>
          <w:szCs w:val="22"/>
        </w:rPr>
        <w:t xml:space="preserve"> op te stellen (zie noot).2. Na ontvangst van de </w:t>
      </w:r>
      <w:proofErr w:type="spellStart"/>
      <w:r w:rsidRPr="00274702">
        <w:rPr>
          <w:rFonts w:ascii="Cambria" w:hAnsi="Cambria" w:eastAsia="Cambria" w:cs="Times New Roman"/>
          <w:i/>
          <w:iCs/>
          <w:sz w:val="22"/>
          <w:szCs w:val="22"/>
        </w:rPr>
        <w:t>factsheet</w:t>
      </w:r>
      <w:proofErr w:type="spellEnd"/>
      <w:r w:rsidRPr="00274702">
        <w:rPr>
          <w:rFonts w:ascii="Cambria" w:hAnsi="Cambria" w:eastAsia="Cambria" w:cs="Times New Roman"/>
          <w:i/>
          <w:iCs/>
          <w:sz w:val="22"/>
          <w:szCs w:val="22"/>
        </w:rPr>
        <w:t xml:space="preserve"> zal de voorbereidingsgroep een voorstel doen voor een vervolg. Mogelijk vervolgactiviteiten die al in een eerder stadium aan de commissie zijn voorgelegd, zoals een gesprek met de Hoge Vertegenwoordiger van de Unie voor het Buitenlands en Veiligheidsbeleid, de heer </w:t>
      </w:r>
      <w:proofErr w:type="spellStart"/>
      <w:r w:rsidRPr="00274702">
        <w:rPr>
          <w:rFonts w:ascii="Cambria" w:hAnsi="Cambria" w:eastAsia="Cambria" w:cs="Times New Roman"/>
          <w:i/>
          <w:iCs/>
          <w:sz w:val="22"/>
          <w:szCs w:val="22"/>
        </w:rPr>
        <w:t>Josep</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Borrell</w:t>
      </w:r>
      <w:proofErr w:type="spellEnd"/>
      <w:r w:rsidRPr="00274702">
        <w:rPr>
          <w:rFonts w:ascii="Cambria" w:hAnsi="Cambria" w:eastAsia="Cambria" w:cs="Times New Roman"/>
          <w:i/>
          <w:iCs/>
          <w:sz w:val="22"/>
          <w:szCs w:val="22"/>
        </w:rPr>
        <w:t xml:space="preserve"> en/of een ontbijtsessie met experts, kunnen dan worden </w:t>
      </w:r>
      <w:proofErr w:type="spellStart"/>
      <w:r w:rsidRPr="00274702">
        <w:rPr>
          <w:rFonts w:ascii="Cambria" w:hAnsi="Cambria" w:eastAsia="Cambria" w:cs="Times New Roman"/>
          <w:i/>
          <w:iCs/>
          <w:sz w:val="22"/>
          <w:szCs w:val="22"/>
        </w:rPr>
        <w:t>besproken.Het</w:t>
      </w:r>
      <w:proofErr w:type="spellEnd"/>
      <w:r w:rsidRPr="00274702">
        <w:rPr>
          <w:rFonts w:ascii="Cambria" w:hAnsi="Cambria" w:eastAsia="Cambria" w:cs="Times New Roman"/>
          <w:i/>
          <w:iCs/>
          <w:sz w:val="22"/>
          <w:szCs w:val="22"/>
        </w:rPr>
        <w:t xml:space="preserve"> betreft de volgende kennisvragen:</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numPr>
          <w:ilvl w:val="0"/>
          <w:numId w:val="2"/>
        </w:numPr>
        <w:spacing w:line="276" w:lineRule="auto"/>
        <w:rPr>
          <w:rFonts w:ascii="Cambria" w:hAnsi="Cambria" w:eastAsia="Cambria" w:cs="Times New Roman"/>
          <w:sz w:val="22"/>
          <w:szCs w:val="22"/>
        </w:rPr>
      </w:pPr>
      <w:r w:rsidRPr="00274702">
        <w:rPr>
          <w:rFonts w:ascii="Cambria" w:hAnsi="Cambria" w:eastAsia="Cambria" w:cs="Times New Roman"/>
          <w:i/>
          <w:iCs/>
          <w:sz w:val="22"/>
          <w:szCs w:val="22"/>
        </w:rPr>
        <w:t>Wat betekent het begrip ‘open strategische autonomie’ in het EU-buitenlands beleid en welke instrumenten in het buitenlands beleid van Nederland en de EU zijn daarin te onderscheiden? Welke gevolgen heeft het streven naar open strategisch autonomie voor Nederland?</w:t>
      </w:r>
    </w:p>
    <w:p w:rsidRPr="00274702" w:rsidR="00274702" w:rsidP="00274702" w:rsidRDefault="00274702">
      <w:pPr>
        <w:numPr>
          <w:ilvl w:val="0"/>
          <w:numId w:val="2"/>
        </w:numPr>
        <w:spacing w:line="276" w:lineRule="auto"/>
        <w:rPr>
          <w:rFonts w:ascii="Cambria" w:hAnsi="Cambria" w:eastAsia="Cambria" w:cs="Times New Roman"/>
          <w:sz w:val="22"/>
          <w:szCs w:val="22"/>
        </w:rPr>
      </w:pPr>
      <w:r w:rsidRPr="00274702">
        <w:rPr>
          <w:rFonts w:ascii="Cambria" w:hAnsi="Cambria" w:eastAsia="Cambria" w:cs="Times New Roman"/>
          <w:i/>
          <w:iCs/>
          <w:sz w:val="22"/>
          <w:szCs w:val="22"/>
        </w:rPr>
        <w:t>Welke mogelijkheden zijn er in het EU buitenlands beleid om sancties toe te passen, en welke sancties zijn effectief en hebben impact? Welke ruimte is er voor Nederland en de lidstaten om daarin een eigen buitenlands beleid te voeren? </w:t>
      </w:r>
    </w:p>
    <w:p w:rsidRPr="00274702" w:rsidR="00274702" w:rsidP="00274702" w:rsidRDefault="00274702">
      <w:pPr>
        <w:numPr>
          <w:ilvl w:val="0"/>
          <w:numId w:val="2"/>
        </w:numPr>
        <w:spacing w:line="276" w:lineRule="auto"/>
        <w:rPr>
          <w:rFonts w:ascii="Cambria" w:hAnsi="Cambria" w:eastAsia="Cambria" w:cs="Times New Roman"/>
          <w:sz w:val="22"/>
          <w:szCs w:val="22"/>
        </w:rPr>
      </w:pPr>
      <w:r w:rsidRPr="00274702">
        <w:rPr>
          <w:rFonts w:ascii="Cambria" w:hAnsi="Cambria" w:eastAsia="Cambria" w:cs="Times New Roman"/>
          <w:i/>
          <w:iCs/>
          <w:sz w:val="22"/>
          <w:szCs w:val="22"/>
        </w:rPr>
        <w:t>Hoe speelt in het EU buitenlands beleid ‘industriepolitiek’ een rol en welke inzichten zijn er op basis van de huidige wetenschappelijke literatuur?</w:t>
      </w:r>
    </w:p>
    <w:p w:rsidRPr="00274702" w:rsidR="00274702" w:rsidP="00274702" w:rsidRDefault="00274702">
      <w:pPr>
        <w:numPr>
          <w:ilvl w:val="0"/>
          <w:numId w:val="2"/>
        </w:numPr>
        <w:spacing w:line="276" w:lineRule="auto"/>
        <w:rPr>
          <w:rFonts w:ascii="Cambria" w:hAnsi="Cambria" w:eastAsia="Cambria" w:cs="Times New Roman"/>
          <w:sz w:val="22"/>
          <w:szCs w:val="22"/>
        </w:rPr>
      </w:pPr>
      <w:r w:rsidRPr="00274702">
        <w:rPr>
          <w:rFonts w:ascii="Cambria" w:hAnsi="Cambria" w:eastAsia="Cambria" w:cs="Times New Roman"/>
          <w:i/>
          <w:iCs/>
          <w:sz w:val="22"/>
          <w:szCs w:val="22"/>
        </w:rPr>
        <w:t>Welke instrumenten kunnen Nederland en de EU inzetten in het buitenlands beleid in relatie tot Afrika en Latijns Amerika op het terrein van de verwerving van grondstoffen om de open strategische autonomie te versterken (en minder afhankelijkheid te worden van China)?”</w:t>
      </w:r>
    </w:p>
    <w:p w:rsidRPr="00274702" w:rsidR="00274702" w:rsidP="00325809" w:rsidRDefault="00274702">
      <w:pPr>
        <w:pStyle w:val="Tussenkopje"/>
        <w:rPr>
          <w:rFonts w:ascii="Cambria" w:hAnsi="Cambria" w:eastAsia="Cambria" w:cs="Times New Roman"/>
          <w:sz w:val="22"/>
          <w:szCs w:val="22"/>
        </w:rPr>
      </w:pPr>
    </w:p>
    <w:p w:rsidRPr="001E5255" w:rsidR="00274702" w:rsidP="00325809" w:rsidRDefault="00274702">
      <w:pPr>
        <w:pStyle w:val="Tussenkopje"/>
        <w:ind w:left="0"/>
      </w:pPr>
      <w:proofErr w:type="spellStart"/>
      <w:r w:rsidRPr="001E5255">
        <w:t>Factsheets</w:t>
      </w:r>
      <w:proofErr w:type="spellEnd"/>
    </w:p>
    <w:p w:rsidRPr="00274702" w:rsidR="00274702" w:rsidP="00274702" w:rsidRDefault="00274702">
      <w:pPr>
        <w:spacing w:line="276" w:lineRule="auto"/>
        <w:rPr>
          <w:rFonts w:ascii="Cambria" w:hAnsi="Cambria" w:eastAsia="Cambria" w:cs="Times New Roman"/>
          <w:b/>
          <w:bCs/>
          <w:sz w:val="22"/>
          <w:szCs w:val="22"/>
        </w:rPr>
      </w:pPr>
    </w:p>
    <w:p w:rsidRPr="00274702" w:rsidR="00274702" w:rsidP="00274702" w:rsidRDefault="00274702">
      <w:pPr>
        <w:numPr>
          <w:ilvl w:val="0"/>
          <w:numId w:val="5"/>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Ad vraag 1: </w:t>
      </w:r>
      <w:proofErr w:type="spellStart"/>
      <w:r w:rsidRPr="00274702">
        <w:rPr>
          <w:rFonts w:ascii="Cambria" w:hAnsi="Cambria" w:eastAsia="Cambria" w:cs="Times New Roman"/>
          <w:sz w:val="22"/>
          <w:szCs w:val="22"/>
        </w:rPr>
        <w:t>factsheet</w:t>
      </w:r>
      <w:proofErr w:type="spellEnd"/>
      <w:r w:rsidRPr="00274702">
        <w:rPr>
          <w:rFonts w:ascii="Cambria" w:hAnsi="Cambria" w:eastAsia="Cambria" w:cs="Times New Roman"/>
          <w:sz w:val="22"/>
          <w:szCs w:val="22"/>
        </w:rPr>
        <w:t xml:space="preserve"> </w:t>
      </w:r>
      <w:r w:rsidRPr="00274702">
        <w:rPr>
          <w:rFonts w:ascii="Cambria" w:hAnsi="Cambria" w:eastAsia="Cambria" w:cs="Times New Roman"/>
          <w:i/>
          <w:iCs/>
          <w:sz w:val="22"/>
          <w:szCs w:val="22"/>
        </w:rPr>
        <w:t>Open Strategische Autonomie</w:t>
      </w:r>
      <w:r w:rsidRPr="00274702">
        <w:rPr>
          <w:rFonts w:ascii="Cambria" w:hAnsi="Cambria" w:eastAsia="Cambria" w:cs="Times New Roman"/>
          <w:sz w:val="22"/>
          <w:szCs w:val="22"/>
        </w:rPr>
        <w:t xml:space="preserve"> van prof. dr. Wolfgang Wagner (VU) en dr. Paul van Hooft (HCSS)</w:t>
      </w:r>
    </w:p>
    <w:p w:rsidRPr="00274702" w:rsidR="00274702" w:rsidP="00274702" w:rsidRDefault="00274702">
      <w:pPr>
        <w:numPr>
          <w:ilvl w:val="0"/>
          <w:numId w:val="5"/>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Ad vraag 2: </w:t>
      </w:r>
      <w:proofErr w:type="spellStart"/>
      <w:r w:rsidRPr="00274702">
        <w:rPr>
          <w:rFonts w:ascii="Cambria" w:hAnsi="Cambria" w:eastAsia="Cambria" w:cs="Times New Roman"/>
          <w:sz w:val="22"/>
          <w:szCs w:val="22"/>
        </w:rPr>
        <w:t>factsheet</w:t>
      </w:r>
      <w:proofErr w:type="spellEnd"/>
      <w:r w:rsidRPr="00274702">
        <w:rPr>
          <w:rFonts w:ascii="Cambria" w:hAnsi="Cambria" w:eastAsia="Cambria" w:cs="Times New Roman"/>
          <w:sz w:val="22"/>
          <w:szCs w:val="22"/>
        </w:rPr>
        <w:t xml:space="preserve"> </w:t>
      </w:r>
      <w:r w:rsidRPr="00274702">
        <w:rPr>
          <w:rFonts w:ascii="Cambria" w:hAnsi="Cambria" w:eastAsia="Cambria" w:cs="Times New Roman"/>
          <w:i/>
          <w:iCs/>
          <w:sz w:val="22"/>
          <w:szCs w:val="22"/>
        </w:rPr>
        <w:t>Sancties</w:t>
      </w:r>
      <w:r w:rsidRPr="00274702">
        <w:rPr>
          <w:rFonts w:ascii="Cambria" w:hAnsi="Cambria" w:eastAsia="Cambria" w:cs="Times New Roman"/>
          <w:sz w:val="22"/>
          <w:szCs w:val="22"/>
        </w:rPr>
        <w:t xml:space="preserve"> van prof. dr. Wolfgang Wagner (VU) en dr. </w:t>
      </w:r>
      <w:proofErr w:type="spellStart"/>
      <w:r w:rsidRPr="00274702">
        <w:rPr>
          <w:rFonts w:ascii="Cambria" w:hAnsi="Cambria" w:eastAsia="Cambria" w:cs="Times New Roman"/>
          <w:sz w:val="22"/>
          <w:szCs w:val="22"/>
        </w:rPr>
        <w:t>Michal</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Onderco</w:t>
      </w:r>
      <w:proofErr w:type="spellEnd"/>
      <w:r w:rsidRPr="00274702">
        <w:rPr>
          <w:rFonts w:ascii="Cambria" w:hAnsi="Cambria" w:eastAsia="Cambria" w:cs="Times New Roman"/>
          <w:sz w:val="22"/>
          <w:szCs w:val="22"/>
        </w:rPr>
        <w:t xml:space="preserve"> (EUR)</w:t>
      </w:r>
    </w:p>
    <w:p w:rsidRPr="00274702" w:rsidR="00274702" w:rsidP="00274702" w:rsidRDefault="00274702">
      <w:pPr>
        <w:numPr>
          <w:ilvl w:val="0"/>
          <w:numId w:val="5"/>
        </w:numPr>
        <w:spacing w:line="276" w:lineRule="auto"/>
        <w:contextualSpacing/>
        <w:rPr>
          <w:rFonts w:ascii="Cambria" w:hAnsi="Cambria" w:eastAsia="Cambria" w:cs="Times New Roman"/>
          <w:b/>
          <w:bCs/>
          <w:sz w:val="22"/>
          <w:szCs w:val="22"/>
        </w:rPr>
      </w:pPr>
      <w:r w:rsidRPr="00274702">
        <w:rPr>
          <w:rFonts w:ascii="Cambria" w:hAnsi="Cambria" w:eastAsia="Cambria" w:cs="Times New Roman"/>
          <w:sz w:val="22"/>
          <w:szCs w:val="22"/>
        </w:rPr>
        <w:t xml:space="preserve">Ad vraag 3: </w:t>
      </w:r>
      <w:proofErr w:type="spellStart"/>
      <w:r w:rsidRPr="00274702">
        <w:rPr>
          <w:rFonts w:ascii="Cambria" w:hAnsi="Cambria" w:eastAsia="Cambria" w:cs="Times New Roman"/>
          <w:sz w:val="22"/>
          <w:szCs w:val="22"/>
        </w:rPr>
        <w:t>factsheet</w:t>
      </w:r>
      <w:proofErr w:type="spellEnd"/>
      <w:r w:rsidRPr="00274702">
        <w:rPr>
          <w:rFonts w:ascii="Cambria" w:hAnsi="Cambria" w:eastAsia="Cambria" w:cs="Times New Roman"/>
          <w:sz w:val="22"/>
          <w:szCs w:val="22"/>
        </w:rPr>
        <w:t xml:space="preserve"> </w:t>
      </w:r>
      <w:r w:rsidRPr="00274702">
        <w:rPr>
          <w:rFonts w:ascii="Cambria" w:hAnsi="Cambria" w:eastAsia="Cambria" w:cs="Times New Roman"/>
          <w:i/>
          <w:iCs/>
          <w:sz w:val="22"/>
          <w:szCs w:val="22"/>
        </w:rPr>
        <w:t>Industriepolitiek</w:t>
      </w:r>
      <w:r w:rsidRPr="00274702">
        <w:rPr>
          <w:rFonts w:ascii="Cambria" w:hAnsi="Cambria" w:eastAsia="Cambria" w:cs="Times New Roman"/>
          <w:sz w:val="22"/>
          <w:szCs w:val="22"/>
        </w:rPr>
        <w:t xml:space="preserve"> van prof. dr. Hans Schenk MBA (UU, emeritus) </w:t>
      </w:r>
    </w:p>
    <w:p w:rsidRPr="00274702" w:rsidR="00274702" w:rsidP="00274702" w:rsidRDefault="00274702">
      <w:pPr>
        <w:numPr>
          <w:ilvl w:val="0"/>
          <w:numId w:val="5"/>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Ad vraag 4: </w:t>
      </w:r>
      <w:proofErr w:type="spellStart"/>
      <w:r w:rsidRPr="00274702">
        <w:rPr>
          <w:rFonts w:ascii="Cambria" w:hAnsi="Cambria" w:eastAsia="Cambria" w:cs="Times New Roman"/>
          <w:sz w:val="22"/>
          <w:szCs w:val="22"/>
        </w:rPr>
        <w:t>factsheet</w:t>
      </w:r>
      <w:proofErr w:type="spellEnd"/>
      <w:r w:rsidRPr="00274702">
        <w:rPr>
          <w:rFonts w:ascii="Cambria" w:hAnsi="Cambria" w:eastAsia="Cambria" w:cs="Times New Roman"/>
          <w:sz w:val="22"/>
          <w:szCs w:val="22"/>
        </w:rPr>
        <w:t xml:space="preserve"> </w:t>
      </w:r>
      <w:r w:rsidRPr="00274702">
        <w:rPr>
          <w:rFonts w:ascii="Cambria" w:hAnsi="Cambria" w:eastAsia="Cambria" w:cs="Times New Roman"/>
          <w:i/>
          <w:iCs/>
          <w:sz w:val="22"/>
          <w:szCs w:val="22"/>
        </w:rPr>
        <w:t>Open strategische autonomie t.a.v. Afrika en Latijns-Amerika</w:t>
      </w:r>
      <w:r w:rsidRPr="00274702">
        <w:rPr>
          <w:rFonts w:ascii="Cambria" w:hAnsi="Cambria" w:eastAsia="Cambria" w:cs="Times New Roman"/>
          <w:sz w:val="22"/>
          <w:szCs w:val="22"/>
        </w:rPr>
        <w:t xml:space="preserve"> van dr. Frank </w:t>
      </w:r>
      <w:proofErr w:type="spellStart"/>
      <w:r w:rsidRPr="00274702">
        <w:rPr>
          <w:rFonts w:ascii="Cambria" w:hAnsi="Cambria" w:eastAsia="Cambria" w:cs="Times New Roman"/>
          <w:sz w:val="22"/>
          <w:szCs w:val="22"/>
        </w:rPr>
        <w:t>Gerits</w:t>
      </w:r>
      <w:proofErr w:type="spellEnd"/>
      <w:r w:rsidRPr="00274702">
        <w:rPr>
          <w:rFonts w:ascii="Cambria" w:hAnsi="Cambria" w:eastAsia="Cambria" w:cs="Times New Roman"/>
          <w:sz w:val="22"/>
          <w:szCs w:val="22"/>
        </w:rPr>
        <w:t xml:space="preserve"> (UU)</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br w:type="page"/>
      </w:r>
      <w:r w:rsidRPr="00274702">
        <w:rPr>
          <w:rFonts w:ascii="Cambria" w:hAnsi="Cambria" w:eastAsia="Cambria" w:cs="Times New Roman"/>
          <w:sz w:val="22"/>
          <w:szCs w:val="22"/>
        </w:rPr>
        <w:lastRenderedPageBreak/>
        <w:t xml:space="preserve">Wetenschappelijke </w:t>
      </w:r>
      <w:proofErr w:type="spellStart"/>
      <w:r w:rsidRPr="00274702">
        <w:rPr>
          <w:rFonts w:ascii="Cambria" w:hAnsi="Cambria" w:eastAsia="Cambria" w:cs="Times New Roman"/>
          <w:sz w:val="22"/>
          <w:szCs w:val="22"/>
        </w:rPr>
        <w:t>factsheet</w:t>
      </w:r>
      <w:proofErr w:type="spellEnd"/>
    </w:p>
    <w:p w:rsidRPr="00274702" w:rsidR="00274702" w:rsidP="00274702" w:rsidRDefault="00274702">
      <w:pPr>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OPEN STRATEGISCHE AUTONOMIE</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Dr. Paul van Hooft (Het Den Haag Centrum voor Strategische Studies) </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Prof. dr. Wolfgang Wagner (Vrije Universiteit Amsterdam)</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11 oktober 2021</w:t>
      </w:r>
    </w:p>
    <w:p w:rsidRPr="00274702" w:rsidR="00274702" w:rsidP="00274702" w:rsidRDefault="00274702">
      <w:pPr>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Open strategische autonomie: een politieke genealogie</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Open strategische autonomie hoort bij de begrippen waarvan een precieze definitie ontbreekt (hetzelfde geldt bijvoorbeeld ook voor “politieke unie”). Dat is geen vergissing - de constructieve ambiguïteit van het begrip maakt het makkelijker voor lidstaten om zich voor een bepaald doel of project uit te spreken. Open strategische autonomie wordt dus door verschillende actoren op hun eigen manier begrepen en voor eigen politieke doeleinden gebruikt. Dat betekent dat minimalistische en ambitieuzere interpretaties door elkaar heen worden gebruikt.</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De belangrijkste context voor het begrip open strategische autonomie is het Gemeenschappelijke Veiligheids- en Defensiebeleid (GVDB) van de Europese Unie. Toen de Franse President Chirac en de Britse Premier Blair in 1998 met een gezamenlijk verklaring het EVDB</w:t>
      </w:r>
      <w:r w:rsidRPr="00274702">
        <w:rPr>
          <w:rFonts w:ascii="Cambria" w:hAnsi="Cambria" w:eastAsia="Cambria" w:cs="Times New Roman"/>
          <w:sz w:val="22"/>
          <w:szCs w:val="22"/>
          <w:vertAlign w:val="superscript"/>
        </w:rPr>
        <w:footnoteReference w:id="1"/>
      </w:r>
      <w:r w:rsidRPr="00274702">
        <w:rPr>
          <w:rFonts w:ascii="Cambria" w:hAnsi="Cambria" w:eastAsia="Cambria" w:cs="Times New Roman"/>
          <w:sz w:val="22"/>
          <w:szCs w:val="22"/>
        </w:rPr>
        <w:t xml:space="preserve"> aankondigden was ‘autonomie’ al een centraal begrip. Daarbij dacht Chirac aan besluitvorming zonder de VS, terwijl Blair aan uitbreiding van de Europese capaciteit dacht, juist om de VS een signaal te geven dat Europeanen meer willen investeren in Europese veiligheid.</w:t>
      </w:r>
      <w:r w:rsidRPr="00274702">
        <w:rPr>
          <w:rFonts w:ascii="Cambria" w:hAnsi="Cambria" w:eastAsia="Cambria" w:cs="Times New Roman"/>
          <w:sz w:val="22"/>
          <w:szCs w:val="22"/>
          <w:vertAlign w:val="superscript"/>
        </w:rPr>
        <w:footnoteReference w:id="2"/>
      </w:r>
      <w:r w:rsidRPr="00274702">
        <w:rPr>
          <w:rFonts w:ascii="Cambria" w:hAnsi="Cambria" w:eastAsia="Cambria" w:cs="Times New Roman"/>
          <w:sz w:val="22"/>
          <w:szCs w:val="22"/>
        </w:rPr>
        <w:t>.</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Inmiddels is het GVDB vooral door zijn militaire missies zichtbaar. Daarbovenop faciliteert de EU sinds enkele jaren de samenwerking bij het ontwikkelen van militaire technologieën.</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In 2013 besloten de EU-staten om de decembertop vooral te besteden aan de thematiek van veiligheid en defensie. In de conclusies van deze top wordt het begrip strategische autonomie genoemd, nu in het kader van een </w:t>
      </w:r>
      <w:r w:rsidRPr="00274702">
        <w:rPr>
          <w:rFonts w:ascii="Cambria" w:hAnsi="Cambria" w:eastAsia="Cambria" w:cs="Times New Roman"/>
          <w:i/>
          <w:iCs/>
          <w:sz w:val="22"/>
          <w:szCs w:val="22"/>
        </w:rPr>
        <w:t xml:space="preserve">European </w:t>
      </w:r>
      <w:proofErr w:type="spellStart"/>
      <w:r w:rsidRPr="00274702">
        <w:rPr>
          <w:rFonts w:ascii="Cambria" w:hAnsi="Cambria" w:eastAsia="Cambria" w:cs="Times New Roman"/>
          <w:i/>
          <w:iCs/>
          <w:sz w:val="22"/>
          <w:szCs w:val="22"/>
        </w:rPr>
        <w:t>Defence</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Technological</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and</w:t>
      </w:r>
      <w:proofErr w:type="spellEnd"/>
      <w:r w:rsidRPr="00274702">
        <w:rPr>
          <w:rFonts w:ascii="Cambria" w:hAnsi="Cambria" w:eastAsia="Cambria" w:cs="Times New Roman"/>
          <w:i/>
          <w:iCs/>
          <w:sz w:val="22"/>
          <w:szCs w:val="22"/>
        </w:rPr>
        <w:t xml:space="preserve"> Industrial Base</w:t>
      </w:r>
      <w:r w:rsidRPr="00274702">
        <w:rPr>
          <w:rFonts w:ascii="Cambria" w:hAnsi="Cambria" w:eastAsia="Cambria" w:cs="Times New Roman"/>
          <w:sz w:val="22"/>
          <w:szCs w:val="22"/>
        </w:rPr>
        <w:t xml:space="preserve"> (EDTIB). In 2016 wordt “</w:t>
      </w:r>
      <w:proofErr w:type="spellStart"/>
      <w:r w:rsidRPr="00274702">
        <w:rPr>
          <w:rFonts w:ascii="Cambria" w:hAnsi="Cambria" w:eastAsia="Cambria" w:cs="Times New Roman"/>
          <w:sz w:val="22"/>
          <w:szCs w:val="22"/>
        </w:rPr>
        <w:t>strategic</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autonomy</w:t>
      </w:r>
      <w:proofErr w:type="spellEnd"/>
      <w:r w:rsidRPr="00274702">
        <w:rPr>
          <w:rFonts w:ascii="Cambria" w:hAnsi="Cambria" w:eastAsia="Cambria" w:cs="Times New Roman"/>
          <w:sz w:val="22"/>
          <w:szCs w:val="22"/>
        </w:rPr>
        <w:t xml:space="preserve">” als ambitie genoemd in de </w:t>
      </w:r>
      <w:proofErr w:type="spellStart"/>
      <w:r w:rsidRPr="00274702">
        <w:rPr>
          <w:rFonts w:ascii="Cambria" w:hAnsi="Cambria" w:eastAsia="Cambria" w:cs="Times New Roman"/>
          <w:i/>
          <w:iCs/>
          <w:sz w:val="22"/>
          <w:szCs w:val="22"/>
        </w:rPr>
        <w:t>global</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strategy</w:t>
      </w:r>
      <w:proofErr w:type="spellEnd"/>
      <w:r w:rsidRPr="00274702">
        <w:rPr>
          <w:rFonts w:ascii="Cambria" w:hAnsi="Cambria" w:eastAsia="Cambria" w:cs="Times New Roman"/>
          <w:sz w:val="22"/>
          <w:szCs w:val="22"/>
        </w:rPr>
        <w:t xml:space="preserve"> ‘</w:t>
      </w:r>
      <w:r w:rsidRPr="00274702">
        <w:rPr>
          <w:rFonts w:ascii="Cambria" w:hAnsi="Cambria" w:eastAsia="Cambria" w:cs="Times New Roman"/>
          <w:i/>
          <w:iCs/>
          <w:sz w:val="22"/>
          <w:szCs w:val="22"/>
        </w:rPr>
        <w:t xml:space="preserve">Shared </w:t>
      </w:r>
      <w:proofErr w:type="spellStart"/>
      <w:r w:rsidRPr="00274702">
        <w:rPr>
          <w:rFonts w:ascii="Cambria" w:hAnsi="Cambria" w:eastAsia="Cambria" w:cs="Times New Roman"/>
          <w:i/>
          <w:iCs/>
          <w:sz w:val="22"/>
          <w:szCs w:val="22"/>
        </w:rPr>
        <w:t>vision</w:t>
      </w:r>
      <w:proofErr w:type="spellEnd"/>
      <w:r w:rsidRPr="00274702">
        <w:rPr>
          <w:rFonts w:ascii="Cambria" w:hAnsi="Cambria" w:eastAsia="Cambria" w:cs="Times New Roman"/>
          <w:i/>
          <w:iCs/>
          <w:sz w:val="22"/>
          <w:szCs w:val="22"/>
        </w:rPr>
        <w:t>, common action’</w:t>
      </w:r>
      <w:r w:rsidRPr="00274702">
        <w:rPr>
          <w:rFonts w:ascii="Cambria" w:hAnsi="Cambria" w:eastAsia="Cambria" w:cs="Times New Roman"/>
          <w:sz w:val="22"/>
          <w:szCs w:val="22"/>
        </w:rPr>
        <w:t xml:space="preserve">. Na de Russische agressie in de Krim en Oost-Oekraïne, plus de onzekerheid over de toekomst van bondgenootschappelijke verplichtingen van de VS tijdens de </w:t>
      </w:r>
      <w:proofErr w:type="spellStart"/>
      <w:r w:rsidRPr="00274702">
        <w:rPr>
          <w:rFonts w:ascii="Cambria" w:hAnsi="Cambria" w:eastAsia="Cambria" w:cs="Times New Roman"/>
          <w:sz w:val="22"/>
          <w:szCs w:val="22"/>
        </w:rPr>
        <w:t>Trump</w:t>
      </w:r>
      <w:proofErr w:type="spellEnd"/>
      <w:r w:rsidRPr="00274702">
        <w:rPr>
          <w:rFonts w:ascii="Cambria" w:hAnsi="Cambria" w:eastAsia="Cambria" w:cs="Times New Roman"/>
          <w:sz w:val="22"/>
          <w:szCs w:val="22"/>
        </w:rPr>
        <w:t>-regering, hebben de ontwikkelingen een hoger gevoel van urgentie gekregen in Europa. Ook het Europese interventie-initiatief is een poging om de slagkracht voor militaire interventies te versterken, naast de NAVO en met inachtneming van de beperkingen van de EU-afspraken (zie hieronder).</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lastRenderedPageBreak/>
        <w:t xml:space="preserve">Economische veiligheid is recent ook een explicieter onderdeel van strategische autonomie geworden. Tijdens de coronaepidemie benutte de voorzitter van de Europese Raad het begrip strategische autonomie ook in het kader van buitenlandse handel en technologie. In deze context verwijst het begrip naar de gewenste onafhankelijkheid van internationale </w:t>
      </w:r>
      <w:proofErr w:type="spellStart"/>
      <w:r w:rsidRPr="00274702">
        <w:rPr>
          <w:rFonts w:ascii="Cambria" w:hAnsi="Cambria" w:eastAsia="Cambria" w:cs="Times New Roman"/>
          <w:i/>
          <w:iCs/>
          <w:sz w:val="22"/>
          <w:szCs w:val="22"/>
        </w:rPr>
        <w:t>supply</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chains</w:t>
      </w:r>
      <w:proofErr w:type="spellEnd"/>
      <w:r w:rsidRPr="00274702">
        <w:rPr>
          <w:rFonts w:ascii="Cambria" w:hAnsi="Cambria" w:eastAsia="Cambria" w:cs="Times New Roman"/>
          <w:sz w:val="22"/>
          <w:szCs w:val="22"/>
        </w:rPr>
        <w:t xml:space="preserve">. De Europese Raad heeft vervolgens in oktober 2020 het woord “open” toegevoegd, om de indruk te vermijden van een toenemende rivaliteit van de EU met andere machten, en in het bijzonder China. In de conclusies van de Europese top staat “Het verwezenlijken van strategische autonomie, met behoud van een open economie, is een van de hoofddoelstellingen van de Unie.” </w:t>
      </w:r>
      <w:r w:rsidRPr="00274702">
        <w:rPr>
          <w:rFonts w:ascii="Cambria" w:hAnsi="Cambria" w:eastAsia="Cambria" w:cs="Times New Roman"/>
          <w:noProof/>
          <w:sz w:val="22"/>
          <w:szCs w:val="22"/>
        </w:rPr>
        <w:t>(Europese Raad 2020, 1)</w:t>
      </w:r>
      <w:r w:rsidRPr="00274702">
        <w:rPr>
          <w:rFonts w:ascii="Cambria" w:hAnsi="Cambria" w:eastAsia="Cambria" w:cs="Times New Roman"/>
          <w:sz w:val="22"/>
          <w:szCs w:val="22"/>
        </w:rPr>
        <w:t>.</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Concluderend: er bestaat geen breed gedeeld begrip of definitie van open strategische autonomie. Ondanks de ambiguïteit van het begrip is duidelijk dat het doelt op de ambitie om meer samenwerking en meer onafhankelijkheid te bereiken zonder dat de EU de haar kenmerkende openheid verliest.</w:t>
      </w:r>
    </w:p>
    <w:p w:rsidRPr="00274702" w:rsidR="00274702" w:rsidP="00274702" w:rsidRDefault="00274702">
      <w:pPr>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Industriële defensiepolitiek</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Industriële defensiepolitiek is op meerdere manieren een substantieel onderdeel van autonomie. Sinds 2014 zijn door de EU enkele substantiële initiatieven opgezet, zoals het Europees Defensiefonds en de Permanente gestructureerde samenwerking op het gebied van defensie en veiligheid (PESCO). Deze initiatieven zijn bedoeld om innovatie te stimuleren en de capaciteit van individuele lidstaten te stroomlijnen. Waar het gaat om autonomie komen in industriële defensiepolitiek een aantal ontwikkelingen samen. De afgelopen decennia stijgen de kosten van de ontwikkeling van nieuwe militaire technologie wereldwijd exponentieel als gevolg van de toenemende complexiteit. Daardoor is het lastig om competitieve Europese programma’s op te zetten en verleidelijk om bestaande Amerikaanse wapensystemen te kopen. Maar dat betekent ook dat Europese defensie-industrie op de korte tot middellange termijn zal achterlopen, of zelfs op de middellange tot lange termijn zal verdwijnen. Hiermee wordt de afhankelijkheid van de VS steeds groter. Het is ook lastig om Europese burgers te overtuigen van het belang van defensie-uitgaven als een aanzienlijk deel daarvan naar de Amerikaanse defensie-industrie stroomt. Bovendien vormen individuele Europese industriële belangen een obstakel voor een </w:t>
      </w:r>
      <w:proofErr w:type="spellStart"/>
      <w:r w:rsidRPr="00274702">
        <w:rPr>
          <w:rFonts w:ascii="Cambria" w:hAnsi="Cambria" w:eastAsia="Cambria" w:cs="Times New Roman"/>
          <w:sz w:val="22"/>
          <w:szCs w:val="22"/>
        </w:rPr>
        <w:t>coherenter</w:t>
      </w:r>
      <w:proofErr w:type="spellEnd"/>
      <w:r w:rsidRPr="00274702">
        <w:rPr>
          <w:rFonts w:ascii="Cambria" w:hAnsi="Cambria" w:eastAsia="Cambria" w:cs="Times New Roman"/>
          <w:sz w:val="22"/>
          <w:szCs w:val="22"/>
        </w:rPr>
        <w:t xml:space="preserve"> beleid.</w:t>
      </w:r>
    </w:p>
    <w:p w:rsidRPr="00274702" w:rsidR="00274702" w:rsidP="00274702" w:rsidRDefault="00274702">
      <w:pPr>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Hindernissen</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Om de potentie van (open) strategische autonomie te kunnen inschatten moeten we begrijpen welke hindernissen er zijn. Hierna zullen we de hindernissen op het gebied van GVDB beschrijven – immers: op dit gebied wordt het begrip het meest gebruikt. </w:t>
      </w:r>
      <w:r w:rsidRPr="00274702">
        <w:rPr>
          <w:rFonts w:ascii="Cambria" w:hAnsi="Cambria" w:eastAsia="Cambria" w:cs="Times New Roman"/>
          <w:sz w:val="22"/>
          <w:szCs w:val="22"/>
          <w:lang w:val="en-US"/>
        </w:rPr>
        <w:t xml:space="preserve">In de </w:t>
      </w:r>
      <w:proofErr w:type="spellStart"/>
      <w:r w:rsidRPr="00274702">
        <w:rPr>
          <w:rFonts w:ascii="Cambria" w:hAnsi="Cambria" w:eastAsia="Cambria" w:cs="Times New Roman"/>
          <w:sz w:val="22"/>
          <w:szCs w:val="22"/>
          <w:lang w:val="en-US"/>
        </w:rPr>
        <w:t>wetenschappelijke</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literatuur</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wordt</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strategische</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autonomie</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gedefinieerd</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als</w:t>
      </w:r>
      <w:proofErr w:type="spellEnd"/>
      <w:r w:rsidRPr="00274702">
        <w:rPr>
          <w:rFonts w:ascii="Cambria" w:hAnsi="Cambria" w:eastAsia="Cambria" w:cs="Times New Roman"/>
          <w:sz w:val="22"/>
          <w:szCs w:val="22"/>
          <w:lang w:val="en-US"/>
        </w:rPr>
        <w:t xml:space="preserve"> “</w:t>
      </w:r>
      <w:r w:rsidRPr="00274702">
        <w:rPr>
          <w:rFonts w:ascii="Cambria" w:hAnsi="Cambria" w:eastAsia="Cambria" w:cs="Times New Roman"/>
          <w:i/>
          <w:iCs/>
          <w:sz w:val="22"/>
          <w:szCs w:val="22"/>
          <w:lang w:val="en-GB"/>
        </w:rPr>
        <w:t xml:space="preserve">institutional capacity to independently plan and conduct military operations across the full spectrum of conflict (including in high-intensity military operations such as expeditionary warfare and territorial </w:t>
      </w:r>
      <w:proofErr w:type="spellStart"/>
      <w:r w:rsidRPr="00274702">
        <w:rPr>
          <w:rFonts w:ascii="Cambria" w:hAnsi="Cambria" w:eastAsia="Cambria" w:cs="Times New Roman"/>
          <w:i/>
          <w:iCs/>
          <w:sz w:val="22"/>
          <w:szCs w:val="22"/>
          <w:lang w:val="en-GB"/>
        </w:rPr>
        <w:t>defense</w:t>
      </w:r>
      <w:proofErr w:type="spellEnd"/>
      <w:r w:rsidRPr="00274702">
        <w:rPr>
          <w:rFonts w:ascii="Cambria" w:hAnsi="Cambria" w:eastAsia="Cambria" w:cs="Times New Roman"/>
          <w:i/>
          <w:iCs/>
          <w:sz w:val="22"/>
          <w:szCs w:val="22"/>
          <w:lang w:val="en-GB"/>
        </w:rPr>
        <w:t xml:space="preserve"> missions) and to autonomously develop and produce the related </w:t>
      </w:r>
      <w:proofErr w:type="spellStart"/>
      <w:r w:rsidRPr="00274702">
        <w:rPr>
          <w:rFonts w:ascii="Cambria" w:hAnsi="Cambria" w:eastAsia="Cambria" w:cs="Times New Roman"/>
          <w:i/>
          <w:iCs/>
          <w:sz w:val="22"/>
          <w:szCs w:val="22"/>
          <w:lang w:val="en-GB"/>
        </w:rPr>
        <w:t>defense</w:t>
      </w:r>
      <w:proofErr w:type="spellEnd"/>
      <w:r w:rsidRPr="00274702">
        <w:rPr>
          <w:rFonts w:ascii="Cambria" w:hAnsi="Cambria" w:eastAsia="Cambria" w:cs="Times New Roman"/>
          <w:i/>
          <w:iCs/>
          <w:sz w:val="22"/>
          <w:szCs w:val="22"/>
          <w:lang w:val="en-GB"/>
        </w:rPr>
        <w:t xml:space="preserve"> capabilities with minimal or no assistance from the United States.</w:t>
      </w:r>
      <w:r w:rsidRPr="00274702">
        <w:rPr>
          <w:rFonts w:ascii="Cambria" w:hAnsi="Cambria" w:eastAsia="Cambria" w:cs="Times New Roman"/>
          <w:sz w:val="22"/>
          <w:szCs w:val="22"/>
          <w:lang w:val="en-GB"/>
        </w:rPr>
        <w:t xml:space="preserve">” </w:t>
      </w:r>
      <w:r w:rsidRPr="00274702">
        <w:rPr>
          <w:rFonts w:ascii="Cambria" w:hAnsi="Cambria" w:eastAsia="Cambria" w:cs="Times New Roman"/>
          <w:sz w:val="22"/>
          <w:szCs w:val="22"/>
        </w:rPr>
        <w:t xml:space="preserve">(Hugo Meijer </w:t>
      </w:r>
      <w:proofErr w:type="spellStart"/>
      <w:r w:rsidRPr="00274702">
        <w:rPr>
          <w:rFonts w:ascii="Cambria" w:hAnsi="Cambria" w:eastAsia="Cambria" w:cs="Times New Roman"/>
          <w:sz w:val="22"/>
          <w:szCs w:val="22"/>
        </w:rPr>
        <w:t>and</w:t>
      </w:r>
      <w:proofErr w:type="spellEnd"/>
      <w:r w:rsidRPr="00274702">
        <w:rPr>
          <w:rFonts w:ascii="Cambria" w:hAnsi="Cambria" w:eastAsia="Cambria" w:cs="Times New Roman"/>
          <w:sz w:val="22"/>
          <w:szCs w:val="22"/>
        </w:rPr>
        <w:t xml:space="preserve"> Stephen G. Brooks 2021: 8). Anders gezegd: strategische autonomie gaat om het Europese vermogen om bepaalde veiligheidstaken te vervullen als de VS niet beschikbaar of niet bereid is om de leiding te nemen – maar daar valt een grote verscheidenheid aan potentiële militaire taken en capaciteiten onder.</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Deze ambitie wordt door drie hindernissen in het bijzonder belemmerd: de kosten; de heterogeniteit van de strategische cultuur van de lidstaten; en – vooral in het verleden – de antipathie van de VS jegens de EU.</w:t>
      </w:r>
    </w:p>
    <w:p w:rsidRPr="00274702" w:rsidR="00274702" w:rsidP="00274702" w:rsidRDefault="00274702">
      <w:pPr>
        <w:numPr>
          <w:ilvl w:val="0"/>
          <w:numId w:val="3"/>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u w:val="single"/>
        </w:rPr>
        <w:t>Kosten</w:t>
      </w:r>
      <w:r w:rsidRPr="00274702">
        <w:rPr>
          <w:rFonts w:ascii="Cambria" w:hAnsi="Cambria" w:eastAsia="Cambria" w:cs="Times New Roman"/>
          <w:sz w:val="22"/>
          <w:szCs w:val="22"/>
        </w:rPr>
        <w:t>: volledige strategische autonomie over het hele spectrum aan militaire missies is simpelweg heel duur op de korte termijn, hoewel haalbaar op de middellange termijn als er nu serieus geïnvesteerd wordt. In het verleden heeft een meerderheid van lidstaten, waaronder Nederland, vastgesteld dat de EU niet in capaciteit investeert die al bij de NAVO beschikbaar is. De EU heeft daarom met de NAVO afgesproken dat de EU NAVO-capaciteit mag benutten (zie het Berlijn Plus Akkoord). Dat is niet alleen goedkoper maar helpt ook om de VS aan Europa te binden, ook omdat middelen die anders in Europese autonomie worden geïnvesteerd nu bijdragen aan capaciteit die ook de NAVO ten goede komt. De kostenvraag is lastig. Als Europa in de nabije toekomst niet kan voorzien in de primaire behoeften waar het gaat om de eigen veiligheid – en als de VS dat niet langer kan of wil – dan zal dat ten koste kunnen gaan van haar fysieke en economische veiligheid. De verschillende invullingen van het begrip ‘strategische autonomie’ maken een inschatting van de kosten moeilijk, aangezien de kosten sterk afhankelijk zullen zijn van de aard van de missie. Maar veel taken die horen bij de collectieve verdediging van het Europese continent zijn minder politiek controversieel en qua capaciteit minder complex dan interventies ver buiten Europa.</w:t>
      </w:r>
    </w:p>
    <w:p w:rsidRPr="00274702" w:rsidR="00274702" w:rsidP="00274702" w:rsidRDefault="00274702">
      <w:pPr>
        <w:numPr>
          <w:ilvl w:val="0"/>
          <w:numId w:val="3"/>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u w:val="single"/>
        </w:rPr>
        <w:t>Heterogeniteit van lidstaten</w:t>
      </w:r>
      <w:r w:rsidRPr="00274702">
        <w:rPr>
          <w:rFonts w:ascii="Cambria" w:hAnsi="Cambria" w:eastAsia="Cambria" w:cs="Times New Roman"/>
          <w:sz w:val="22"/>
          <w:szCs w:val="22"/>
        </w:rPr>
        <w:t>: er zijn enorme verschillen onder de lidstaten wat betreft hun bedreigingsanalysen en hun strategische cultuur. De bedreigingsanalysen verschillen vooral met betrekking tot Rusland: Oost-Europese lidstaten beschouwen Rusland veel sterker als een bedreiging dan West-Europese lidstaten. De annexatie van de Krim en de oorlog in Oost-Oekraïne hebben er zeker toe geleid dat ook West-Europese staten minder vertrouwen hebben in Rusland. Desalniettemin hebben sommige lidstaten, zoals Frankrijk en Duitsland, een voorkeur voor samenwerking met Rusland onder bepaalde voorwaarden, waar dat voor de Baltische staten en Polen juist niet onderhandelbaar is.</w:t>
      </w:r>
    </w:p>
    <w:p w:rsidRPr="00274702" w:rsidR="00274702" w:rsidP="00274702" w:rsidRDefault="00274702">
      <w:pPr>
        <w:spacing w:line="276" w:lineRule="auto"/>
        <w:ind w:left="360"/>
        <w:rPr>
          <w:rFonts w:ascii="Cambria" w:hAnsi="Cambria" w:eastAsia="Cambria" w:cs="Times New Roman"/>
          <w:sz w:val="22"/>
          <w:szCs w:val="22"/>
        </w:rPr>
      </w:pPr>
      <w:r w:rsidRPr="00274702">
        <w:rPr>
          <w:rFonts w:ascii="Cambria" w:hAnsi="Cambria" w:eastAsia="Cambria" w:cs="Times New Roman"/>
          <w:sz w:val="22"/>
          <w:szCs w:val="22"/>
        </w:rPr>
        <w:t>Verder bestaan grote verschillen in bereidheid om aan militaire missies bij te dragen. Vooral Frankrijk heeft een lange geschiedenis van militair ingrijpen in het Midden-Oosten en Noord- en Sub-Sahara-Afrika en beschouwt de GVDB als middel om de lasten hiervan met Europese partners te delen. Oost-Europese staten hebben op hun beurt weinig interesse in deze missies buiten Europa en nemen doorgaans vooral deel om West-Europese steun te houden met betrekking tot de Russische dreiging. Oostenrijk, Finland, Zweden en Ierland zijn post-neutrale staten die wel bij vredesmissies meedoen maar bij expeditionaire oorlogvoering terughoudend zijn. Dat geldt ook – om historische redenen – voor Duitsland. Het grote politieke en economische gewicht dat Duitsland in Europa in de schaal legt, maakt het moeilijk om strategische autonomie vorm te geven zonder Duitse medewerking. Ten slotte: hoewel het vertrek van het VK uit de EU de impasse over strategische autonomie wellicht heeft doorbroken, zal het ook moeilijker zijn om Europese militaire slagkracht te genereren zonder de VK – een van de twee meest militair capabele staten in Europa (Frankrijk is de andere).</w:t>
      </w:r>
    </w:p>
    <w:p w:rsidRPr="00274702" w:rsidR="00274702" w:rsidP="00274702" w:rsidRDefault="00274702">
      <w:pPr>
        <w:numPr>
          <w:ilvl w:val="0"/>
          <w:numId w:val="3"/>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u w:val="single"/>
        </w:rPr>
        <w:t>Antipathie van de VS</w:t>
      </w:r>
      <w:r w:rsidRPr="00274702">
        <w:rPr>
          <w:rFonts w:ascii="Cambria" w:hAnsi="Cambria" w:eastAsia="Cambria" w:cs="Times New Roman"/>
          <w:sz w:val="22"/>
          <w:szCs w:val="22"/>
        </w:rPr>
        <w:t xml:space="preserve">: in het verleden was de VS wantrouwig ten opzichte van de meeste Europese initiatieven. Zo benadrukte Clintons minister van Buitenlandse Zaken, Madeleine </w:t>
      </w:r>
      <w:proofErr w:type="spellStart"/>
      <w:r w:rsidRPr="00274702">
        <w:rPr>
          <w:rFonts w:ascii="Cambria" w:hAnsi="Cambria" w:eastAsia="Cambria" w:cs="Times New Roman"/>
          <w:sz w:val="22"/>
          <w:szCs w:val="22"/>
        </w:rPr>
        <w:t>Albright</w:t>
      </w:r>
      <w:proofErr w:type="spellEnd"/>
      <w:r w:rsidRPr="00274702">
        <w:rPr>
          <w:rFonts w:ascii="Cambria" w:hAnsi="Cambria" w:eastAsia="Cambria" w:cs="Times New Roman"/>
          <w:sz w:val="22"/>
          <w:szCs w:val="22"/>
        </w:rPr>
        <w:t>, in reactie op het Chirac-Blair-EVDB-initiatief in 1998, dat dit niet mocht leiden tot duplicatie, discriminatie, en ontkoppeling (</w:t>
      </w:r>
      <w:proofErr w:type="spellStart"/>
      <w:r w:rsidRPr="00274702">
        <w:rPr>
          <w:rFonts w:ascii="Cambria" w:hAnsi="Cambria" w:eastAsia="Cambria" w:cs="Times New Roman"/>
          <w:i/>
          <w:iCs/>
          <w:sz w:val="22"/>
          <w:szCs w:val="22"/>
        </w:rPr>
        <w:t>decoupling</w:t>
      </w:r>
      <w:proofErr w:type="spellEnd"/>
      <w:r w:rsidRPr="00274702">
        <w:rPr>
          <w:rFonts w:ascii="Cambria" w:hAnsi="Cambria" w:eastAsia="Cambria" w:cs="Times New Roman"/>
          <w:sz w:val="22"/>
          <w:szCs w:val="22"/>
        </w:rPr>
        <w:t xml:space="preserve">). Dit maakte een coherente visie binnen Europa nog moeilijker </w:t>
      </w:r>
      <w:r w:rsidRPr="00274702">
        <w:rPr>
          <w:rFonts w:ascii="Cambria" w:hAnsi="Cambria" w:eastAsia="Cambria" w:cs="Times New Roman"/>
          <w:sz w:val="22"/>
          <w:szCs w:val="22"/>
        </w:rPr>
        <w:fldChar w:fldCharType="begin"/>
      </w:r>
      <w:r w:rsidRPr="00274702">
        <w:rPr>
          <w:rFonts w:ascii="Cambria" w:hAnsi="Cambria" w:eastAsia="Cambria" w:cs="Times New Roman"/>
          <w:sz w:val="22"/>
          <w:szCs w:val="22"/>
        </w:rPr>
        <w:instrText xml:space="preserve"> ADDIN ZOTERO_ITEM CSL_CITATION {"citationID":"l1tnJaX5","properties":{"formattedCitation":"(Van Hooft 2020)","plainCitation":"(Van Hooft 2020)","noteIndex":0},"citationItems":[{"id":58,"uris":["http://zotero.org/users/4234773/items/D43IRGZU"],"uri":["http://zotero.org/users/4234773/items/D43IRGZU"],"itemData":{"id":58,"type":"article-journal","container-title":"International Politics","page":"530-553","source":"Google Scholar","title":"Land rush: American grand strategy, NATO enlargement, and European fragmentation","title-short":"Land rush","volume":"57","author":[{"family":"Van Hooft","given":"Paul"}],"issued":{"date-parts":[["2020"]]}}}],"schema":"https://github.com/citation-style-language/schema/raw/master/csl-citation.json"} </w:instrText>
      </w:r>
      <w:r w:rsidRPr="00274702">
        <w:rPr>
          <w:rFonts w:ascii="Cambria" w:hAnsi="Cambria" w:eastAsia="Cambria" w:cs="Times New Roman"/>
          <w:sz w:val="22"/>
          <w:szCs w:val="22"/>
        </w:rPr>
        <w:fldChar w:fldCharType="separate"/>
      </w:r>
      <w:r w:rsidRPr="00274702">
        <w:rPr>
          <w:rFonts w:ascii="Cambria" w:hAnsi="Cambria" w:eastAsia="Cambria" w:cs="Times New Roman"/>
          <w:sz w:val="22"/>
          <w:szCs w:val="22"/>
        </w:rPr>
        <w:t>(Van Hooft 2020)</w:t>
      </w:r>
      <w:r w:rsidRPr="00274702">
        <w:rPr>
          <w:rFonts w:ascii="Cambria" w:hAnsi="Cambria" w:eastAsia="Cambria" w:cs="Times New Roman"/>
          <w:sz w:val="22"/>
          <w:szCs w:val="22"/>
        </w:rPr>
        <w:fldChar w:fldCharType="end"/>
      </w:r>
      <w:r w:rsidRPr="00274702">
        <w:rPr>
          <w:rFonts w:ascii="Cambria" w:hAnsi="Cambria" w:eastAsia="Cambria" w:cs="Times New Roman"/>
          <w:sz w:val="22"/>
          <w:szCs w:val="22"/>
        </w:rPr>
        <w:t xml:space="preserve">. </w:t>
      </w:r>
    </w:p>
    <w:p w:rsidRPr="00274702" w:rsidR="00274702" w:rsidP="00274702" w:rsidRDefault="00274702">
      <w:pPr>
        <w:spacing w:line="276" w:lineRule="auto"/>
        <w:ind w:left="360"/>
        <w:contextualSpacing/>
        <w:rPr>
          <w:rFonts w:ascii="Cambria" w:hAnsi="Cambria" w:eastAsia="Cambria" w:cs="Times New Roman"/>
          <w:sz w:val="22"/>
          <w:szCs w:val="22"/>
        </w:rPr>
      </w:pPr>
      <w:r w:rsidRPr="00274702">
        <w:rPr>
          <w:rFonts w:ascii="Cambria" w:hAnsi="Cambria" w:eastAsia="Cambria" w:cs="Times New Roman"/>
          <w:sz w:val="22"/>
          <w:szCs w:val="22"/>
        </w:rPr>
        <w:t xml:space="preserve">Inmiddels hebben Amerikaanse beleidsmakers al lang (sinds de tweede termijn van George W. Bush) in belangrijke mate hun verzet tegen Europese autonomie laten varen (onder andere door de herintegratie </w:t>
      </w:r>
      <w:r w:rsidRPr="00274702">
        <w:rPr>
          <w:rFonts w:ascii="Cambria" w:hAnsi="Cambria" w:eastAsia="Cambria" w:cs="Times New Roman"/>
          <w:sz w:val="22"/>
          <w:szCs w:val="22"/>
        </w:rPr>
        <w:lastRenderedPageBreak/>
        <w:t xml:space="preserve">van Frankrijk in de NAVO in 2008-2009). Gezien de Amerikaanse focus op de Indo-Pacific zal die trend zich waarschijnlijk doorzetten onder </w:t>
      </w:r>
      <w:proofErr w:type="spellStart"/>
      <w:r w:rsidRPr="00274702">
        <w:rPr>
          <w:rFonts w:ascii="Cambria" w:hAnsi="Cambria" w:eastAsia="Cambria" w:cs="Times New Roman"/>
          <w:sz w:val="22"/>
          <w:szCs w:val="22"/>
        </w:rPr>
        <w:t>Biden</w:t>
      </w:r>
      <w:proofErr w:type="spellEnd"/>
      <w:r w:rsidRPr="00274702">
        <w:rPr>
          <w:rFonts w:ascii="Cambria" w:hAnsi="Cambria" w:eastAsia="Cambria" w:cs="Times New Roman"/>
          <w:sz w:val="22"/>
          <w:szCs w:val="22"/>
        </w:rPr>
        <w:t xml:space="preserve"> </w:t>
      </w:r>
      <w:r w:rsidRPr="00274702">
        <w:rPr>
          <w:rFonts w:ascii="Cambria" w:hAnsi="Cambria" w:eastAsia="Cambria" w:cs="Times New Roman"/>
          <w:sz w:val="22"/>
          <w:szCs w:val="22"/>
        </w:rPr>
        <w:fldChar w:fldCharType="begin"/>
      </w:r>
      <w:r w:rsidRPr="00274702">
        <w:rPr>
          <w:rFonts w:ascii="Cambria" w:hAnsi="Cambria" w:eastAsia="Cambria" w:cs="Times New Roman"/>
          <w:sz w:val="22"/>
          <w:szCs w:val="22"/>
        </w:rPr>
        <w:instrText xml:space="preserve"> ADDIN ZOTERO_ITEM CSL_CITATION {"citationID":"hEvybMoB","properties":{"formattedCitation":"(Van Hooft 2021; Sim\\uc0\\u243{}n, Desmaele, and Becker 2021)","plainCitation":"(Van Hooft 2021; Simón, Desmaele, and Becker 2021)","noteIndex":0},"citationItems":[{"id":8190,"uris":["http://zotero.org/groups/2623600/items/MDJBD6S6"],"uri":["http://zotero.org/groups/2623600/items/MDJBD6S6"],"itemData":{"id":8190,"type":"chapter","container-title":"The Future of European Strategy in a Changing Geopolitical Environment: Challenges and Prospects","event-place":"The Hague, Netherlands","publisher":"The Hague Centre for Strategic Studies","publisher-place":"The Hague, Netherlands","title":"The United States May be Willing, but no Longer Always Able: the Need for Transatlantic Burden Sharing in the Pacific Century","author":[{"family":"Van Hooft","given":"Paul"}],"editor":[{"family":"Foulon","given":"Michiel"},{"family":"Thompson","given":"Jack"}],"issued":{"date-parts":[["2021",8]]}}},{"id":5476,"uris":["http://zotero.org/users/4234773/items/Z367WBRT"],"uri":["http://zotero.org/users/4234773/items/Z367WBRT"],"itemData":{"id":5476,"type":"article-journal","container-title":"Strategic Studies Quarterly","issue":"1","note":"publisher: JSTOR","page":"90–115","source":"Google Scholar","title":"Europe as a Secondary Theater? Competition with China and the Future of America’s European Strategy","title-short":"Europe as a Secondary Theater?","volume":"15","author":[{"family":"Simón","given":"Luis"},{"family":"Desmaele","given":"Linde"},{"family":"Becker","given":"Jordan"}],"issued":{"date-parts":[["2021"]]}}}],"schema":"https://github.com/citation-style-language/schema/raw/master/csl-citation.json"} </w:instrText>
      </w:r>
      <w:r w:rsidRPr="00274702">
        <w:rPr>
          <w:rFonts w:ascii="Cambria" w:hAnsi="Cambria" w:eastAsia="Cambria" w:cs="Times New Roman"/>
          <w:sz w:val="22"/>
          <w:szCs w:val="22"/>
        </w:rPr>
        <w:fldChar w:fldCharType="separate"/>
      </w:r>
      <w:r w:rsidRPr="00274702">
        <w:rPr>
          <w:rFonts w:ascii="Cambria" w:hAnsi="Cambria" w:eastAsia="Cambria" w:cs="Times New Roman"/>
          <w:sz w:val="22"/>
          <w:szCs w:val="22"/>
        </w:rPr>
        <w:t>(Van Hooft 2021; Simón, Desmaele, and Becker 2021)</w:t>
      </w:r>
      <w:r w:rsidRPr="00274702">
        <w:rPr>
          <w:rFonts w:ascii="Cambria" w:hAnsi="Cambria" w:eastAsia="Cambria" w:cs="Times New Roman"/>
          <w:sz w:val="22"/>
          <w:szCs w:val="22"/>
        </w:rPr>
        <w:fldChar w:fldCharType="end"/>
      </w:r>
      <w:r w:rsidRPr="00274702">
        <w:rPr>
          <w:rFonts w:ascii="Cambria" w:hAnsi="Cambria" w:eastAsia="Cambria" w:cs="Times New Roman"/>
          <w:sz w:val="22"/>
          <w:szCs w:val="22"/>
        </w:rPr>
        <w:t>.</w:t>
      </w:r>
    </w:p>
    <w:p w:rsidRPr="00274702" w:rsidR="00274702" w:rsidP="00274702" w:rsidRDefault="00274702">
      <w:pPr>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Gevolgen voor Nederland</w:t>
      </w:r>
    </w:p>
    <w:p w:rsidRPr="001E5255" w:rsidR="00274702" w:rsidP="001E5255" w:rsidRDefault="00274702">
      <w:pPr>
        <w:pStyle w:val="Tussenkopje"/>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In het verleden heeft Nederland op het gebied van defensie nauw met andere EU-staten samengewerkt, maar heeft het tegelijkertijd beklemtoond dat deze samenwerking niet ten koste van de NAVO gaat. Het is belangrijk om te benadrukken dat het niet langer een keuze is tussen óf de EU óf de NAVO: Europese middelen kunnen gaten vullen en afhankelijkheden ondervangen die inherent zijn aan het NAVO-systeem dat zwaar leunt op Amerikaanse </w:t>
      </w:r>
      <w:proofErr w:type="spellStart"/>
      <w:r w:rsidRPr="00274702">
        <w:rPr>
          <w:rFonts w:ascii="Cambria" w:hAnsi="Cambria" w:eastAsia="Cambria" w:cs="Times New Roman"/>
          <w:sz w:val="22"/>
          <w:szCs w:val="22"/>
        </w:rPr>
        <w:t>enablers</w:t>
      </w:r>
      <w:proofErr w:type="spellEnd"/>
      <w:r w:rsidRPr="00274702">
        <w:rPr>
          <w:rFonts w:ascii="Cambria" w:hAnsi="Cambria" w:eastAsia="Cambria" w:cs="Times New Roman"/>
          <w:sz w:val="22"/>
          <w:szCs w:val="22"/>
        </w:rPr>
        <w:t>. De Amerikaanse houding is veranderd; nu de VS zich richt op Azië en China wil het meer bewegingsruimte in de rest van de wereld. Europa is al lang niet meer de eerste prioriteit voor de VS.</w:t>
      </w:r>
    </w:p>
    <w:p w:rsidRPr="00274702" w:rsidR="00274702" w:rsidP="00274702" w:rsidRDefault="00274702">
      <w:pPr>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Bronnen</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ind w:left="720" w:hanging="720"/>
        <w:rPr>
          <w:rFonts w:ascii="Cambria" w:hAnsi="Cambria" w:eastAsia="Times New Roman" w:cs="Times New Roman"/>
          <w:sz w:val="22"/>
          <w:szCs w:val="22"/>
          <w:lang w:eastAsia="en-GB"/>
        </w:rPr>
      </w:pPr>
      <w:r w:rsidRPr="00274702">
        <w:rPr>
          <w:rFonts w:ascii="Cambria" w:hAnsi="Cambria" w:eastAsia="Times New Roman" w:cs="Times New Roman"/>
          <w:sz w:val="22"/>
          <w:szCs w:val="22"/>
          <w:lang w:eastAsia="en-GB"/>
        </w:rPr>
        <w:t>Europese Raad. 2013. Conclusies Europese Raad 19/20 december 2013.</w:t>
      </w:r>
    </w:p>
    <w:p w:rsidRPr="00274702" w:rsidR="00274702" w:rsidP="00274702" w:rsidRDefault="00274702">
      <w:pPr>
        <w:spacing w:line="276" w:lineRule="auto"/>
        <w:ind w:left="720" w:hanging="720"/>
        <w:rPr>
          <w:rFonts w:ascii="Cambria" w:hAnsi="Cambria" w:eastAsia="Times New Roman" w:cs="Times New Roman"/>
          <w:sz w:val="22"/>
          <w:szCs w:val="22"/>
          <w:lang w:eastAsia="en-GB"/>
        </w:rPr>
      </w:pPr>
      <w:r w:rsidRPr="00274702">
        <w:rPr>
          <w:rFonts w:ascii="Cambria" w:hAnsi="Cambria" w:eastAsia="Times New Roman" w:cs="Times New Roman"/>
          <w:sz w:val="22"/>
          <w:szCs w:val="22"/>
          <w:lang w:eastAsia="en-GB"/>
        </w:rPr>
        <w:t xml:space="preserve">Europese Raad. 2020. Conclusies, Europese Raad, 1/2 </w:t>
      </w:r>
      <w:proofErr w:type="spellStart"/>
      <w:r w:rsidRPr="00274702">
        <w:rPr>
          <w:rFonts w:ascii="Cambria" w:hAnsi="Cambria" w:eastAsia="Times New Roman" w:cs="Times New Roman"/>
          <w:sz w:val="22"/>
          <w:szCs w:val="22"/>
          <w:lang w:eastAsia="en-GB"/>
        </w:rPr>
        <w:t>october</w:t>
      </w:r>
      <w:proofErr w:type="spellEnd"/>
      <w:r w:rsidRPr="00274702">
        <w:rPr>
          <w:rFonts w:ascii="Cambria" w:hAnsi="Cambria" w:eastAsia="Times New Roman" w:cs="Times New Roman"/>
          <w:sz w:val="22"/>
          <w:szCs w:val="22"/>
          <w:lang w:eastAsia="en-GB"/>
        </w:rPr>
        <w:t xml:space="preserve"> 2020.</w:t>
      </w:r>
    </w:p>
    <w:p w:rsidRPr="00274702" w:rsidR="00274702" w:rsidP="00274702" w:rsidRDefault="00274702">
      <w:pPr>
        <w:spacing w:line="276" w:lineRule="auto"/>
        <w:ind w:left="720" w:hanging="720"/>
        <w:rPr>
          <w:rFonts w:ascii="Cambria" w:hAnsi="Cambria" w:eastAsia="Times New Roman" w:cs="Times New Roman"/>
          <w:sz w:val="22"/>
          <w:szCs w:val="22"/>
          <w:lang w:val="en-GB" w:eastAsia="en-GB"/>
        </w:rPr>
      </w:pPr>
      <w:r w:rsidRPr="00274702">
        <w:rPr>
          <w:rFonts w:ascii="Cambria" w:hAnsi="Cambria" w:eastAsia="Times New Roman" w:cs="Times New Roman"/>
          <w:sz w:val="22"/>
          <w:szCs w:val="22"/>
          <w:lang w:val="en-GB" w:eastAsia="en-GB"/>
        </w:rPr>
        <w:t>High Representative of the Union for Foreign Affairs and Security Policy. 2016. Shared vision, common action: A stronger Europe. A Global Strategy for the European Union’s Foreign and Security Policy. Luxemburg: Publications Office of the European Union.</w:t>
      </w:r>
    </w:p>
    <w:p w:rsidRPr="00274702" w:rsidR="00274702" w:rsidP="00274702" w:rsidRDefault="00274702">
      <w:pPr>
        <w:spacing w:line="276" w:lineRule="auto"/>
        <w:ind w:left="720" w:hanging="720"/>
        <w:rPr>
          <w:rFonts w:ascii="Cambria" w:hAnsi="Cambria" w:eastAsia="Times New Roman" w:cs="Times New Roman"/>
          <w:sz w:val="22"/>
          <w:szCs w:val="22"/>
          <w:lang w:val="en-GB" w:eastAsia="en-GB"/>
        </w:rPr>
      </w:pPr>
      <w:proofErr w:type="spellStart"/>
      <w:r w:rsidRPr="00274702">
        <w:rPr>
          <w:rFonts w:ascii="Cambria" w:hAnsi="Cambria" w:eastAsia="Times New Roman" w:cs="Times New Roman"/>
          <w:sz w:val="22"/>
          <w:szCs w:val="22"/>
          <w:lang w:val="en-GB" w:eastAsia="en-GB"/>
        </w:rPr>
        <w:t>Jegen</w:t>
      </w:r>
      <w:proofErr w:type="spellEnd"/>
      <w:r w:rsidRPr="00274702">
        <w:rPr>
          <w:rFonts w:ascii="Cambria" w:hAnsi="Cambria" w:eastAsia="Times New Roman" w:cs="Times New Roman"/>
          <w:sz w:val="22"/>
          <w:szCs w:val="22"/>
          <w:lang w:val="en-GB" w:eastAsia="en-GB"/>
        </w:rPr>
        <w:t xml:space="preserve">, Maya, and </w:t>
      </w:r>
      <w:proofErr w:type="spellStart"/>
      <w:r w:rsidRPr="00274702">
        <w:rPr>
          <w:rFonts w:ascii="Cambria" w:hAnsi="Cambria" w:eastAsia="Times New Roman" w:cs="Times New Roman"/>
          <w:sz w:val="22"/>
          <w:szCs w:val="22"/>
          <w:lang w:val="en-GB" w:eastAsia="en-GB"/>
        </w:rPr>
        <w:t>Frédéric</w:t>
      </w:r>
      <w:proofErr w:type="spellEnd"/>
      <w:r w:rsidRPr="00274702">
        <w:rPr>
          <w:rFonts w:ascii="Cambria" w:hAnsi="Cambria" w:eastAsia="Times New Roman" w:cs="Times New Roman"/>
          <w:sz w:val="22"/>
          <w:szCs w:val="22"/>
          <w:lang w:val="en-GB" w:eastAsia="en-GB"/>
        </w:rPr>
        <w:t xml:space="preserve"> </w:t>
      </w:r>
      <w:proofErr w:type="spellStart"/>
      <w:r w:rsidRPr="00274702">
        <w:rPr>
          <w:rFonts w:ascii="Cambria" w:hAnsi="Cambria" w:eastAsia="Times New Roman" w:cs="Times New Roman"/>
          <w:sz w:val="22"/>
          <w:szCs w:val="22"/>
          <w:lang w:val="en-GB" w:eastAsia="en-GB"/>
        </w:rPr>
        <w:t>Mérand</w:t>
      </w:r>
      <w:proofErr w:type="spellEnd"/>
      <w:r w:rsidRPr="00274702">
        <w:rPr>
          <w:rFonts w:ascii="Cambria" w:hAnsi="Cambria" w:eastAsia="Times New Roman" w:cs="Times New Roman"/>
          <w:sz w:val="22"/>
          <w:szCs w:val="22"/>
          <w:lang w:val="en-GB" w:eastAsia="en-GB"/>
        </w:rPr>
        <w:t>. 2014. "Constructive ambiguity: Comparing the EU’s energy and defence policies."  West European Politics 37 (1):182-203.</w:t>
      </w:r>
    </w:p>
    <w:p w:rsidRPr="00274702" w:rsidR="00274702" w:rsidP="00274702" w:rsidRDefault="00274702">
      <w:pPr>
        <w:spacing w:line="276" w:lineRule="auto"/>
        <w:ind w:left="720" w:hanging="720"/>
        <w:rPr>
          <w:rFonts w:ascii="Cambria" w:hAnsi="Cambria" w:eastAsia="Times New Roman" w:cs="Times New Roman"/>
          <w:sz w:val="22"/>
          <w:szCs w:val="22"/>
          <w:lang w:val="en-GB" w:eastAsia="en-GB"/>
        </w:rPr>
      </w:pPr>
      <w:r w:rsidRPr="00274702">
        <w:rPr>
          <w:rFonts w:ascii="Cambria" w:hAnsi="Cambria" w:eastAsia="Times New Roman" w:cs="Times New Roman"/>
          <w:sz w:val="22"/>
          <w:szCs w:val="22"/>
          <w:lang w:val="en-GB" w:eastAsia="en-GB"/>
        </w:rPr>
        <w:t>Meijer, Hugo, and Stephen G Brooks. 2021. "Illusions of Autonomy: Why Europe Cannot Provide for Its Security If the United States Pulls Back."  International Security 45 (4):7-43.</w:t>
      </w:r>
    </w:p>
    <w:p w:rsidRPr="00274702" w:rsidR="00274702" w:rsidP="00274702" w:rsidRDefault="00274702">
      <w:pPr>
        <w:spacing w:line="276" w:lineRule="auto"/>
        <w:rPr>
          <w:rFonts w:ascii="Cambria" w:hAnsi="Cambria" w:eastAsia="Cambria" w:cs="Times New Roman"/>
          <w:sz w:val="22"/>
          <w:szCs w:val="22"/>
          <w:lang w:val="en-GB"/>
        </w:rPr>
      </w:pPr>
      <w:r w:rsidRPr="00274702">
        <w:rPr>
          <w:rFonts w:ascii="Cambria" w:hAnsi="Cambria" w:eastAsia="Cambria" w:cs="Times New Roman"/>
          <w:sz w:val="22"/>
          <w:szCs w:val="22"/>
          <w:lang w:val="en-GB"/>
        </w:rPr>
        <w:fldChar w:fldCharType="begin"/>
      </w:r>
      <w:r w:rsidRPr="00274702">
        <w:rPr>
          <w:rFonts w:ascii="Cambria" w:hAnsi="Cambria" w:eastAsia="Cambria" w:cs="Times New Roman"/>
          <w:sz w:val="22"/>
          <w:szCs w:val="22"/>
          <w:lang w:val="en-US"/>
        </w:rPr>
        <w:instrText xml:space="preserve"> ADDIN ZOTERO_BIBL {"uncited":[],"omitted":[],"custom":[]} CSL_BIBLIOGRAPHY </w:instrText>
      </w:r>
      <w:r w:rsidRPr="00274702">
        <w:rPr>
          <w:rFonts w:ascii="Cambria" w:hAnsi="Cambria" w:eastAsia="Cambria" w:cs="Times New Roman"/>
          <w:sz w:val="22"/>
          <w:szCs w:val="22"/>
          <w:lang w:val="en-GB"/>
        </w:rPr>
        <w:fldChar w:fldCharType="separate"/>
      </w:r>
      <w:r w:rsidRPr="00274702">
        <w:rPr>
          <w:rFonts w:ascii="Cambria" w:hAnsi="Cambria" w:eastAsia="Cambria" w:cs="Times New Roman"/>
          <w:sz w:val="22"/>
          <w:szCs w:val="22"/>
          <w:lang w:val="en-GB"/>
        </w:rPr>
        <w:t xml:space="preserve">Simón, Luis, Linde Desmaele, and Jordan Becker. 2021. “Europe as a Secondary Theater? Competition with China and the Future of America’s European Strategy.” </w:t>
      </w:r>
      <w:r w:rsidRPr="00274702">
        <w:rPr>
          <w:rFonts w:ascii="Cambria" w:hAnsi="Cambria" w:eastAsia="Cambria" w:cs="Times New Roman"/>
          <w:i/>
          <w:iCs/>
          <w:sz w:val="22"/>
          <w:szCs w:val="22"/>
          <w:lang w:val="en-GB"/>
        </w:rPr>
        <w:t>Strategic Studies Quarterly</w:t>
      </w:r>
      <w:r w:rsidRPr="00274702">
        <w:rPr>
          <w:rFonts w:ascii="Cambria" w:hAnsi="Cambria" w:eastAsia="Cambria" w:cs="Times New Roman"/>
          <w:sz w:val="22"/>
          <w:szCs w:val="22"/>
          <w:lang w:val="en-GB"/>
        </w:rPr>
        <w:t xml:space="preserve"> 15 (1): 90–115.</w:t>
      </w:r>
    </w:p>
    <w:p w:rsidRPr="00274702" w:rsidR="00274702" w:rsidP="00274702" w:rsidRDefault="00274702">
      <w:pPr>
        <w:spacing w:line="276" w:lineRule="auto"/>
        <w:rPr>
          <w:rFonts w:ascii="Cambria" w:hAnsi="Cambria" w:eastAsia="Cambria" w:cs="Times New Roman"/>
          <w:sz w:val="22"/>
          <w:szCs w:val="22"/>
          <w:lang w:val="en-GB"/>
        </w:rPr>
      </w:pPr>
      <w:r w:rsidRPr="00274702">
        <w:rPr>
          <w:rFonts w:ascii="Cambria" w:hAnsi="Cambria" w:eastAsia="Cambria" w:cs="Times New Roman"/>
          <w:sz w:val="22"/>
          <w:szCs w:val="22"/>
          <w:lang w:val="en-GB"/>
        </w:rPr>
        <w:t xml:space="preserve">Van Hooft, Paul. 2020. “Land Rush: American Grand Strategy, NATO Enlargement, and European Fragmentation.” </w:t>
      </w:r>
      <w:r w:rsidRPr="00274702">
        <w:rPr>
          <w:rFonts w:ascii="Cambria" w:hAnsi="Cambria" w:eastAsia="Cambria" w:cs="Times New Roman"/>
          <w:i/>
          <w:iCs/>
          <w:sz w:val="22"/>
          <w:szCs w:val="22"/>
          <w:lang w:val="en-GB"/>
        </w:rPr>
        <w:t>International Politics</w:t>
      </w:r>
      <w:r w:rsidRPr="00274702">
        <w:rPr>
          <w:rFonts w:ascii="Cambria" w:hAnsi="Cambria" w:eastAsia="Cambria" w:cs="Times New Roman"/>
          <w:sz w:val="22"/>
          <w:szCs w:val="22"/>
          <w:lang w:val="en-GB"/>
        </w:rPr>
        <w:t xml:space="preserve"> 57: 530–53.</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lang w:val="en-GB"/>
        </w:rPr>
        <w:t xml:space="preserve">———. 2021. “The United States May Be Willing, but No Longer Always Able: The Need for Transatlantic Burden Sharing in the Pacific Century.” In </w:t>
      </w:r>
      <w:r w:rsidRPr="00274702">
        <w:rPr>
          <w:rFonts w:ascii="Cambria" w:hAnsi="Cambria" w:eastAsia="Cambria" w:cs="Times New Roman"/>
          <w:i/>
          <w:iCs/>
          <w:sz w:val="22"/>
          <w:szCs w:val="22"/>
          <w:lang w:val="en-GB"/>
        </w:rPr>
        <w:t>The Future of European Strategy in a Changing Geopolitical Environment: Challenges and Prospects</w:t>
      </w:r>
      <w:r w:rsidRPr="00274702">
        <w:rPr>
          <w:rFonts w:ascii="Cambria" w:hAnsi="Cambria" w:eastAsia="Cambria" w:cs="Times New Roman"/>
          <w:sz w:val="22"/>
          <w:szCs w:val="22"/>
          <w:lang w:val="en-GB"/>
        </w:rPr>
        <w:t xml:space="preserve">, edited by Michiel Foulon and Jack Thompson. </w:t>
      </w:r>
      <w:r w:rsidRPr="00274702">
        <w:rPr>
          <w:rFonts w:ascii="Cambria" w:hAnsi="Cambria" w:eastAsia="Cambria" w:cs="Times New Roman"/>
          <w:sz w:val="22"/>
          <w:szCs w:val="22"/>
        </w:rPr>
        <w:t>The Hague, Netherlands: The Hague Centre for Strategic Studies.</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lang w:val="en-GB"/>
        </w:rPr>
        <w:fldChar w:fldCharType="end"/>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60" w:lineRule="atLeast"/>
        <w:rPr>
          <w:rFonts w:ascii="Cambria" w:hAnsi="Cambria" w:eastAsia="Cambria" w:cs="Times New Roman"/>
          <w:sz w:val="22"/>
          <w:szCs w:val="22"/>
        </w:rPr>
      </w:pPr>
      <w:r w:rsidRPr="00274702">
        <w:rPr>
          <w:rFonts w:ascii="Cambria" w:hAnsi="Cambria" w:eastAsia="Cambria" w:cs="Times New Roman"/>
          <w:sz w:val="22"/>
          <w:szCs w:val="22"/>
        </w:rPr>
        <w:br w:type="page"/>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lastRenderedPageBreak/>
        <w:t xml:space="preserve">Wetenschappelijke </w:t>
      </w:r>
      <w:proofErr w:type="spellStart"/>
      <w:r w:rsidRPr="00274702">
        <w:rPr>
          <w:rFonts w:ascii="Cambria" w:hAnsi="Cambria" w:eastAsia="Cambria" w:cs="Times New Roman"/>
          <w:sz w:val="22"/>
          <w:szCs w:val="22"/>
        </w:rPr>
        <w:t>factsheet</w:t>
      </w:r>
      <w:proofErr w:type="spellEnd"/>
    </w:p>
    <w:p w:rsidRPr="00274702" w:rsidR="00274702" w:rsidP="00274702" w:rsidRDefault="00274702">
      <w:pPr>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SANCTIES</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Dr. </w:t>
      </w:r>
      <w:proofErr w:type="spellStart"/>
      <w:r w:rsidRPr="00274702">
        <w:rPr>
          <w:rFonts w:ascii="Cambria" w:hAnsi="Cambria" w:eastAsia="Cambria" w:cs="Times New Roman"/>
          <w:sz w:val="22"/>
          <w:szCs w:val="22"/>
        </w:rPr>
        <w:t>Michal</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Onderco</w:t>
      </w:r>
      <w:proofErr w:type="spellEnd"/>
      <w:r w:rsidRPr="00274702">
        <w:rPr>
          <w:rFonts w:ascii="Cambria" w:hAnsi="Cambria" w:eastAsia="Cambria" w:cs="Times New Roman"/>
          <w:sz w:val="22"/>
          <w:szCs w:val="22"/>
        </w:rPr>
        <w:t xml:space="preserve"> (Erasmus Universiteit Rotterdam) </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Prof. dr. Wolfgang Wagner (Vrije Universiteit Amsterdam)</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11 Oktober 2021</w:t>
      </w:r>
    </w:p>
    <w:p w:rsidRPr="00274702" w:rsidR="00274702" w:rsidP="00274702" w:rsidRDefault="00274702">
      <w:pPr>
        <w:spacing w:line="276" w:lineRule="auto"/>
        <w:rPr>
          <w:rFonts w:ascii="Cambria" w:hAnsi="Cambria" w:eastAsia="Cambria" w:cs="Times New Roman"/>
          <w:b/>
          <w:bCs/>
          <w:sz w:val="22"/>
          <w:szCs w:val="22"/>
        </w:rPr>
      </w:pPr>
    </w:p>
    <w:p w:rsidRPr="001E5255" w:rsidR="00274702" w:rsidP="00325809" w:rsidRDefault="00274702">
      <w:pPr>
        <w:pStyle w:val="Tussenkopje"/>
        <w:ind w:left="0"/>
      </w:pPr>
      <w:r w:rsidRPr="001E5255">
        <w:t>Centrale vraagstelling</w:t>
      </w:r>
    </w:p>
    <w:p w:rsidRPr="00274702" w:rsidR="00274702" w:rsidP="00274702" w:rsidRDefault="00274702">
      <w:pPr>
        <w:spacing w:line="276" w:lineRule="auto"/>
        <w:rPr>
          <w:rFonts w:ascii="Cambria" w:hAnsi="Cambria" w:eastAsia="Cambria" w:cs="Cambria"/>
          <w:sz w:val="22"/>
          <w:szCs w:val="22"/>
        </w:rPr>
      </w:pPr>
      <w:r w:rsidRPr="00274702">
        <w:rPr>
          <w:rFonts w:ascii="Cambria" w:hAnsi="Cambria" w:eastAsia="Cambria" w:cs="Cambria"/>
          <w:sz w:val="22"/>
          <w:szCs w:val="22"/>
        </w:rPr>
        <w:t>Welke mogelijkheden zijn er in het EU buitenlands beleid om sancties toe te passen, en welke sancties zijn effectief en hebben impact? Welke ruimte is er voor Nederland en de lidstaten om daarin een eigen buitenlands beleid te voeren?</w:t>
      </w:r>
    </w:p>
    <w:p w:rsidRPr="00274702" w:rsidR="00274702" w:rsidP="00274702" w:rsidRDefault="00274702">
      <w:pPr>
        <w:spacing w:line="276" w:lineRule="auto"/>
        <w:rPr>
          <w:rFonts w:ascii="Cambria" w:hAnsi="Cambria" w:eastAsia="Cambria" w:cs="Cambria"/>
          <w:sz w:val="22"/>
          <w:szCs w:val="22"/>
        </w:rPr>
      </w:pPr>
    </w:p>
    <w:p w:rsidRPr="001E5255" w:rsidR="00274702" w:rsidP="00325809" w:rsidRDefault="00274702">
      <w:pPr>
        <w:pStyle w:val="Tussenkopje"/>
        <w:ind w:left="0"/>
      </w:pPr>
      <w:r w:rsidRPr="001E5255">
        <w:t>Samenvatting</w:t>
      </w:r>
      <w:r w:rsidRPr="001E5255">
        <w:br/>
      </w:r>
    </w:p>
    <w:p w:rsidRPr="00274702" w:rsidR="00274702" w:rsidP="00274702" w:rsidRDefault="00274702">
      <w:pPr>
        <w:numPr>
          <w:ilvl w:val="0"/>
          <w:numId w:val="12"/>
        </w:numPr>
        <w:spacing w:line="260" w:lineRule="atLeast"/>
        <w:contextualSpacing/>
        <w:rPr>
          <w:rFonts w:ascii="Cambria" w:hAnsi="Cambria" w:eastAsia="Cambria" w:cs="Times New Roman"/>
          <w:sz w:val="22"/>
          <w:szCs w:val="22"/>
        </w:rPr>
      </w:pPr>
      <w:r w:rsidRPr="00274702">
        <w:rPr>
          <w:rFonts w:ascii="Cambria" w:hAnsi="Cambria" w:eastAsia="Cambria" w:cs="Times New Roman"/>
          <w:sz w:val="22"/>
          <w:szCs w:val="22"/>
        </w:rPr>
        <w:t>Anders dan de sancties tijdens de Koude Oorlog zijn inmiddels de meeste sancties gericht op individuen of bedrijven.</w:t>
      </w:r>
    </w:p>
    <w:p w:rsidRPr="00274702" w:rsidR="00274702" w:rsidP="00274702" w:rsidRDefault="00274702">
      <w:pPr>
        <w:numPr>
          <w:ilvl w:val="0"/>
          <w:numId w:val="12"/>
        </w:numPr>
        <w:spacing w:line="260" w:lineRule="atLeast"/>
        <w:contextualSpacing/>
        <w:rPr>
          <w:rFonts w:ascii="Cambria" w:hAnsi="Cambria" w:eastAsia="Cambria" w:cs="Times New Roman"/>
          <w:sz w:val="22"/>
          <w:szCs w:val="22"/>
        </w:rPr>
      </w:pPr>
      <w:r w:rsidRPr="00274702">
        <w:rPr>
          <w:rFonts w:ascii="Cambria" w:hAnsi="Cambria" w:eastAsia="Cambria" w:cs="Times New Roman"/>
          <w:sz w:val="22"/>
          <w:szCs w:val="22"/>
        </w:rPr>
        <w:t>Het opleggen van sancties kan in Nederland gebeuren door drie hoofdroutes: door de VN (ingevoerd door de Europese Raad), door de EU, of in een klein aantal situaties door eigen sanctiebeleid</w:t>
      </w:r>
    </w:p>
    <w:p w:rsidRPr="00274702" w:rsidR="00274702" w:rsidP="00274702" w:rsidRDefault="00274702">
      <w:pPr>
        <w:numPr>
          <w:ilvl w:val="0"/>
          <w:numId w:val="12"/>
        </w:numPr>
        <w:spacing w:line="260" w:lineRule="atLeast"/>
        <w:contextualSpacing/>
        <w:rPr>
          <w:rFonts w:ascii="Cambria" w:hAnsi="Cambria" w:eastAsia="Cambria" w:cs="Times New Roman"/>
          <w:sz w:val="22"/>
          <w:szCs w:val="22"/>
        </w:rPr>
      </w:pPr>
      <w:r w:rsidRPr="00274702">
        <w:rPr>
          <w:rFonts w:ascii="Cambria" w:hAnsi="Cambria" w:eastAsia="Cambria" w:cs="Times New Roman"/>
          <w:sz w:val="22"/>
          <w:szCs w:val="22"/>
        </w:rPr>
        <w:t>Omdat Nederland lid is van de EU, is de ruimte voor eigen beleid zeer beperkt. Mogelijkheden zijn vooral op de gebieden van financiering van terrorisme en wapenexport.</w:t>
      </w:r>
    </w:p>
    <w:p w:rsidRPr="00274702" w:rsidR="00274702" w:rsidP="00274702" w:rsidRDefault="00274702">
      <w:pPr>
        <w:numPr>
          <w:ilvl w:val="0"/>
          <w:numId w:val="12"/>
        </w:numPr>
        <w:spacing w:line="276" w:lineRule="auto"/>
        <w:contextualSpacing/>
        <w:rPr>
          <w:rFonts w:ascii="Cambria" w:hAnsi="Cambria" w:eastAsia="Cambria" w:cs="Calibri"/>
          <w:sz w:val="22"/>
          <w:szCs w:val="22"/>
        </w:rPr>
      </w:pPr>
      <w:r w:rsidRPr="00274702">
        <w:rPr>
          <w:rFonts w:ascii="Cambria" w:hAnsi="Cambria" w:eastAsia="Cambria" w:cs="Times New Roman"/>
          <w:sz w:val="22"/>
          <w:szCs w:val="22"/>
        </w:rPr>
        <w:t>Sancties hebben een zeer beperkt direct effect, maar geven een zichtbaar teken van afkeuring aan andere staten.</w:t>
      </w:r>
    </w:p>
    <w:p w:rsidRPr="00274702" w:rsidR="00274702" w:rsidP="00274702" w:rsidRDefault="00274702">
      <w:pPr>
        <w:spacing w:line="276" w:lineRule="auto"/>
        <w:ind w:left="360"/>
        <w:contextualSpacing/>
        <w:rPr>
          <w:rFonts w:ascii="Cambria" w:hAnsi="Cambria" w:eastAsia="Cambria" w:cs="Calibri"/>
          <w:sz w:val="22"/>
          <w:szCs w:val="22"/>
        </w:rPr>
      </w:pPr>
    </w:p>
    <w:p w:rsidRPr="00274702" w:rsidR="00274702" w:rsidP="00325809" w:rsidRDefault="00274702">
      <w:pPr>
        <w:pStyle w:val="Tussenkopje"/>
        <w:ind w:left="0"/>
        <w:rPr>
          <w:rFonts w:ascii="Cambria" w:hAnsi="Cambria" w:eastAsia="Cambria" w:cs="Calibri"/>
          <w:sz w:val="22"/>
          <w:szCs w:val="22"/>
        </w:rPr>
      </w:pPr>
      <w:r w:rsidRPr="001E5255">
        <w:t>Ontwikkelingen in het gebruik van sancties</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Het gebruik van sancties is de laatste decennia sterk toegenomen (een overzicht is te vinden op </w:t>
      </w:r>
      <w:hyperlink w:history="1" r:id="rId8">
        <w:r w:rsidRPr="00274702">
          <w:rPr>
            <w:rFonts w:ascii="Cambria" w:hAnsi="Cambria" w:eastAsia="Cambria" w:cs="Times New Roman"/>
            <w:sz w:val="22"/>
            <w:szCs w:val="22"/>
          </w:rPr>
          <w:t>https://www.globalsanctionsdatabase.com/</w:t>
        </w:r>
      </w:hyperlink>
      <w:r w:rsidRPr="00274702">
        <w:rPr>
          <w:rFonts w:ascii="Cambria" w:hAnsi="Cambria" w:eastAsia="Cambria" w:cs="Times New Roman"/>
          <w:sz w:val="22"/>
          <w:szCs w:val="22"/>
        </w:rPr>
        <w:t xml:space="preserve">). Tijdens de Koude Oorlog heeft de Veiligheidsraad van de Verenigde Naties slechts twee keer sancties tegen een lidstaat opgelegd (Rhodesië en Zuid-Afrika). De jaren negentig werden echter het “decennium van sancties” met onder ander sancties tegen Irak, Joegoslavië en Haïti. Deze sancties waren veelomvattend, zo werd bijvoorbeeld handel met Joegoslavië verboden maar ook deelname van het land aan sportevenementen werd niet langer toegestaan. De redenering was dat economische druk op de bevolking zou leiden tot gedragsverandering bij de regering. </w:t>
      </w:r>
    </w:p>
    <w:p w:rsidRPr="00274702" w:rsidR="00274702" w:rsidP="00274702" w:rsidRDefault="00274702">
      <w:pPr>
        <w:spacing w:after="240"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De sancties tegen Irak waren een keerpunt. Het hoge aantal Iraakse burgerslachtoffers en het uitblijven van gedragsverandering bij de Iraakse regering hebben tot het heroverwegen van algemene sancties geleid, waarna </w:t>
      </w:r>
      <w:proofErr w:type="spellStart"/>
      <w:r w:rsidRPr="00274702">
        <w:rPr>
          <w:rFonts w:ascii="Cambria" w:hAnsi="Cambria" w:eastAsia="Cambria" w:cs="Times New Roman"/>
          <w:i/>
          <w:iCs/>
          <w:sz w:val="22"/>
          <w:szCs w:val="22"/>
        </w:rPr>
        <w:t>targeted</w:t>
      </w:r>
      <w:proofErr w:type="spellEnd"/>
      <w:r w:rsidRPr="00274702">
        <w:rPr>
          <w:rFonts w:ascii="Cambria" w:hAnsi="Cambria" w:eastAsia="Cambria" w:cs="Times New Roman"/>
          <w:i/>
          <w:iCs/>
          <w:sz w:val="22"/>
          <w:szCs w:val="22"/>
        </w:rPr>
        <w:t xml:space="preserve"> (smart) </w:t>
      </w:r>
      <w:proofErr w:type="spellStart"/>
      <w:r w:rsidRPr="00274702">
        <w:rPr>
          <w:rFonts w:ascii="Cambria" w:hAnsi="Cambria" w:eastAsia="Cambria" w:cs="Times New Roman"/>
          <w:i/>
          <w:iCs/>
          <w:sz w:val="22"/>
          <w:szCs w:val="22"/>
        </w:rPr>
        <w:t>sanctions</w:t>
      </w:r>
      <w:proofErr w:type="spellEnd"/>
      <w:r w:rsidRPr="00274702">
        <w:rPr>
          <w:rFonts w:ascii="Cambria" w:hAnsi="Cambria" w:eastAsia="Cambria" w:cs="Times New Roman"/>
          <w:sz w:val="22"/>
          <w:szCs w:val="22"/>
        </w:rPr>
        <w:t xml:space="preserve"> zijn ontwikkeld. Deze sancties zijn specifiek gericht tegen individuen of bedrijven die zich schuldig maken aan een bepaald gedrag. Dergelijke sancties zouden de bevolking niet raken maar juist specifieke bewindsleden of de privileges van elites. </w:t>
      </w:r>
    </w:p>
    <w:p w:rsidRPr="00274702" w:rsidR="00274702" w:rsidP="00274702" w:rsidRDefault="00274702">
      <w:pPr>
        <w:spacing w:after="240" w:line="276" w:lineRule="auto"/>
        <w:rPr>
          <w:rFonts w:ascii="Cambria" w:hAnsi="Cambria" w:eastAsia="Cambria" w:cs="Times New Roman"/>
          <w:sz w:val="22"/>
          <w:szCs w:val="22"/>
        </w:rPr>
      </w:pPr>
      <w:r w:rsidRPr="00274702">
        <w:rPr>
          <w:rFonts w:ascii="Cambria" w:hAnsi="Cambria" w:eastAsia="Cambria" w:cs="Times New Roman"/>
          <w:sz w:val="22"/>
          <w:szCs w:val="22"/>
        </w:rPr>
        <w:lastRenderedPageBreak/>
        <w:t xml:space="preserve">Het wettelijke kader voor het afkondigen van sancties is in Nederland de Sanctiewet van 1977. Er zijn nu drie hoofdroutes voor het opleggen van sancties in Europese landen, inclusief Nederland: </w:t>
      </w:r>
    </w:p>
    <w:p w:rsidRPr="00274702" w:rsidR="00274702" w:rsidP="00274702" w:rsidRDefault="00274702">
      <w:pPr>
        <w:numPr>
          <w:ilvl w:val="0"/>
          <w:numId w:val="4"/>
        </w:numPr>
        <w:spacing w:after="240"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Sancties van de VN worden door de EU omgezet voor Europese lidstaten. Als er tot sancties conform hoofdstuk VII van het VN handvest is besloten, zijn lidstaten verplicht om deze in binnenlandse wetten om te zetten. Omdat de bevoegdheid voor de interne markt bij de EU ligt, worden VN-sancties door een besluit van de Europese Raad in een verordening omgezet. </w:t>
      </w:r>
    </w:p>
    <w:p w:rsidRPr="00274702" w:rsidR="00274702" w:rsidP="00274702" w:rsidRDefault="00274702">
      <w:pPr>
        <w:numPr>
          <w:ilvl w:val="1"/>
          <w:numId w:val="4"/>
        </w:numPr>
        <w:spacing w:line="276" w:lineRule="auto"/>
        <w:ind w:left="754" w:hanging="357"/>
        <w:contextualSpacing/>
        <w:rPr>
          <w:rFonts w:ascii="Cambria" w:hAnsi="Cambria" w:eastAsia="Cambria" w:cs="Times New Roman"/>
          <w:sz w:val="22"/>
          <w:szCs w:val="22"/>
        </w:rPr>
      </w:pPr>
      <w:r w:rsidRPr="00274702">
        <w:rPr>
          <w:rFonts w:ascii="Cambria" w:hAnsi="Cambria" w:eastAsia="Cambria" w:cs="Times New Roman"/>
          <w:sz w:val="22"/>
          <w:szCs w:val="22"/>
        </w:rPr>
        <w:t xml:space="preserve">Soms besluit de EU om extra sancties bovenop die van de VN op te leggen. Het zijn vaak deze sancties die tot buiten-Europese kritiek leiden, bijvoorbeeld van Rusland.  </w:t>
      </w:r>
    </w:p>
    <w:p w:rsidRPr="00274702" w:rsidR="00274702" w:rsidP="00274702" w:rsidRDefault="00274702">
      <w:pPr>
        <w:numPr>
          <w:ilvl w:val="0"/>
          <w:numId w:val="4"/>
        </w:numPr>
        <w:autoSpaceDE w:val="0"/>
        <w:autoSpaceDN w:val="0"/>
        <w:adjustRightInd w:val="0"/>
        <w:spacing w:after="240"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Verder besluit de EU ook tot autonome sancties. Sinds het einde van de Koude Oorlog is de Europese Unie met eigen sancties begonnen, dit zijn in het vocabulaire van de EU </w:t>
      </w:r>
      <w:proofErr w:type="spellStart"/>
      <w:r w:rsidRPr="00274702">
        <w:rPr>
          <w:rFonts w:ascii="Cambria" w:hAnsi="Cambria" w:eastAsia="Cambria" w:cs="Times New Roman"/>
          <w:i/>
          <w:iCs/>
          <w:sz w:val="22"/>
          <w:szCs w:val="22"/>
        </w:rPr>
        <w:t>restrictive</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measures</w:t>
      </w:r>
      <w:proofErr w:type="spellEnd"/>
      <w:r w:rsidRPr="00274702">
        <w:rPr>
          <w:rFonts w:ascii="Cambria" w:hAnsi="Cambria" w:eastAsia="Cambria" w:cs="Times New Roman"/>
          <w:sz w:val="22"/>
          <w:szCs w:val="22"/>
        </w:rPr>
        <w:t xml:space="preserve">. De lidstaten van de EU zijn in de Europese Raad steeds meer gebruik gaan maken van sancties. </w:t>
      </w:r>
      <w:proofErr w:type="spellStart"/>
      <w:r w:rsidRPr="00274702">
        <w:rPr>
          <w:rFonts w:ascii="Cambria" w:hAnsi="Cambria" w:eastAsia="Cambria" w:cs="Times New Roman"/>
          <w:sz w:val="22"/>
          <w:szCs w:val="22"/>
        </w:rPr>
        <w:t>Restrictive</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measures</w:t>
      </w:r>
      <w:proofErr w:type="spellEnd"/>
      <w:r w:rsidRPr="00274702">
        <w:rPr>
          <w:rFonts w:ascii="Cambria" w:hAnsi="Cambria" w:eastAsia="Cambria" w:cs="Times New Roman"/>
          <w:sz w:val="22"/>
          <w:szCs w:val="22"/>
        </w:rPr>
        <w:t xml:space="preserve"> worden vaak in samenwerking met derde partijen, zoals de VS of regionale instanties, aangenomen. Verder sluiten niet-EU-landen zich vaak eenzijdig aan bij de </w:t>
      </w:r>
      <w:proofErr w:type="spellStart"/>
      <w:r w:rsidRPr="00274702">
        <w:rPr>
          <w:rFonts w:ascii="Cambria" w:hAnsi="Cambria" w:eastAsia="Cambria" w:cs="Times New Roman"/>
          <w:sz w:val="22"/>
          <w:szCs w:val="22"/>
        </w:rPr>
        <w:t>restrictive</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measures</w:t>
      </w:r>
      <w:proofErr w:type="spellEnd"/>
      <w:r w:rsidRPr="00274702">
        <w:rPr>
          <w:rFonts w:ascii="Cambria" w:hAnsi="Cambria" w:eastAsia="Cambria" w:cs="Times New Roman"/>
          <w:sz w:val="22"/>
          <w:szCs w:val="22"/>
        </w:rPr>
        <w:t xml:space="preserve"> van de EU.</w:t>
      </w:r>
    </w:p>
    <w:p w:rsidRPr="00274702" w:rsidR="00274702" w:rsidP="00274702" w:rsidRDefault="00274702">
      <w:pPr>
        <w:numPr>
          <w:ilvl w:val="1"/>
          <w:numId w:val="4"/>
        </w:numPr>
        <w:autoSpaceDE w:val="0"/>
        <w:autoSpaceDN w:val="0"/>
        <w:adjustRightInd w:val="0"/>
        <w:spacing w:after="240" w:line="276" w:lineRule="auto"/>
        <w:ind w:left="754" w:hanging="357"/>
        <w:contextualSpacing/>
        <w:rPr>
          <w:rFonts w:ascii="Cambria" w:hAnsi="Cambria" w:eastAsia="Cambria" w:cs="Times New Roman"/>
          <w:sz w:val="22"/>
          <w:szCs w:val="22"/>
        </w:rPr>
      </w:pPr>
      <w:r w:rsidRPr="00274702">
        <w:rPr>
          <w:rFonts w:ascii="Cambria" w:hAnsi="Cambria" w:eastAsia="Cambria" w:cs="Times New Roman"/>
          <w:sz w:val="22"/>
          <w:szCs w:val="22"/>
        </w:rPr>
        <w:t>In mei 2019 nam de EU een kaderbesluit om sancties op te kunnen leggen tegen de voor cyberaanvallen in Nederland en de EU verantwoordelijken.</w:t>
      </w:r>
    </w:p>
    <w:p w:rsidRPr="00274702" w:rsidR="00274702" w:rsidP="00274702" w:rsidRDefault="00274702">
      <w:pPr>
        <w:numPr>
          <w:ilvl w:val="1"/>
          <w:numId w:val="4"/>
        </w:numPr>
        <w:autoSpaceDE w:val="0"/>
        <w:autoSpaceDN w:val="0"/>
        <w:adjustRightInd w:val="0"/>
        <w:spacing w:after="240" w:line="276" w:lineRule="auto"/>
        <w:ind w:left="754" w:hanging="357"/>
        <w:contextualSpacing/>
        <w:rPr>
          <w:rFonts w:ascii="Cambria" w:hAnsi="Cambria" w:eastAsia="Cambria" w:cs="Times New Roman"/>
          <w:sz w:val="22"/>
          <w:szCs w:val="22"/>
        </w:rPr>
      </w:pPr>
      <w:r w:rsidRPr="00274702">
        <w:rPr>
          <w:rFonts w:ascii="Cambria" w:hAnsi="Cambria" w:eastAsia="Cambria" w:cs="Times New Roman"/>
          <w:sz w:val="22"/>
          <w:szCs w:val="22"/>
        </w:rPr>
        <w:t xml:space="preserve">In december 2020 heeft de Europese Unie ook tot het </w:t>
      </w:r>
      <w:r w:rsidRPr="00274702">
        <w:rPr>
          <w:rFonts w:ascii="Cambria" w:hAnsi="Cambria" w:eastAsia="Cambria" w:cs="Times New Roman"/>
          <w:i/>
          <w:iCs/>
          <w:sz w:val="22"/>
          <w:szCs w:val="22"/>
        </w:rPr>
        <w:t xml:space="preserve">EU Global Human </w:t>
      </w:r>
      <w:proofErr w:type="spellStart"/>
      <w:r w:rsidRPr="00274702">
        <w:rPr>
          <w:rFonts w:ascii="Cambria" w:hAnsi="Cambria" w:eastAsia="Cambria" w:cs="Times New Roman"/>
          <w:i/>
          <w:iCs/>
          <w:sz w:val="22"/>
          <w:szCs w:val="22"/>
        </w:rPr>
        <w:t>Rights</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Sanctions</w:t>
      </w:r>
      <w:proofErr w:type="spellEnd"/>
      <w:r w:rsidRPr="00274702">
        <w:rPr>
          <w:rFonts w:ascii="Cambria" w:hAnsi="Cambria" w:eastAsia="Cambria" w:cs="Times New Roman"/>
          <w:i/>
          <w:iCs/>
          <w:sz w:val="22"/>
          <w:szCs w:val="22"/>
        </w:rPr>
        <w:t xml:space="preserve"> Regime</w:t>
      </w:r>
      <w:r w:rsidRPr="00274702">
        <w:rPr>
          <w:rFonts w:ascii="Cambria" w:hAnsi="Cambria" w:eastAsia="Cambria" w:cs="Times New Roman"/>
          <w:sz w:val="22"/>
          <w:szCs w:val="22"/>
        </w:rPr>
        <w:t xml:space="preserve"> besloten (oorspronkelijk een Nederlands initiatief) en daardoor de besluitvorming over sancties vereenvoudigd. </w:t>
      </w:r>
    </w:p>
    <w:p w:rsidRPr="00274702" w:rsidR="00274702" w:rsidP="00274702" w:rsidRDefault="00274702">
      <w:pPr>
        <w:numPr>
          <w:ilvl w:val="0"/>
          <w:numId w:val="4"/>
        </w:numPr>
        <w:autoSpaceDE w:val="0"/>
        <w:autoSpaceDN w:val="0"/>
        <w:adjustRightInd w:val="0"/>
        <w:spacing w:after="240"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In een klein aantal situaties, waar het gaat om reisverboden of wapenembargo’s, kan Nederland zelf regels opstellen. Op basis van resolutie 1373 van de VN-veiligheidsraad beheert Nederland ook een eigen lijst van terroristen, die meer individuen omvat dan de lijst van de Europese Unie.</w:t>
      </w:r>
    </w:p>
    <w:p w:rsidRPr="00274702" w:rsidR="00274702" w:rsidP="00274702" w:rsidRDefault="00274702">
      <w:pPr>
        <w:autoSpaceDE w:val="0"/>
        <w:autoSpaceDN w:val="0"/>
        <w:adjustRightInd w:val="0"/>
        <w:spacing w:after="240"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Op het moment handhaaft de EU 45 verschillende sanctieregimes tegen 33 verschillende landen, naast de twee eerdergenoemde algemene sanctieregimes met betrekking tot mensenrechten en cybersecurity. Deze 45 sanctieregimes bestaan uit negen VN-sanctieregimes, tien regimes waar de EU extra sancties heeft toegevoegd aan een bestaand VN-sanctieregime, en 26 autonome sanctieregimes opgelegd door de EU (voor een frequent bijgewerkt overzicht, zie https://sanctionsmap.eu/#/main). </w:t>
      </w:r>
    </w:p>
    <w:p w:rsidRPr="00274702" w:rsidR="00274702" w:rsidP="00274702" w:rsidRDefault="00274702">
      <w:pPr>
        <w:autoSpaceDE w:val="0"/>
        <w:autoSpaceDN w:val="0"/>
        <w:adjustRightInd w:val="0"/>
        <w:spacing w:after="240"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Met de toename van </w:t>
      </w:r>
      <w:proofErr w:type="spellStart"/>
      <w:r w:rsidRPr="00274702">
        <w:rPr>
          <w:rFonts w:ascii="Cambria" w:hAnsi="Cambria" w:eastAsia="Cambria" w:cs="Times New Roman"/>
          <w:i/>
          <w:iCs/>
          <w:sz w:val="22"/>
          <w:szCs w:val="22"/>
        </w:rPr>
        <w:t>targeted</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sanctions</w:t>
      </w:r>
      <w:proofErr w:type="spellEnd"/>
      <w:r w:rsidRPr="00274702">
        <w:rPr>
          <w:rFonts w:ascii="Cambria" w:hAnsi="Cambria" w:eastAsia="Cambria" w:cs="Times New Roman"/>
          <w:sz w:val="22"/>
          <w:szCs w:val="22"/>
        </w:rPr>
        <w:t xml:space="preserve"> is ook de rol van de particuliere sector bij het handhaven van sancties toegenomen. Banken, verzekeringsmaatschappijen en de transportsector werden langzamerhand steeds belangrijker voor het uitvoeren van sancties, aangezien zij hun klanten beter kennen. Daar staat tegenover dat voor deze sectoren ook de aansprakelijkheid voor het schenden van sancties is toegenomen. In Nederland zijn het Openbaar Ministerie, de Belastingdienst, De Nederlandsche Bank, de Autoriteit Financiële Markten, de Centrale Dienst In- en Uitvoer en de Inspectie Leefomgeving en Transport gezamenlijk verantwoordelijk voor het handhaven van sancties. Nederland is in Europa een van landen met de meest uitgebreide systemen hiervoor. Er zijn grote onderlinge verschillen tussen Europese landen waar het gaat om de aandacht voor het handhaven van sanctieregimes en voor de ontwikkeling van een institutionele grondslag voor het naleven van sancties.</w:t>
      </w:r>
    </w:p>
    <w:p w:rsidRPr="00274702" w:rsidR="00274702" w:rsidP="00274702" w:rsidRDefault="00274702">
      <w:pPr>
        <w:autoSpaceDE w:val="0"/>
        <w:autoSpaceDN w:val="0"/>
        <w:adjustRightInd w:val="0"/>
        <w:spacing w:after="240"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Ook zijn Nederlandse bedrijven die zakendoen in Amerikaanse dollars feitelijk verplicht zich te houden aan de eenzijdige sancties die de Verenigde Staten opleggen aan derden. De naleving van deze verplichting wordt gecontroleerd door de Amerikaanse </w:t>
      </w:r>
      <w:r w:rsidRPr="00274702">
        <w:rPr>
          <w:rFonts w:ascii="Cambria" w:hAnsi="Cambria" w:eastAsia="Cambria" w:cs="Times New Roman"/>
          <w:i/>
          <w:iCs/>
          <w:sz w:val="22"/>
          <w:szCs w:val="22"/>
        </w:rPr>
        <w:t xml:space="preserve">Office of </w:t>
      </w:r>
      <w:proofErr w:type="spellStart"/>
      <w:r w:rsidRPr="00274702">
        <w:rPr>
          <w:rFonts w:ascii="Cambria" w:hAnsi="Cambria" w:eastAsia="Cambria" w:cs="Times New Roman"/>
          <w:i/>
          <w:iCs/>
          <w:sz w:val="22"/>
          <w:szCs w:val="22"/>
        </w:rPr>
        <w:t>Foreign</w:t>
      </w:r>
      <w:proofErr w:type="spellEnd"/>
      <w:r w:rsidRPr="00274702">
        <w:rPr>
          <w:rFonts w:ascii="Cambria" w:hAnsi="Cambria" w:eastAsia="Cambria" w:cs="Times New Roman"/>
          <w:i/>
          <w:iCs/>
          <w:sz w:val="22"/>
          <w:szCs w:val="22"/>
        </w:rPr>
        <w:t xml:space="preserve"> Assets Control</w:t>
      </w:r>
      <w:r w:rsidRPr="00274702">
        <w:rPr>
          <w:rFonts w:ascii="Cambria" w:hAnsi="Cambria" w:eastAsia="Cambria" w:cs="Times New Roman"/>
          <w:sz w:val="22"/>
          <w:szCs w:val="22"/>
        </w:rPr>
        <w:t xml:space="preserve"> (OFAC). Een aantal Europese bedrijven, waaronder ook uit Nederland, hebben schikkingen getroffen met, en boetes moeten betalen aan, de </w:t>
      </w:r>
      <w:r w:rsidRPr="00274702">
        <w:rPr>
          <w:rFonts w:ascii="Cambria" w:hAnsi="Cambria" w:eastAsia="Cambria" w:cs="Times New Roman"/>
          <w:sz w:val="22"/>
          <w:szCs w:val="22"/>
        </w:rPr>
        <w:lastRenderedPageBreak/>
        <w:t xml:space="preserve">Amerikaanse autoriteiten.  De kosten voor bedrijven zijn zeer hoog. Als bedrijven zich niet zouden houden aan de Amerikaanse wet- en regelgeving zou het hun verboden kunnen worden om zaken te doen in Amerikaanse dollars. Ook zou hun directie strafrechtelijk aansprakelijk kunnen worden gesteld en door Amerikaanse rechtbanken worden veroordeeld. </w:t>
      </w:r>
    </w:p>
    <w:p w:rsidRPr="001E5255" w:rsidR="00274702" w:rsidP="00325809" w:rsidRDefault="00274702">
      <w:pPr>
        <w:pStyle w:val="Tussenkopje"/>
        <w:ind w:left="0"/>
      </w:pPr>
      <w:r w:rsidRPr="001E5255">
        <w:t>Effecten van sancties</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In de meest rooskleurige scenario’s was de staat van dienst van alomvattende sancties al te betwisten, in werkelijkheid waren de prestaties nog magerder. Hoewel de alomvattende sancties van de Verenigde Naties maar nauwelijks werden opgelegd, waren de Verenigde Staten actief met het eenzijdig treffen van sancties tegen een aantal staten, vooral landen uit het voormalig-communistische blok. Over het algemeen betwisten onderzoekers het nut van sancties </w:t>
      </w:r>
      <w:r w:rsidRPr="00274702">
        <w:rPr>
          <w:rFonts w:ascii="Cambria" w:hAnsi="Cambria" w:eastAsia="Cambria" w:cs="Times New Roman"/>
          <w:noProof/>
          <w:sz w:val="22"/>
          <w:szCs w:val="22"/>
        </w:rPr>
        <w:t>(Hufbauer, Schott, &amp; Elliott, 2007; Pape, 1997) Hoofdzakelijk was het idee achter alomvattende sancties dat deze zouden leiden tot maatschappelijke onenigheid, wat pressie zou uitoefenen op politieke leiders. Onderzoek heeft echter aangetoond dat dit effect niet zo sterk is als werd verwacht</w:t>
      </w:r>
      <w:r w:rsidRPr="00274702">
        <w:rPr>
          <w:rFonts w:ascii="Cambria" w:hAnsi="Cambria" w:eastAsia="Cambria" w:cs="Times New Roman"/>
          <w:sz w:val="22"/>
          <w:szCs w:val="22"/>
        </w:rPr>
        <w:t xml:space="preserve"> </w:t>
      </w:r>
      <w:r w:rsidRPr="00274702">
        <w:rPr>
          <w:rFonts w:ascii="Cambria" w:hAnsi="Cambria" w:eastAsia="Cambria" w:cs="Times New Roman"/>
          <w:noProof/>
          <w:sz w:val="22"/>
          <w:szCs w:val="22"/>
        </w:rPr>
        <w:t>(Marinov, 2005)</w:t>
      </w:r>
      <w:r w:rsidRPr="00274702">
        <w:rPr>
          <w:rFonts w:ascii="Cambria" w:hAnsi="Cambria" w:eastAsia="Cambria" w:cs="Times New Roman"/>
          <w:sz w:val="22"/>
          <w:szCs w:val="22"/>
        </w:rPr>
        <w:t xml:space="preserve">. Wetenschappers benadrukken ook dat het type regime en de mate van binnenlandse steun voor het gewraakte beleid erg van belang zijn (Allen, 2008). Druk van buiten leidt er vaak toe dat de oppositie afziet van het publiekelijk uiten van kritiek op de regering. In een periode van externe bedreiging zou dit ontrouw en onvaderlandslievend lijken. Dit leidt dan tot een zogenaamd ‘rally </w:t>
      </w:r>
      <w:proofErr w:type="spellStart"/>
      <w:r w:rsidRPr="00274702">
        <w:rPr>
          <w:rFonts w:ascii="Cambria" w:hAnsi="Cambria" w:eastAsia="Cambria" w:cs="Times New Roman"/>
          <w:sz w:val="22"/>
          <w:szCs w:val="22"/>
        </w:rPr>
        <w:t>around</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the</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flag</w:t>
      </w:r>
      <w:proofErr w:type="spellEnd"/>
      <w:r w:rsidRPr="00274702">
        <w:rPr>
          <w:rFonts w:ascii="Cambria" w:hAnsi="Cambria" w:eastAsia="Cambria" w:cs="Times New Roman"/>
          <w:sz w:val="22"/>
          <w:szCs w:val="22"/>
        </w:rPr>
        <w:t xml:space="preserve">’-effect, wat betekent dat de publieke steun voor de regering fors toeneemt omdat meningsverschillen minder belangrijk aandoen in een periode van bedreiging. </w:t>
      </w:r>
      <w:r w:rsidRPr="00274702">
        <w:rPr>
          <w:rFonts w:ascii="Cambria" w:hAnsi="Cambria" w:eastAsia="Cambria" w:cs="Times New Roman"/>
          <w:noProof/>
          <w:sz w:val="22"/>
          <w:szCs w:val="22"/>
        </w:rPr>
        <w:t xml:space="preserve">Lektzian en Souva (2007) stellen zelfs dat autocratisch leiders indirect gesterkt worden door sancties. </w:t>
      </w:r>
      <w:r w:rsidRPr="00274702">
        <w:rPr>
          <w:rFonts w:ascii="Cambria" w:hAnsi="Cambria" w:eastAsia="Cambria" w:cs="Times New Roman"/>
          <w:sz w:val="22"/>
          <w:szCs w:val="22"/>
        </w:rPr>
        <w:t xml:space="preserve">Daarbovenop leiden sancties en buitenlandse pressie af van andere binnenlandse problemen en geeft dit de regering een mogelijkheid om die problemen juist als gevolg van sancties te presenteren. Regeringen in Cuba of Iran zijn door jarenlange sancties daarom ook niet verzwakt. Het Iraanse voorbeeld laat zien dat </w:t>
      </w:r>
      <w:proofErr w:type="spellStart"/>
      <w:r w:rsidRPr="00274702">
        <w:rPr>
          <w:rFonts w:ascii="Cambria" w:hAnsi="Cambria" w:eastAsia="Cambria" w:cs="Times New Roman"/>
          <w:sz w:val="22"/>
          <w:szCs w:val="22"/>
        </w:rPr>
        <w:t>hardliners</w:t>
      </w:r>
      <w:proofErr w:type="spellEnd"/>
      <w:r w:rsidRPr="00274702">
        <w:rPr>
          <w:rFonts w:ascii="Cambria" w:hAnsi="Cambria" w:eastAsia="Cambria" w:cs="Times New Roman"/>
          <w:sz w:val="22"/>
          <w:szCs w:val="22"/>
        </w:rPr>
        <w:t xml:space="preserve"> vaak het meest van sancties profiteren, omdat sancties hun verhaal van een vijandige buitenlandse tegenstander bevestigen.</w:t>
      </w:r>
    </w:p>
    <w:p w:rsidRPr="00274702" w:rsidR="00274702" w:rsidP="00274702" w:rsidRDefault="00274702">
      <w:pPr>
        <w:spacing w:after="240" w:line="276" w:lineRule="auto"/>
        <w:rPr>
          <w:rFonts w:ascii="Cambria" w:hAnsi="Cambria" w:eastAsia="Cambria" w:cs="Times New Roman"/>
          <w:noProof/>
          <w:sz w:val="22"/>
          <w:szCs w:val="22"/>
        </w:rPr>
      </w:pPr>
      <w:r w:rsidRPr="00274702">
        <w:rPr>
          <w:rFonts w:ascii="Cambria" w:hAnsi="Cambria" w:eastAsia="Cambria" w:cs="Times New Roman"/>
          <w:sz w:val="22"/>
          <w:szCs w:val="22"/>
        </w:rPr>
        <w:t xml:space="preserve">Dit veranderde toen sancties van de alomvattende soort vervangen werden door </w:t>
      </w:r>
      <w:proofErr w:type="spellStart"/>
      <w:r w:rsidRPr="00274702">
        <w:rPr>
          <w:rFonts w:ascii="Cambria" w:hAnsi="Cambria" w:eastAsia="Cambria" w:cs="Times New Roman"/>
          <w:i/>
          <w:iCs/>
          <w:sz w:val="22"/>
          <w:szCs w:val="22"/>
        </w:rPr>
        <w:t>targeted</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sanctions</w:t>
      </w:r>
      <w:proofErr w:type="spellEnd"/>
      <w:r w:rsidRPr="00274702">
        <w:rPr>
          <w:rFonts w:ascii="Cambria" w:hAnsi="Cambria" w:eastAsia="Cambria" w:cs="Times New Roman"/>
          <w:sz w:val="22"/>
          <w:szCs w:val="22"/>
        </w:rPr>
        <w:t xml:space="preserve">. In een recente publicatie stellen </w:t>
      </w:r>
      <w:r w:rsidRPr="00274702">
        <w:rPr>
          <w:rFonts w:ascii="Cambria" w:hAnsi="Cambria" w:eastAsia="Cambria" w:cs="Times New Roman"/>
          <w:noProof/>
          <w:sz w:val="22"/>
          <w:szCs w:val="22"/>
        </w:rPr>
        <w:t xml:space="preserve">Cilizoglu en Early (2021) dat, hoewel dit alleen voor specifieke gevallen geldt, na de overgang van brede naar toegespitste sancties, deze niet alleen vaker werden opgelegd maar ook succesvoller waren. Slechts 36% van de bilaterale sancties zijn effectief, volgens een overzicht van Morgan, Bapat, en Kobayashi (2014), terwijl Biersteker, Eckert, Tourinho en Hudáková (2018) de effectiviteit van gerichte sancties opgelegd door de VN slechts als voor 22% effectief beoordelen. Bilaterale </w:t>
      </w:r>
      <w:r w:rsidRPr="00274702">
        <w:rPr>
          <w:rFonts w:ascii="Cambria" w:hAnsi="Cambria" w:eastAsia="Cambria" w:cs="Times New Roman"/>
          <w:i/>
          <w:iCs/>
          <w:noProof/>
          <w:sz w:val="22"/>
          <w:szCs w:val="22"/>
        </w:rPr>
        <w:t>targeted sanctions</w:t>
      </w:r>
      <w:r w:rsidRPr="00274702">
        <w:rPr>
          <w:rFonts w:ascii="Cambria" w:hAnsi="Cambria" w:eastAsia="Cambria" w:cs="Times New Roman"/>
          <w:noProof/>
          <w:sz w:val="22"/>
          <w:szCs w:val="22"/>
        </w:rPr>
        <w:t xml:space="preserve"> zijn succesvoller, met name als deze gericht zijn op het inperken van toegang tot specifieke goederen of financiële middelen voor het sanctiedoelwit. Gerichte en financiële sancties zijn, vandaag de dag, een van de meest effectieve vormen van sancties (Biersteker, Eckert &amp; Tourinho, 2016).</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Sancties hebben ook onbedoelde negatieve consequenties. Ten eerste gebruiken leiders, in een autoritaire context, sancties om de oppositie verder te onderdrukken (Wood, 2008), veelal ten koste van minderheden en vrouwen (</w:t>
      </w:r>
      <w:proofErr w:type="spellStart"/>
      <w:r w:rsidRPr="00274702">
        <w:rPr>
          <w:rFonts w:ascii="Cambria" w:hAnsi="Cambria" w:eastAsia="Cambria" w:cs="Times New Roman"/>
          <w:noProof/>
          <w:sz w:val="22"/>
          <w:szCs w:val="22"/>
        </w:rPr>
        <w:t>Drury</w:t>
      </w:r>
      <w:proofErr w:type="spellEnd"/>
      <w:r w:rsidRPr="00274702">
        <w:rPr>
          <w:rFonts w:ascii="Cambria" w:hAnsi="Cambria" w:eastAsia="Cambria" w:cs="Times New Roman"/>
          <w:noProof/>
          <w:sz w:val="22"/>
          <w:szCs w:val="22"/>
        </w:rPr>
        <w:t xml:space="preserve"> &amp; Peksen, 2012)</w:t>
      </w:r>
      <w:r w:rsidRPr="00274702">
        <w:rPr>
          <w:rFonts w:ascii="Cambria" w:hAnsi="Cambria" w:eastAsia="Cambria" w:cs="Times New Roman"/>
          <w:sz w:val="22"/>
          <w:szCs w:val="22"/>
        </w:rPr>
        <w:t xml:space="preserve">. Er is ook onderzoek waaruit blijkt dat opgelegde sancties leiden tot een verkorte levensverwachting; minder uitgaven aan de voorbereiding op rampen. In een recente casus als de COVID-19-pandemie bleken de landen waaraan sancties waren opgelegd meer onder de pandemie te lijden </w:t>
      </w:r>
      <w:r w:rsidRPr="00274702">
        <w:rPr>
          <w:rFonts w:ascii="Cambria" w:hAnsi="Cambria" w:eastAsia="Cambria" w:cs="Times New Roman"/>
          <w:noProof/>
          <w:sz w:val="22"/>
          <w:szCs w:val="22"/>
        </w:rPr>
        <w:t>(Cilizoglu &amp; Early, 2021)</w:t>
      </w:r>
      <w:r w:rsidRPr="00274702">
        <w:rPr>
          <w:rFonts w:ascii="Cambria" w:hAnsi="Cambria" w:eastAsia="Cambria" w:cs="Times New Roman"/>
          <w:sz w:val="22"/>
          <w:szCs w:val="22"/>
        </w:rPr>
        <w:t>. Verder zullen door sancties getroffen landen waarschijnlijk kiezen voor importsubstitutie, wat negatief is voor de sanctieoplegger, ook nadat de sancties zijn opgeheven (</w:t>
      </w:r>
      <w:proofErr w:type="spellStart"/>
      <w:r w:rsidRPr="00274702">
        <w:rPr>
          <w:rFonts w:ascii="Cambria" w:hAnsi="Cambria" w:eastAsia="Cambria" w:cs="Times New Roman"/>
          <w:noProof/>
          <w:sz w:val="22"/>
          <w:szCs w:val="22"/>
        </w:rPr>
        <w:t>Hedberg</w:t>
      </w:r>
      <w:proofErr w:type="spellEnd"/>
      <w:r w:rsidRPr="00274702">
        <w:rPr>
          <w:rFonts w:ascii="Cambria" w:hAnsi="Cambria" w:eastAsia="Cambria" w:cs="Times New Roman"/>
          <w:noProof/>
          <w:sz w:val="22"/>
          <w:szCs w:val="22"/>
        </w:rPr>
        <w:t xml:space="preserve">, </w:t>
      </w:r>
      <w:r w:rsidRPr="00274702">
        <w:rPr>
          <w:rFonts w:ascii="Cambria" w:hAnsi="Cambria" w:eastAsia="Cambria" w:cs="Times New Roman"/>
          <w:noProof/>
          <w:sz w:val="22"/>
          <w:szCs w:val="22"/>
        </w:rPr>
        <w:lastRenderedPageBreak/>
        <w:t>2018; Klotz, 1999; Lektzian &amp; Biglaiser, 2013)</w:t>
      </w:r>
      <w:r w:rsidRPr="00274702">
        <w:rPr>
          <w:rFonts w:ascii="Cambria" w:hAnsi="Cambria" w:eastAsia="Cambria" w:cs="Times New Roman"/>
          <w:sz w:val="22"/>
          <w:szCs w:val="22"/>
        </w:rPr>
        <w:t xml:space="preserve">. Bedrijven uit het sanctie-opleggende land krijgen bovendien een negatieve(re) reputatie </w:t>
      </w:r>
      <w:r w:rsidRPr="00274702">
        <w:rPr>
          <w:rFonts w:ascii="Cambria" w:hAnsi="Cambria" w:eastAsia="Cambria" w:cs="Times New Roman"/>
          <w:noProof/>
          <w:sz w:val="22"/>
          <w:szCs w:val="22"/>
        </w:rPr>
        <w:t>(Barry &amp; Kleinberg, 2015)</w:t>
      </w:r>
      <w:r w:rsidRPr="00274702">
        <w:rPr>
          <w:rFonts w:ascii="Cambria" w:hAnsi="Cambria" w:eastAsia="Cambria" w:cs="Times New Roman"/>
          <w:sz w:val="22"/>
          <w:szCs w:val="22"/>
        </w:rPr>
        <w:t>.</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Naast deze beperkte directe effecten op de bedoelde gedragsverandering zijn er nog andere (indirecte) effecten. Sancties zijn een zichtbaar teken van afkeuring door sanctionerende staten, waarbij zij bepaald gedrag als een zware schending van de internationale norm aanwijzen. Dat zou ertoe kunnen leiden dat gesanctioneerde staten het afgekeurde gedrag niet verder intensiveren. Ook is dit een boodschap aan andere staten, die hierdoor kunnen zien welke normen door welke staten serieus worden genomen. Zo beargumenteert Nicholas Miller (zie sub ‘Bronnen’) dat enkele staten niet zijn begonnen met de productie van massavernietigingswapens aangezien zij vermoedden dat hun dan sancties zouden worden opgelegd.</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Een soortgelijk effect is er ook in de binnenlandse politiek: sancties tonen burgers het ‘morele kompas’ van hun regering. Net zoals het bestraffen van criminele handelingen dat binnenslands doet, benadrukken internationale sancties de geldigheid van waarden en normen. Daarom zijn sancties een belangrijk teken van de internationale normatieve orde.</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Met enige regelmaat zijn er zorgen over de gevolgen van sancties voor binnenlandse bedrijven in de sanctionerende landen, zoals het verlies van omzet. Voor Nederlandse bedrijven werd dit relevant toen er door de EU gerichte sancties tegen Rusland werden opgelegd na de annexatie van de Krim. Als reactie besloot de Russische Federatie tot sancties gericht op politiek-kenmerkende sectoren met een grote blootstelling in EU-lidstaten. In Nederland leidde deze contrasancties tot het verlies van landbouwexport naar Rusland. Uit recent onderzoek van </w:t>
      </w:r>
      <w:proofErr w:type="spellStart"/>
      <w:r w:rsidRPr="00274702">
        <w:rPr>
          <w:rFonts w:ascii="Cambria" w:hAnsi="Cambria" w:eastAsia="Cambria" w:cs="Times New Roman"/>
          <w:sz w:val="22"/>
          <w:szCs w:val="22"/>
        </w:rPr>
        <w:t>Onderco</w:t>
      </w:r>
      <w:proofErr w:type="spellEnd"/>
      <w:r w:rsidRPr="00274702">
        <w:rPr>
          <w:rFonts w:ascii="Cambria" w:hAnsi="Cambria" w:eastAsia="Cambria" w:cs="Times New Roman"/>
          <w:sz w:val="22"/>
          <w:szCs w:val="22"/>
        </w:rPr>
        <w:t xml:space="preserve"> en Van der Veer (zie sub ‘Bronnen’) blijkt echter dat de getroffen Nederlandse (landbouw)exportbedrijven binnen twee jaar hersteld waren. Op dit moment is de impact van dat Russische sanctieregime zeer beperkt.</w:t>
      </w:r>
    </w:p>
    <w:p w:rsidRPr="001E5255" w:rsidR="00274702" w:rsidP="00325809" w:rsidRDefault="00274702">
      <w:pPr>
        <w:pStyle w:val="Tussenkopje"/>
        <w:ind w:left="0"/>
      </w:pPr>
      <w:r w:rsidRPr="001E5255">
        <w:t>Ruimte voor eigen Nederlands beleid</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Voor Nederland, als lidstaat van de EU, is de beleidsruimte beperkt, maar er blijft zeker ruimte voor nationale maatregelen. Hoewel economische sancties die de toegang tot de Nederlandse markt zouden beperken alleen binnen het kader van de Europese Unie kunnen worden gerealiseerd, blijft wapenexport een nationale competentie. Het weren van wapenuitvoer kan dan worden ingezet als sanctie.</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Verder heeft de Nederlandse overheid een beperkte vrijheid van handelen met betrekking tot het verbieden van inreizen. Door een inreisverbod op te leggen (vaak samen met een terugkeerbesluit) kan de Nederlandse overheid burgers van niet EU- en EER-landen weren. Aan burgers van de EU-lidstaten, EER-landen en Zwitserland kan een </w:t>
      </w:r>
      <w:proofErr w:type="spellStart"/>
      <w:r w:rsidRPr="00274702">
        <w:rPr>
          <w:rFonts w:ascii="Cambria" w:hAnsi="Cambria" w:eastAsia="Cambria" w:cs="Times New Roman"/>
          <w:sz w:val="22"/>
          <w:szCs w:val="22"/>
        </w:rPr>
        <w:t>ongewenstverklaring</w:t>
      </w:r>
      <w:proofErr w:type="spellEnd"/>
      <w:r w:rsidRPr="00274702">
        <w:rPr>
          <w:rFonts w:ascii="Cambria" w:hAnsi="Cambria" w:eastAsia="Cambria" w:cs="Times New Roman"/>
          <w:sz w:val="22"/>
          <w:szCs w:val="22"/>
        </w:rPr>
        <w:t xml:space="preserve"> worden opgelegd.</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Ook heeft de Nederlandse overheid een grotere handelingsvrijheid bij het beperken van toegang tot financiële middelen door terroristen, omdat zij een eigen terreurlijst hanteert naast die van de EU.</w:t>
      </w:r>
    </w:p>
    <w:p w:rsidRPr="00274702" w:rsidR="00274702" w:rsidP="00274702" w:rsidRDefault="00274702">
      <w:pPr>
        <w:spacing w:before="100" w:beforeAutospacing="1" w:after="100" w:afterAutospacing="1"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Ten slotte heeft Nederland ook de mogelijkheid om bedrijven te ondersteunen die getroffen worden door sancties. Het eerdergenoemde onderzoek van </w:t>
      </w:r>
      <w:proofErr w:type="spellStart"/>
      <w:r w:rsidRPr="00274702">
        <w:rPr>
          <w:rFonts w:ascii="Cambria" w:hAnsi="Cambria" w:eastAsia="Cambria" w:cs="Times New Roman"/>
          <w:sz w:val="22"/>
          <w:szCs w:val="22"/>
        </w:rPr>
        <w:t>Onderco</w:t>
      </w:r>
      <w:proofErr w:type="spellEnd"/>
      <w:r w:rsidRPr="00274702">
        <w:rPr>
          <w:rFonts w:ascii="Cambria" w:hAnsi="Cambria" w:eastAsia="Cambria" w:cs="Times New Roman"/>
          <w:sz w:val="22"/>
          <w:szCs w:val="22"/>
        </w:rPr>
        <w:t xml:space="preserve"> en Van der Veer laat zien dat bij sancties middelgrote en kleine bedrijven die actief zijn in politiek-sensitieve landen het risico van faillissement lopen. Dergelijke bedrijven zijn over het algemeen beperkt in aantal. Mocht de Nederlandse overheid niet willen toegeven aan </w:t>
      </w:r>
      <w:r w:rsidRPr="00274702">
        <w:rPr>
          <w:rFonts w:ascii="Cambria" w:hAnsi="Cambria" w:eastAsia="Cambria" w:cs="Times New Roman"/>
          <w:sz w:val="22"/>
          <w:szCs w:val="22"/>
        </w:rPr>
        <w:lastRenderedPageBreak/>
        <w:t>buitenlandse pressie dan zou zij deze kwetsbare middelgrote en kleine bedrijven voor een korte tijd kunnen ondersteunen. Uit onderzoek blijkt dat deze periode maximaal twee jaar is.</w:t>
      </w:r>
    </w:p>
    <w:p w:rsidRPr="001E5255" w:rsidR="00274702" w:rsidP="00325809" w:rsidRDefault="00274702">
      <w:pPr>
        <w:pStyle w:val="Tussenkopje"/>
        <w:ind w:left="0"/>
      </w:pPr>
      <w:r w:rsidRPr="001E5255">
        <w:t>Bronnen</w:t>
      </w:r>
    </w:p>
    <w:p w:rsidRPr="00274702" w:rsidR="00274702" w:rsidDel="00010BA0" w:rsidP="00274702" w:rsidRDefault="00274702">
      <w:pPr>
        <w:ind w:left="709" w:hanging="709"/>
        <w:rPr>
          <w:rFonts w:ascii="Cambria" w:hAnsi="Cambria" w:eastAsia="Cambria" w:cs="Calibri"/>
          <w:sz w:val="22"/>
          <w:szCs w:val="22"/>
          <w:lang w:val="en-US"/>
        </w:rPr>
      </w:pPr>
      <w:r w:rsidRPr="00274702">
        <w:rPr>
          <w:rFonts w:ascii="Cambria" w:hAnsi="Cambria" w:eastAsia="Cambria" w:cs="Calibri"/>
          <w:sz w:val="22"/>
          <w:szCs w:val="22"/>
          <w:lang w:val="en-US"/>
        </w:rPr>
        <w:t xml:space="preserve">Allen, Susan Hannah. 2008. "Political Institutions and Constrained Response to Economic Sanctions."  </w:t>
      </w:r>
      <w:r w:rsidRPr="00274702">
        <w:rPr>
          <w:rFonts w:ascii="Cambria" w:hAnsi="Cambria" w:eastAsia="Cambria" w:cs="Calibri"/>
          <w:i/>
          <w:sz w:val="22"/>
          <w:szCs w:val="22"/>
          <w:lang w:val="en-US"/>
        </w:rPr>
        <w:t>Foreign Policy Analysis</w:t>
      </w:r>
      <w:r w:rsidRPr="00274702">
        <w:rPr>
          <w:rFonts w:ascii="Cambria" w:hAnsi="Cambria" w:eastAsia="Cambria" w:cs="Calibri"/>
          <w:sz w:val="22"/>
          <w:szCs w:val="22"/>
          <w:lang w:val="en-US"/>
        </w:rPr>
        <w:t xml:space="preserve"> 4 (3):255-274. </w:t>
      </w:r>
    </w:p>
    <w:p w:rsidRPr="00274702" w:rsidR="00274702" w:rsidP="00274702" w:rsidRDefault="00274702">
      <w:pPr>
        <w:spacing w:line="276" w:lineRule="auto"/>
        <w:ind w:left="709" w:hanging="709"/>
        <w:rPr>
          <w:rFonts w:ascii="Cambria" w:hAnsi="Cambria" w:eastAsia="Cambria" w:cs="Times New Roman"/>
          <w:noProof/>
          <w:sz w:val="22"/>
          <w:szCs w:val="22"/>
          <w:lang w:val="en-US"/>
        </w:rPr>
      </w:pPr>
      <w:r w:rsidRPr="00274702">
        <w:rPr>
          <w:rFonts w:ascii="Cambria" w:hAnsi="Cambria" w:eastAsia="Cambria" w:cs="Times New Roman"/>
          <w:noProof/>
          <w:sz w:val="22"/>
          <w:szCs w:val="22"/>
          <w:lang w:val="en-US"/>
        </w:rPr>
        <w:t xml:space="preserve">Barry, Colin M., and Katja B. Kleinberg. 2015. "Profiting from Sanctions: Economic Coercion and US Foreign Direct Investment in Third-Party States."  </w:t>
      </w:r>
      <w:r w:rsidRPr="00274702">
        <w:rPr>
          <w:rFonts w:ascii="Cambria" w:hAnsi="Cambria" w:eastAsia="Cambria" w:cs="Times New Roman"/>
          <w:i/>
          <w:noProof/>
          <w:sz w:val="22"/>
          <w:szCs w:val="22"/>
          <w:lang w:val="en-US"/>
        </w:rPr>
        <w:t>International Organization</w:t>
      </w:r>
      <w:r w:rsidRPr="00274702">
        <w:rPr>
          <w:rFonts w:ascii="Cambria" w:hAnsi="Cambria" w:eastAsia="Cambria" w:cs="Times New Roman"/>
          <w:noProof/>
          <w:sz w:val="22"/>
          <w:szCs w:val="22"/>
          <w:lang w:val="en-US"/>
        </w:rPr>
        <w:t xml:space="preserve"> 69 (4):881-912. </w:t>
      </w:r>
    </w:p>
    <w:p w:rsidRPr="00274702" w:rsidR="00274702" w:rsidP="00274702" w:rsidRDefault="00274702">
      <w:pPr>
        <w:ind w:left="709" w:hanging="709"/>
        <w:rPr>
          <w:rFonts w:ascii="Cambria" w:hAnsi="Cambria" w:eastAsia="Cambria" w:cs="Calibri"/>
          <w:sz w:val="22"/>
          <w:szCs w:val="22"/>
          <w:lang w:val="en-US"/>
        </w:rPr>
      </w:pPr>
      <w:proofErr w:type="spellStart"/>
      <w:r w:rsidRPr="00274702">
        <w:rPr>
          <w:rFonts w:ascii="Cambria" w:hAnsi="Cambria" w:eastAsia="Cambria" w:cs="Calibri"/>
          <w:sz w:val="22"/>
          <w:szCs w:val="22"/>
          <w:lang w:val="en-US"/>
        </w:rPr>
        <w:t>Biersteker</w:t>
      </w:r>
      <w:proofErr w:type="spellEnd"/>
      <w:r w:rsidRPr="00274702">
        <w:rPr>
          <w:rFonts w:ascii="Cambria" w:hAnsi="Cambria" w:eastAsia="Cambria" w:cs="Calibri"/>
          <w:sz w:val="22"/>
          <w:szCs w:val="22"/>
          <w:lang w:val="en-US"/>
        </w:rPr>
        <w:t xml:space="preserve">, Thomas J., Sue E Eckert, and Marcos </w:t>
      </w:r>
      <w:proofErr w:type="spellStart"/>
      <w:r w:rsidRPr="00274702">
        <w:rPr>
          <w:rFonts w:ascii="Cambria" w:hAnsi="Cambria" w:eastAsia="Cambria" w:cs="Calibri"/>
          <w:sz w:val="22"/>
          <w:szCs w:val="22"/>
          <w:lang w:val="en-US"/>
        </w:rPr>
        <w:t>Tourinho</w:t>
      </w:r>
      <w:proofErr w:type="spellEnd"/>
      <w:r w:rsidRPr="00274702">
        <w:rPr>
          <w:rFonts w:ascii="Cambria" w:hAnsi="Cambria" w:eastAsia="Cambria" w:cs="Calibri"/>
          <w:sz w:val="22"/>
          <w:szCs w:val="22"/>
          <w:lang w:val="en-US"/>
        </w:rPr>
        <w:t xml:space="preserve">. 2016. </w:t>
      </w:r>
      <w:r w:rsidRPr="00274702">
        <w:rPr>
          <w:rFonts w:ascii="Cambria" w:hAnsi="Cambria" w:eastAsia="Cambria" w:cs="Calibri"/>
          <w:i/>
          <w:sz w:val="22"/>
          <w:szCs w:val="22"/>
          <w:lang w:val="en-US"/>
        </w:rPr>
        <w:t>Targeted sanctions: The impacts and effectiveness of United Nations action</w:t>
      </w:r>
      <w:r w:rsidRPr="00274702">
        <w:rPr>
          <w:rFonts w:ascii="Cambria" w:hAnsi="Cambria" w:eastAsia="Cambria" w:cs="Calibri"/>
          <w:iCs/>
          <w:sz w:val="22"/>
          <w:szCs w:val="22"/>
          <w:lang w:val="en-US"/>
        </w:rPr>
        <w:t>. Cambridge, UK</w:t>
      </w:r>
      <w:r w:rsidRPr="00274702">
        <w:rPr>
          <w:rFonts w:ascii="Cambria" w:hAnsi="Cambria" w:eastAsia="Cambria" w:cs="Calibri"/>
          <w:sz w:val="22"/>
          <w:szCs w:val="22"/>
          <w:lang w:val="en-US"/>
        </w:rPr>
        <w:t>: Cambridge University Press.</w:t>
      </w:r>
    </w:p>
    <w:p w:rsidRPr="00274702" w:rsidR="00274702" w:rsidP="00274702" w:rsidRDefault="00274702">
      <w:pPr>
        <w:ind w:left="709" w:hanging="709"/>
        <w:rPr>
          <w:rFonts w:ascii="Cambria" w:hAnsi="Cambria" w:eastAsia="Cambria" w:cs="Calibri"/>
          <w:sz w:val="22"/>
          <w:szCs w:val="22"/>
          <w:lang w:val="en-US"/>
        </w:rPr>
      </w:pPr>
      <w:proofErr w:type="spellStart"/>
      <w:r w:rsidRPr="00274702">
        <w:rPr>
          <w:rFonts w:ascii="Cambria" w:hAnsi="Cambria" w:eastAsia="Cambria" w:cs="Calibri"/>
          <w:sz w:val="22"/>
          <w:szCs w:val="22"/>
          <w:lang w:val="en-US"/>
        </w:rPr>
        <w:t>Biersteker</w:t>
      </w:r>
      <w:proofErr w:type="spellEnd"/>
      <w:r w:rsidRPr="00274702">
        <w:rPr>
          <w:rFonts w:ascii="Cambria" w:hAnsi="Cambria" w:eastAsia="Cambria" w:cs="Calibri"/>
          <w:sz w:val="22"/>
          <w:szCs w:val="22"/>
          <w:lang w:val="en-US"/>
        </w:rPr>
        <w:t xml:space="preserve">, Thomas J., Sue E. Eckert, Marcos </w:t>
      </w:r>
      <w:proofErr w:type="spellStart"/>
      <w:r w:rsidRPr="00274702">
        <w:rPr>
          <w:rFonts w:ascii="Cambria" w:hAnsi="Cambria" w:eastAsia="Cambria" w:cs="Calibri"/>
          <w:sz w:val="22"/>
          <w:szCs w:val="22"/>
          <w:lang w:val="en-US"/>
        </w:rPr>
        <w:t>Tourinho</w:t>
      </w:r>
      <w:proofErr w:type="spellEnd"/>
      <w:r w:rsidRPr="00274702">
        <w:rPr>
          <w:rFonts w:ascii="Cambria" w:hAnsi="Cambria" w:eastAsia="Cambria" w:cs="Calibri"/>
          <w:sz w:val="22"/>
          <w:szCs w:val="22"/>
          <w:lang w:val="en-US"/>
        </w:rPr>
        <w:t xml:space="preserve">, and Zuzana </w:t>
      </w:r>
      <w:proofErr w:type="spellStart"/>
      <w:r w:rsidRPr="00274702">
        <w:rPr>
          <w:rFonts w:ascii="Cambria" w:hAnsi="Cambria" w:eastAsia="Cambria" w:cs="Calibri"/>
          <w:sz w:val="22"/>
          <w:szCs w:val="22"/>
          <w:lang w:val="en-US"/>
        </w:rPr>
        <w:t>Hudáková</w:t>
      </w:r>
      <w:proofErr w:type="spellEnd"/>
      <w:r w:rsidRPr="00274702">
        <w:rPr>
          <w:rFonts w:ascii="Cambria" w:hAnsi="Cambria" w:eastAsia="Cambria" w:cs="Calibri"/>
          <w:sz w:val="22"/>
          <w:szCs w:val="22"/>
          <w:lang w:val="en-US"/>
        </w:rPr>
        <w:t xml:space="preserve">. 2018. "UN targeted sanctions datasets (1991–2013)."  </w:t>
      </w:r>
      <w:r w:rsidRPr="00274702">
        <w:rPr>
          <w:rFonts w:ascii="Cambria" w:hAnsi="Cambria" w:eastAsia="Cambria" w:cs="Calibri"/>
          <w:i/>
          <w:sz w:val="22"/>
          <w:szCs w:val="22"/>
          <w:lang w:val="en-US"/>
        </w:rPr>
        <w:t>Journal of Peace Research</w:t>
      </w:r>
      <w:r w:rsidRPr="00274702">
        <w:rPr>
          <w:rFonts w:ascii="Cambria" w:hAnsi="Cambria" w:eastAsia="Cambria" w:cs="Calibri"/>
          <w:sz w:val="22"/>
          <w:szCs w:val="22"/>
          <w:lang w:val="en-US"/>
        </w:rPr>
        <w:t xml:space="preserve"> 55 (3):404-412. </w:t>
      </w:r>
    </w:p>
    <w:p w:rsidRPr="00274702" w:rsidR="00274702" w:rsidP="00274702" w:rsidRDefault="00274702">
      <w:pPr>
        <w:spacing w:line="276" w:lineRule="auto"/>
        <w:ind w:left="709" w:hanging="709"/>
        <w:rPr>
          <w:rFonts w:ascii="Cambria" w:hAnsi="Cambria" w:eastAsia="Cambria" w:cs="Times New Roman"/>
          <w:sz w:val="22"/>
          <w:szCs w:val="22"/>
          <w:lang w:val="en-US"/>
        </w:rPr>
      </w:pPr>
      <w:proofErr w:type="spellStart"/>
      <w:r w:rsidRPr="00274702">
        <w:rPr>
          <w:rFonts w:ascii="Cambria" w:hAnsi="Cambria" w:eastAsia="Cambria" w:cs="Times New Roman"/>
          <w:sz w:val="22"/>
          <w:szCs w:val="22"/>
          <w:lang w:val="en-US"/>
        </w:rPr>
        <w:t>Biersteker</w:t>
      </w:r>
      <w:proofErr w:type="spellEnd"/>
      <w:r w:rsidRPr="00274702">
        <w:rPr>
          <w:rFonts w:ascii="Cambria" w:hAnsi="Cambria" w:eastAsia="Cambria" w:cs="Times New Roman"/>
          <w:sz w:val="22"/>
          <w:szCs w:val="22"/>
          <w:lang w:val="en-US"/>
        </w:rPr>
        <w:t xml:space="preserve">, Thomas, and Clara </w:t>
      </w:r>
      <w:proofErr w:type="spellStart"/>
      <w:r w:rsidRPr="00274702">
        <w:rPr>
          <w:rFonts w:ascii="Cambria" w:hAnsi="Cambria" w:eastAsia="Cambria" w:cs="Times New Roman"/>
          <w:sz w:val="22"/>
          <w:szCs w:val="22"/>
          <w:lang w:val="en-US"/>
        </w:rPr>
        <w:t>Portela</w:t>
      </w:r>
      <w:proofErr w:type="spellEnd"/>
      <w:r w:rsidRPr="00274702">
        <w:rPr>
          <w:rFonts w:ascii="Cambria" w:hAnsi="Cambria" w:eastAsia="Cambria" w:cs="Times New Roman"/>
          <w:sz w:val="22"/>
          <w:szCs w:val="22"/>
          <w:lang w:val="en-US"/>
        </w:rPr>
        <w:t xml:space="preserve">. 2015. </w:t>
      </w:r>
      <w:r w:rsidRPr="00274702">
        <w:rPr>
          <w:rFonts w:ascii="Cambria" w:hAnsi="Cambria" w:eastAsia="Cambria" w:cs="Times New Roman"/>
          <w:i/>
          <w:iCs/>
          <w:sz w:val="22"/>
          <w:szCs w:val="22"/>
          <w:lang w:val="en-US"/>
        </w:rPr>
        <w:t>EU sanctions in context: three types</w:t>
      </w:r>
      <w:r w:rsidRPr="00274702">
        <w:rPr>
          <w:rFonts w:ascii="Cambria" w:hAnsi="Cambria" w:eastAsia="Cambria" w:cs="Times New Roman"/>
          <w:sz w:val="22"/>
          <w:szCs w:val="22"/>
          <w:lang w:val="en-US"/>
        </w:rPr>
        <w:t xml:space="preserve">. Issue Brief </w:t>
      </w:r>
      <w:proofErr w:type="spellStart"/>
      <w:r w:rsidRPr="00274702">
        <w:rPr>
          <w:rFonts w:ascii="Cambria" w:hAnsi="Cambria" w:eastAsia="Cambria" w:cs="Times New Roman"/>
          <w:sz w:val="22"/>
          <w:szCs w:val="22"/>
          <w:lang w:val="en-US"/>
        </w:rPr>
        <w:t>Nr</w:t>
      </w:r>
      <w:proofErr w:type="spellEnd"/>
      <w:r w:rsidRPr="00274702">
        <w:rPr>
          <w:rFonts w:ascii="Cambria" w:hAnsi="Cambria" w:eastAsia="Cambria" w:cs="Times New Roman"/>
          <w:sz w:val="22"/>
          <w:szCs w:val="22"/>
          <w:lang w:val="en-US"/>
        </w:rPr>
        <w:t xml:space="preserve"> 26. Paris: European Union Institute for Security Studies.</w:t>
      </w:r>
    </w:p>
    <w:p w:rsidRPr="00274702" w:rsidR="00274702" w:rsidP="00274702" w:rsidRDefault="00274702">
      <w:pPr>
        <w:ind w:left="709" w:hanging="709"/>
        <w:rPr>
          <w:rFonts w:ascii="Cambria" w:hAnsi="Cambria" w:eastAsia="Cambria" w:cs="Calibri"/>
          <w:sz w:val="22"/>
          <w:szCs w:val="22"/>
          <w:lang w:val="en-US"/>
        </w:rPr>
      </w:pPr>
      <w:proofErr w:type="spellStart"/>
      <w:r w:rsidRPr="00274702">
        <w:rPr>
          <w:rFonts w:ascii="Cambria" w:hAnsi="Cambria" w:eastAsia="Cambria" w:cs="Calibri"/>
          <w:sz w:val="22"/>
          <w:szCs w:val="22"/>
          <w:lang w:val="en-US"/>
        </w:rPr>
        <w:t>Cilizoglu</w:t>
      </w:r>
      <w:proofErr w:type="spellEnd"/>
      <w:r w:rsidRPr="00274702">
        <w:rPr>
          <w:rFonts w:ascii="Cambria" w:hAnsi="Cambria" w:eastAsia="Cambria" w:cs="Calibri"/>
          <w:sz w:val="22"/>
          <w:szCs w:val="22"/>
          <w:lang w:val="en-US"/>
        </w:rPr>
        <w:t xml:space="preserve">, </w:t>
      </w:r>
      <w:proofErr w:type="spellStart"/>
      <w:r w:rsidRPr="00274702">
        <w:rPr>
          <w:rFonts w:ascii="Cambria" w:hAnsi="Cambria" w:eastAsia="Cambria" w:cs="Calibri"/>
          <w:sz w:val="22"/>
          <w:szCs w:val="22"/>
          <w:lang w:val="en-US"/>
        </w:rPr>
        <w:t>Menevis</w:t>
      </w:r>
      <w:proofErr w:type="spellEnd"/>
      <w:r w:rsidRPr="00274702">
        <w:rPr>
          <w:rFonts w:ascii="Cambria" w:hAnsi="Cambria" w:eastAsia="Cambria" w:cs="Calibri"/>
          <w:sz w:val="22"/>
          <w:szCs w:val="22"/>
          <w:lang w:val="en-US"/>
        </w:rPr>
        <w:t>, and Bryan R. Early. 2021. "Researching Modern Economic Sanctions." Oxford Research Encyclopedia of International Studies. https://oxfordre.com/internationalstudies/view/10.1093/acrefore/9780190846626.001.0001/acrefore-9780190846626-e-599.</w:t>
      </w:r>
    </w:p>
    <w:p w:rsidRPr="00274702" w:rsidR="00274702" w:rsidP="00274702" w:rsidRDefault="00274702">
      <w:pPr>
        <w:spacing w:line="276" w:lineRule="auto"/>
        <w:ind w:left="709" w:hanging="709"/>
        <w:rPr>
          <w:rFonts w:ascii="Cambria" w:hAnsi="Cambria" w:eastAsia="Cambria" w:cs="Times New Roman"/>
          <w:noProof/>
          <w:sz w:val="22"/>
          <w:szCs w:val="22"/>
          <w:lang w:val="en-US"/>
        </w:rPr>
      </w:pPr>
      <w:r w:rsidRPr="00274702">
        <w:rPr>
          <w:rFonts w:ascii="Cambria" w:hAnsi="Cambria" w:eastAsia="Cambria" w:cs="Times New Roman"/>
          <w:noProof/>
          <w:sz w:val="22"/>
          <w:szCs w:val="22"/>
          <w:lang w:val="en-US"/>
        </w:rPr>
        <w:t xml:space="preserve">Drury, A. Cooper, and Dursun Peksen. 2012. "Women and economic statecraft: The negative impact international economic sanctions visit on women."  </w:t>
      </w:r>
      <w:r w:rsidRPr="00274702">
        <w:rPr>
          <w:rFonts w:ascii="Cambria" w:hAnsi="Cambria" w:eastAsia="Cambria" w:cs="Times New Roman"/>
          <w:i/>
          <w:noProof/>
          <w:sz w:val="22"/>
          <w:szCs w:val="22"/>
          <w:lang w:val="en-US"/>
        </w:rPr>
        <w:t>European Journal of International Relations</w:t>
      </w:r>
      <w:r w:rsidRPr="00274702">
        <w:rPr>
          <w:rFonts w:ascii="Cambria" w:hAnsi="Cambria" w:eastAsia="Cambria" w:cs="Times New Roman"/>
          <w:noProof/>
          <w:sz w:val="22"/>
          <w:szCs w:val="22"/>
          <w:lang w:val="en-US"/>
        </w:rPr>
        <w:t xml:space="preserve"> 20 (2):463-490. </w:t>
      </w:r>
    </w:p>
    <w:p w:rsidRPr="00274702" w:rsidR="00274702" w:rsidP="00274702" w:rsidRDefault="00274702">
      <w:pPr>
        <w:spacing w:line="276" w:lineRule="auto"/>
        <w:ind w:left="709" w:hanging="709"/>
        <w:rPr>
          <w:rFonts w:ascii="Cambria" w:hAnsi="Cambria" w:eastAsia="Cambria" w:cs="Times New Roman"/>
          <w:sz w:val="22"/>
          <w:szCs w:val="22"/>
          <w:lang w:val="en-US"/>
        </w:rPr>
      </w:pPr>
      <w:proofErr w:type="spellStart"/>
      <w:r w:rsidRPr="00274702">
        <w:rPr>
          <w:rFonts w:ascii="Cambria" w:hAnsi="Cambria" w:eastAsia="Cambria" w:cs="Times New Roman"/>
          <w:sz w:val="22"/>
          <w:szCs w:val="22"/>
          <w:lang w:val="en-US"/>
        </w:rPr>
        <w:t>Felbermayr</w:t>
      </w:r>
      <w:proofErr w:type="spellEnd"/>
      <w:r w:rsidRPr="00274702">
        <w:rPr>
          <w:rFonts w:ascii="Cambria" w:hAnsi="Cambria" w:eastAsia="Cambria" w:cs="Times New Roman"/>
          <w:sz w:val="22"/>
          <w:szCs w:val="22"/>
          <w:lang w:val="en-US"/>
        </w:rPr>
        <w:t xml:space="preserve">, Gabriel, Aleksandra </w:t>
      </w:r>
      <w:proofErr w:type="spellStart"/>
      <w:r w:rsidRPr="00274702">
        <w:rPr>
          <w:rFonts w:ascii="Cambria" w:hAnsi="Cambria" w:eastAsia="Cambria" w:cs="Times New Roman"/>
          <w:sz w:val="22"/>
          <w:szCs w:val="22"/>
          <w:lang w:val="en-US"/>
        </w:rPr>
        <w:t>Kirilakha</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Constantinos</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Syropoulos</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Erdal</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Yalcin</w:t>
      </w:r>
      <w:proofErr w:type="spellEnd"/>
      <w:r w:rsidRPr="00274702">
        <w:rPr>
          <w:rFonts w:ascii="Cambria" w:hAnsi="Cambria" w:eastAsia="Cambria" w:cs="Times New Roman"/>
          <w:sz w:val="22"/>
          <w:szCs w:val="22"/>
          <w:lang w:val="en-US"/>
        </w:rPr>
        <w:t xml:space="preserve">, and </w:t>
      </w:r>
      <w:proofErr w:type="spellStart"/>
      <w:r w:rsidRPr="00274702">
        <w:rPr>
          <w:rFonts w:ascii="Cambria" w:hAnsi="Cambria" w:eastAsia="Cambria" w:cs="Times New Roman"/>
          <w:sz w:val="22"/>
          <w:szCs w:val="22"/>
          <w:lang w:val="en-US"/>
        </w:rPr>
        <w:t>Yoto</w:t>
      </w:r>
      <w:proofErr w:type="spellEnd"/>
      <w:r w:rsidRPr="00274702">
        <w:rPr>
          <w:rFonts w:ascii="Cambria" w:hAnsi="Cambria" w:eastAsia="Cambria" w:cs="Times New Roman"/>
          <w:sz w:val="22"/>
          <w:szCs w:val="22"/>
          <w:lang w:val="en-US"/>
        </w:rPr>
        <w:t xml:space="preserve"> V. </w:t>
      </w:r>
      <w:proofErr w:type="spellStart"/>
      <w:r w:rsidRPr="00274702">
        <w:rPr>
          <w:rFonts w:ascii="Cambria" w:hAnsi="Cambria" w:eastAsia="Cambria" w:cs="Times New Roman"/>
          <w:sz w:val="22"/>
          <w:szCs w:val="22"/>
          <w:lang w:val="en-US"/>
        </w:rPr>
        <w:t>Yotov</w:t>
      </w:r>
      <w:proofErr w:type="spellEnd"/>
      <w:r w:rsidRPr="00274702">
        <w:rPr>
          <w:rFonts w:ascii="Cambria" w:hAnsi="Cambria" w:eastAsia="Cambria" w:cs="Times New Roman"/>
          <w:sz w:val="22"/>
          <w:szCs w:val="22"/>
          <w:lang w:val="en-US"/>
        </w:rPr>
        <w:t xml:space="preserve">. 2020. "The global sanctions data base."  </w:t>
      </w:r>
      <w:r w:rsidRPr="00274702">
        <w:rPr>
          <w:rFonts w:ascii="Cambria" w:hAnsi="Cambria" w:eastAsia="Cambria" w:cs="Times New Roman"/>
          <w:i/>
          <w:iCs/>
          <w:sz w:val="22"/>
          <w:szCs w:val="22"/>
          <w:lang w:val="en-US"/>
        </w:rPr>
        <w:t>European Economic Review</w:t>
      </w:r>
      <w:r w:rsidRPr="00274702">
        <w:rPr>
          <w:rFonts w:ascii="Cambria" w:hAnsi="Cambria" w:eastAsia="Cambria" w:cs="Times New Roman"/>
          <w:sz w:val="22"/>
          <w:szCs w:val="22"/>
          <w:lang w:val="en-US"/>
        </w:rPr>
        <w:t xml:space="preserve"> 129:1-23.</w:t>
      </w:r>
    </w:p>
    <w:p w:rsidRPr="00274702" w:rsidR="00274702" w:rsidP="00274702" w:rsidRDefault="00274702">
      <w:pPr>
        <w:spacing w:line="276" w:lineRule="auto"/>
        <w:ind w:left="709" w:hanging="709"/>
        <w:rPr>
          <w:rFonts w:ascii="Cambria" w:hAnsi="Cambria" w:eastAsia="Cambria" w:cs="Times New Roman"/>
          <w:sz w:val="22"/>
          <w:szCs w:val="22"/>
          <w:lang w:val="en-US"/>
        </w:rPr>
      </w:pPr>
      <w:proofErr w:type="spellStart"/>
      <w:r w:rsidRPr="00274702">
        <w:rPr>
          <w:rFonts w:ascii="Cambria" w:hAnsi="Cambria" w:eastAsia="Cambria" w:cs="Times New Roman"/>
          <w:sz w:val="22"/>
          <w:szCs w:val="22"/>
          <w:lang w:val="en-US"/>
        </w:rPr>
        <w:t>Giumelli</w:t>
      </w:r>
      <w:proofErr w:type="spellEnd"/>
      <w:r w:rsidRPr="00274702">
        <w:rPr>
          <w:rFonts w:ascii="Cambria" w:hAnsi="Cambria" w:eastAsia="Cambria" w:cs="Times New Roman"/>
          <w:sz w:val="22"/>
          <w:szCs w:val="22"/>
          <w:lang w:val="en-US"/>
        </w:rPr>
        <w:t xml:space="preserve">, Francesco, and Michal </w:t>
      </w:r>
      <w:proofErr w:type="spellStart"/>
      <w:r w:rsidRPr="00274702">
        <w:rPr>
          <w:rFonts w:ascii="Cambria" w:hAnsi="Cambria" w:eastAsia="Cambria" w:cs="Times New Roman"/>
          <w:sz w:val="22"/>
          <w:szCs w:val="22"/>
          <w:lang w:val="en-US"/>
        </w:rPr>
        <w:t>Onderco</w:t>
      </w:r>
      <w:proofErr w:type="spellEnd"/>
      <w:r w:rsidRPr="00274702">
        <w:rPr>
          <w:rFonts w:ascii="Cambria" w:hAnsi="Cambria" w:eastAsia="Cambria" w:cs="Times New Roman"/>
          <w:sz w:val="22"/>
          <w:szCs w:val="22"/>
          <w:lang w:val="en-US"/>
        </w:rPr>
        <w:t xml:space="preserve">. 2021. "States, firms and security: How private actors implement sanctions, lessons learned from the Netherlands."  </w:t>
      </w:r>
      <w:r w:rsidRPr="00274702">
        <w:rPr>
          <w:rFonts w:ascii="Cambria" w:hAnsi="Cambria" w:eastAsia="Cambria" w:cs="Times New Roman"/>
          <w:i/>
          <w:iCs/>
          <w:sz w:val="22"/>
          <w:szCs w:val="22"/>
          <w:lang w:val="en-US"/>
        </w:rPr>
        <w:t>European Journal of International Security</w:t>
      </w:r>
      <w:r w:rsidRPr="00274702">
        <w:rPr>
          <w:rFonts w:ascii="Cambria" w:hAnsi="Cambria" w:eastAsia="Cambria" w:cs="Times New Roman"/>
          <w:sz w:val="22"/>
          <w:szCs w:val="22"/>
          <w:lang w:val="en-US"/>
        </w:rPr>
        <w:t xml:space="preserve"> 6 (2):190-209.</w:t>
      </w:r>
    </w:p>
    <w:p w:rsidRPr="00274702" w:rsidR="00274702" w:rsidP="00274702" w:rsidRDefault="00274702">
      <w:pPr>
        <w:spacing w:line="276" w:lineRule="auto"/>
        <w:ind w:left="709" w:hanging="709"/>
        <w:rPr>
          <w:rFonts w:ascii="Cambria" w:hAnsi="Cambria" w:eastAsia="Cambria" w:cs="Times New Roman"/>
          <w:sz w:val="22"/>
          <w:szCs w:val="22"/>
          <w:lang w:val="en-US"/>
        </w:rPr>
      </w:pPr>
      <w:proofErr w:type="spellStart"/>
      <w:r w:rsidRPr="00274702">
        <w:rPr>
          <w:rFonts w:ascii="Cambria" w:hAnsi="Cambria" w:eastAsia="Cambria" w:cs="Times New Roman"/>
          <w:sz w:val="22"/>
          <w:szCs w:val="22"/>
          <w:lang w:val="en-US"/>
        </w:rPr>
        <w:t>Giumelli</w:t>
      </w:r>
      <w:proofErr w:type="spellEnd"/>
      <w:r w:rsidRPr="00274702">
        <w:rPr>
          <w:rFonts w:ascii="Cambria" w:hAnsi="Cambria" w:eastAsia="Cambria" w:cs="Times New Roman"/>
          <w:sz w:val="22"/>
          <w:szCs w:val="22"/>
          <w:lang w:val="en-US"/>
        </w:rPr>
        <w:t xml:space="preserve">, Francesco, Fabian Hoffmann, and Anna </w:t>
      </w:r>
      <w:proofErr w:type="spellStart"/>
      <w:r w:rsidRPr="00274702">
        <w:rPr>
          <w:rFonts w:ascii="Cambria" w:hAnsi="Cambria" w:eastAsia="Cambria" w:cs="Times New Roman"/>
          <w:sz w:val="22"/>
          <w:szCs w:val="22"/>
          <w:lang w:val="en-US"/>
        </w:rPr>
        <w:t>Książczaková</w:t>
      </w:r>
      <w:proofErr w:type="spellEnd"/>
      <w:r w:rsidRPr="00274702">
        <w:rPr>
          <w:rFonts w:ascii="Cambria" w:hAnsi="Cambria" w:eastAsia="Cambria" w:cs="Times New Roman"/>
          <w:sz w:val="22"/>
          <w:szCs w:val="22"/>
          <w:lang w:val="en-US"/>
        </w:rPr>
        <w:t xml:space="preserve">. 2021. "The when, what, where and why of European Union sanctions."  </w:t>
      </w:r>
      <w:r w:rsidRPr="00274702">
        <w:rPr>
          <w:rFonts w:ascii="Cambria" w:hAnsi="Cambria" w:eastAsia="Cambria" w:cs="Times New Roman"/>
          <w:i/>
          <w:iCs/>
          <w:sz w:val="22"/>
          <w:szCs w:val="22"/>
          <w:lang w:val="en-US"/>
        </w:rPr>
        <w:t>European Security</w:t>
      </w:r>
      <w:r w:rsidRPr="00274702">
        <w:rPr>
          <w:rFonts w:ascii="Cambria" w:hAnsi="Cambria" w:eastAsia="Cambria" w:cs="Times New Roman"/>
          <w:sz w:val="22"/>
          <w:szCs w:val="22"/>
          <w:lang w:val="en-US"/>
        </w:rPr>
        <w:t xml:space="preserve"> 30 (1):1-23.</w:t>
      </w:r>
    </w:p>
    <w:p w:rsidRPr="00274702" w:rsidR="00274702" w:rsidP="00274702" w:rsidRDefault="00274702">
      <w:pPr>
        <w:spacing w:line="276" w:lineRule="auto"/>
        <w:ind w:left="709" w:hanging="709"/>
        <w:rPr>
          <w:rFonts w:ascii="Cambria" w:hAnsi="Cambria" w:eastAsia="Cambria" w:cs="Times New Roman"/>
          <w:sz w:val="22"/>
          <w:szCs w:val="22"/>
          <w:lang w:val="en-US"/>
        </w:rPr>
      </w:pPr>
      <w:proofErr w:type="spellStart"/>
      <w:r w:rsidRPr="00274702">
        <w:rPr>
          <w:rFonts w:ascii="Cambria" w:hAnsi="Cambria" w:eastAsia="Cambria" w:cs="Times New Roman"/>
          <w:sz w:val="22"/>
          <w:szCs w:val="22"/>
          <w:lang w:val="en-US"/>
        </w:rPr>
        <w:t>Giumelli</w:t>
      </w:r>
      <w:proofErr w:type="spellEnd"/>
      <w:r w:rsidRPr="00274702">
        <w:rPr>
          <w:rFonts w:ascii="Cambria" w:hAnsi="Cambria" w:eastAsia="Cambria" w:cs="Times New Roman"/>
          <w:sz w:val="22"/>
          <w:szCs w:val="22"/>
          <w:lang w:val="en-US"/>
        </w:rPr>
        <w:t xml:space="preserve">, Francesco. 2011. </w:t>
      </w:r>
      <w:r w:rsidRPr="00274702">
        <w:rPr>
          <w:rFonts w:ascii="Cambria" w:hAnsi="Cambria" w:eastAsia="Cambria" w:cs="Times New Roman"/>
          <w:i/>
          <w:iCs/>
          <w:sz w:val="22"/>
          <w:szCs w:val="22"/>
          <w:lang w:val="en-US"/>
        </w:rPr>
        <w:t xml:space="preserve">Coercing, constraining and </w:t>
      </w:r>
      <w:r w:rsidRPr="00274702" w:rsidDel="00010BA0">
        <w:rPr>
          <w:rFonts w:ascii="Cambria" w:hAnsi="Cambria" w:eastAsia="Cambria" w:cs="Times New Roman"/>
          <w:i/>
          <w:iCs/>
          <w:sz w:val="22"/>
          <w:szCs w:val="22"/>
          <w:lang w:val="en-US"/>
        </w:rPr>
        <w:t>signaling</w:t>
      </w:r>
      <w:r w:rsidRPr="00274702">
        <w:rPr>
          <w:rFonts w:ascii="Cambria" w:hAnsi="Cambria" w:eastAsia="Cambria" w:cs="Times New Roman"/>
          <w:i/>
          <w:iCs/>
          <w:sz w:val="22"/>
          <w:szCs w:val="22"/>
          <w:lang w:val="en-US"/>
        </w:rPr>
        <w:t>: explaining UN and EU sanctions after the Cold War</w:t>
      </w:r>
      <w:r w:rsidRPr="00274702">
        <w:rPr>
          <w:rFonts w:ascii="Cambria" w:hAnsi="Cambria" w:eastAsia="Cambria" w:cs="Times New Roman"/>
          <w:sz w:val="22"/>
          <w:szCs w:val="22"/>
          <w:lang w:val="en-US"/>
        </w:rPr>
        <w:t>. Colchester: ECPR Press.</w:t>
      </w:r>
    </w:p>
    <w:p w:rsidRPr="00274702" w:rsidR="00274702" w:rsidDel="00010BA0" w:rsidP="00274702" w:rsidRDefault="00274702">
      <w:pPr>
        <w:spacing w:line="276" w:lineRule="auto"/>
        <w:ind w:left="709" w:hanging="709"/>
        <w:rPr>
          <w:rFonts w:ascii="Cambria" w:hAnsi="Cambria" w:eastAsia="Cambria" w:cs="Times New Roman"/>
          <w:noProof/>
          <w:sz w:val="22"/>
          <w:szCs w:val="22"/>
          <w:lang w:val="en-US"/>
        </w:rPr>
      </w:pPr>
      <w:r w:rsidRPr="00274702">
        <w:rPr>
          <w:rFonts w:ascii="Cambria" w:hAnsi="Cambria" w:eastAsia="Cambria" w:cs="Times New Roman"/>
          <w:noProof/>
          <w:sz w:val="22"/>
          <w:szCs w:val="22"/>
          <w:lang w:val="en-US"/>
        </w:rPr>
        <w:t xml:space="preserve">Hedberg, Masha. 2018. "The target strikes back: explaining countersanctions and Russia’s strategy of differentiated retaliation."  </w:t>
      </w:r>
      <w:r w:rsidRPr="00274702">
        <w:rPr>
          <w:rFonts w:ascii="Cambria" w:hAnsi="Cambria" w:eastAsia="Cambria" w:cs="Times New Roman"/>
          <w:i/>
          <w:noProof/>
          <w:sz w:val="22"/>
          <w:szCs w:val="22"/>
          <w:lang w:val="en-US"/>
        </w:rPr>
        <w:t>Post-Soviet Affairs</w:t>
      </w:r>
      <w:r w:rsidRPr="00274702">
        <w:rPr>
          <w:rFonts w:ascii="Cambria" w:hAnsi="Cambria" w:eastAsia="Cambria" w:cs="Times New Roman"/>
          <w:noProof/>
          <w:sz w:val="22"/>
          <w:szCs w:val="22"/>
          <w:lang w:val="en-US"/>
        </w:rPr>
        <w:t xml:space="preserve"> 34 (1):35-54. </w:t>
      </w:r>
    </w:p>
    <w:p w:rsidRPr="00274702" w:rsidR="00274702" w:rsidP="00274702" w:rsidRDefault="00274702">
      <w:pPr>
        <w:spacing w:line="276" w:lineRule="auto"/>
        <w:ind w:left="709" w:hanging="709"/>
        <w:rPr>
          <w:rFonts w:ascii="Cambria" w:hAnsi="Cambria" w:eastAsia="Cambria" w:cs="Times New Roman"/>
          <w:sz w:val="22"/>
          <w:szCs w:val="22"/>
          <w:lang w:val="en-US"/>
        </w:rPr>
      </w:pPr>
      <w:proofErr w:type="spellStart"/>
      <w:r w:rsidRPr="00274702">
        <w:rPr>
          <w:rFonts w:ascii="Cambria" w:hAnsi="Cambria" w:eastAsia="Cambria" w:cs="Times New Roman"/>
          <w:sz w:val="22"/>
          <w:szCs w:val="22"/>
          <w:lang w:val="en-US"/>
        </w:rPr>
        <w:t>Helwig</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Niklas</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Juha</w:t>
      </w:r>
      <w:proofErr w:type="spellEnd"/>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Jokela</w:t>
      </w:r>
      <w:proofErr w:type="spellEnd"/>
      <w:r w:rsidRPr="00274702">
        <w:rPr>
          <w:rFonts w:ascii="Cambria" w:hAnsi="Cambria" w:eastAsia="Cambria" w:cs="Times New Roman"/>
          <w:sz w:val="22"/>
          <w:szCs w:val="22"/>
          <w:lang w:val="en-US"/>
        </w:rPr>
        <w:t xml:space="preserve">, and Clara </w:t>
      </w:r>
      <w:proofErr w:type="spellStart"/>
      <w:r w:rsidRPr="00274702">
        <w:rPr>
          <w:rFonts w:ascii="Cambria" w:hAnsi="Cambria" w:eastAsia="Cambria" w:cs="Times New Roman"/>
          <w:sz w:val="22"/>
          <w:szCs w:val="22"/>
          <w:lang w:val="en-US"/>
        </w:rPr>
        <w:t>Portela</w:t>
      </w:r>
      <w:proofErr w:type="spellEnd"/>
      <w:r w:rsidRPr="00274702">
        <w:rPr>
          <w:rFonts w:ascii="Cambria" w:hAnsi="Cambria" w:eastAsia="Cambria" w:cs="Times New Roman"/>
          <w:sz w:val="22"/>
          <w:szCs w:val="22"/>
          <w:lang w:val="en-US"/>
        </w:rPr>
        <w:t xml:space="preserve">, eds. 2020. </w:t>
      </w:r>
      <w:r w:rsidRPr="00274702">
        <w:rPr>
          <w:rFonts w:ascii="Cambria" w:hAnsi="Cambria" w:eastAsia="Cambria" w:cs="Times New Roman"/>
          <w:i/>
          <w:iCs/>
          <w:sz w:val="22"/>
          <w:szCs w:val="22"/>
          <w:lang w:val="en-US"/>
        </w:rPr>
        <w:t>Sharpening EU Sanctions Policy: Challenges and Responses in a Geopolitical Era.</w:t>
      </w:r>
      <w:r w:rsidRPr="00274702">
        <w:rPr>
          <w:rFonts w:ascii="Cambria" w:hAnsi="Cambria" w:eastAsia="Cambria" w:cs="Times New Roman"/>
          <w:sz w:val="22"/>
          <w:szCs w:val="22"/>
          <w:lang w:val="en-US"/>
        </w:rPr>
        <w:t xml:space="preserve"> Helsinki: Finnish Institute of International Affairs.</w:t>
      </w:r>
    </w:p>
    <w:p w:rsidRPr="00274702" w:rsidR="00274702" w:rsidDel="00010BA0" w:rsidP="00274702" w:rsidRDefault="00274702">
      <w:pPr>
        <w:spacing w:line="276" w:lineRule="auto"/>
        <w:ind w:left="709" w:hanging="709"/>
        <w:rPr>
          <w:rFonts w:ascii="Cambria" w:hAnsi="Cambria" w:eastAsia="Cambria" w:cs="Times New Roman"/>
          <w:sz w:val="22"/>
          <w:szCs w:val="22"/>
          <w:lang w:val="en-US"/>
        </w:rPr>
      </w:pPr>
      <w:proofErr w:type="spellStart"/>
      <w:r w:rsidRPr="00274702" w:rsidDel="00010BA0">
        <w:rPr>
          <w:rFonts w:ascii="Cambria" w:hAnsi="Cambria" w:eastAsia="Cambria" w:cs="Times New Roman"/>
          <w:sz w:val="22"/>
          <w:szCs w:val="22"/>
          <w:lang w:val="en-US"/>
        </w:rPr>
        <w:t>Hufbauer</w:t>
      </w:r>
      <w:proofErr w:type="spellEnd"/>
      <w:r w:rsidRPr="00274702" w:rsidDel="00010BA0">
        <w:rPr>
          <w:rFonts w:ascii="Cambria" w:hAnsi="Cambria" w:eastAsia="Cambria" w:cs="Times New Roman"/>
          <w:sz w:val="22"/>
          <w:szCs w:val="22"/>
          <w:lang w:val="en-US"/>
        </w:rPr>
        <w:t>, G. C., Schott, J. J., &amp; Elliott, K. A. (2007). Economic sanctions reconsidered (3rd ed.). Washington, DC: Peterson Institute for International Economics.</w:t>
      </w:r>
    </w:p>
    <w:p w:rsidRPr="00274702" w:rsidR="00274702" w:rsidP="00274702" w:rsidRDefault="00274702">
      <w:pPr>
        <w:ind w:left="709" w:hanging="709"/>
        <w:rPr>
          <w:rFonts w:ascii="Cambria" w:hAnsi="Cambria" w:eastAsia="Cambria" w:cs="Calibri"/>
          <w:sz w:val="22"/>
          <w:szCs w:val="22"/>
          <w:lang w:val="en-US"/>
        </w:rPr>
      </w:pPr>
      <w:proofErr w:type="spellStart"/>
      <w:r w:rsidRPr="00274702">
        <w:rPr>
          <w:rFonts w:ascii="Cambria" w:hAnsi="Cambria" w:eastAsia="Cambria" w:cs="Calibri"/>
          <w:sz w:val="22"/>
          <w:szCs w:val="22"/>
          <w:lang w:val="en-US"/>
        </w:rPr>
        <w:t>Hufbauer</w:t>
      </w:r>
      <w:proofErr w:type="spellEnd"/>
      <w:r w:rsidRPr="00274702">
        <w:rPr>
          <w:rFonts w:ascii="Cambria" w:hAnsi="Cambria" w:eastAsia="Cambria" w:cs="Calibri"/>
          <w:sz w:val="22"/>
          <w:szCs w:val="22"/>
          <w:lang w:val="en-US"/>
        </w:rPr>
        <w:t xml:space="preserve">, Gary Clyde, Jeffrey J. Schott, and Kimberly Ann Elliott. 2007. </w:t>
      </w:r>
      <w:r w:rsidRPr="00274702">
        <w:rPr>
          <w:rFonts w:ascii="Cambria" w:hAnsi="Cambria" w:eastAsia="Cambria" w:cs="Calibri"/>
          <w:i/>
          <w:sz w:val="22"/>
          <w:szCs w:val="22"/>
          <w:lang w:val="en-US"/>
        </w:rPr>
        <w:t>Economic sanctions reconsidered</w:t>
      </w:r>
      <w:r w:rsidRPr="00274702">
        <w:rPr>
          <w:rFonts w:ascii="Cambria" w:hAnsi="Cambria" w:eastAsia="Cambria" w:cs="Calibri"/>
          <w:sz w:val="22"/>
          <w:szCs w:val="22"/>
          <w:lang w:val="en-US"/>
        </w:rPr>
        <w:t>. 3</w:t>
      </w:r>
      <w:r w:rsidRPr="00274702">
        <w:rPr>
          <w:rFonts w:ascii="Cambria" w:hAnsi="Cambria" w:eastAsia="Cambria" w:cs="Calibri"/>
          <w:sz w:val="22"/>
          <w:szCs w:val="22"/>
          <w:vertAlign w:val="superscript"/>
          <w:lang w:val="en-US"/>
        </w:rPr>
        <w:t>rd</w:t>
      </w:r>
      <w:r w:rsidRPr="00274702">
        <w:rPr>
          <w:rFonts w:ascii="Cambria" w:hAnsi="Cambria" w:eastAsia="Cambria" w:cs="Calibri"/>
          <w:sz w:val="22"/>
          <w:szCs w:val="22"/>
          <w:lang w:val="en-US"/>
        </w:rPr>
        <w:t xml:space="preserve"> ed. Washington, DC: Peterson Institute for International Economics.</w:t>
      </w:r>
    </w:p>
    <w:p w:rsidRPr="00274702" w:rsidR="00274702" w:rsidDel="00010BA0" w:rsidP="00274702" w:rsidRDefault="00274702">
      <w:pPr>
        <w:spacing w:line="276" w:lineRule="auto"/>
        <w:ind w:left="709" w:hanging="709"/>
        <w:rPr>
          <w:rFonts w:ascii="Cambria" w:hAnsi="Cambria" w:eastAsia="Cambria" w:cs="Times New Roman"/>
          <w:sz w:val="22"/>
          <w:szCs w:val="22"/>
          <w:lang w:val="en-US"/>
        </w:rPr>
      </w:pPr>
      <w:r w:rsidRPr="00274702" w:rsidDel="00010BA0">
        <w:rPr>
          <w:rFonts w:ascii="Cambria" w:hAnsi="Cambria" w:eastAsia="Cambria" w:cs="Times New Roman"/>
          <w:sz w:val="22"/>
          <w:szCs w:val="22"/>
          <w:lang w:val="en-US"/>
        </w:rPr>
        <w:t>Klotz, A. (1999). Making Sanctions Work: Comparative Lessons. In N. Crawford &amp; A. Klotz (Eds.), How Sanctions Work: Lessons from South Africa (pp. 264-282). Basingstoke: Macmillan.</w:t>
      </w:r>
    </w:p>
    <w:p w:rsidRPr="00274702" w:rsidR="00274702" w:rsidP="00274702" w:rsidRDefault="00274702">
      <w:pPr>
        <w:ind w:left="709" w:hanging="709"/>
        <w:rPr>
          <w:rFonts w:ascii="Cambria" w:hAnsi="Cambria" w:eastAsia="Cambria" w:cs="Calibri"/>
          <w:sz w:val="22"/>
          <w:szCs w:val="22"/>
          <w:lang w:val="en-US"/>
        </w:rPr>
      </w:pPr>
      <w:r w:rsidRPr="00274702">
        <w:rPr>
          <w:rFonts w:ascii="Cambria" w:hAnsi="Cambria" w:eastAsia="Cambria" w:cs="Calibri"/>
          <w:sz w:val="22"/>
          <w:szCs w:val="22"/>
          <w:lang w:val="en-US"/>
        </w:rPr>
        <w:t xml:space="preserve">Klotz, Audie. 1999. "Making Sanctions Work: Comparative Lessons." In </w:t>
      </w:r>
      <w:r w:rsidRPr="00274702">
        <w:rPr>
          <w:rFonts w:ascii="Cambria" w:hAnsi="Cambria" w:eastAsia="Cambria" w:cs="Calibri"/>
          <w:i/>
          <w:sz w:val="22"/>
          <w:szCs w:val="22"/>
          <w:lang w:val="en-US"/>
        </w:rPr>
        <w:t>How Sanctions Work: Lessons from South Africa</w:t>
      </w:r>
      <w:r w:rsidRPr="00274702">
        <w:rPr>
          <w:rFonts w:ascii="Cambria" w:hAnsi="Cambria" w:eastAsia="Cambria" w:cs="Calibri"/>
          <w:sz w:val="22"/>
          <w:szCs w:val="22"/>
          <w:lang w:val="en-US"/>
        </w:rPr>
        <w:t xml:space="preserve">, edited by </w:t>
      </w:r>
      <w:proofErr w:type="spellStart"/>
      <w:r w:rsidRPr="00274702">
        <w:rPr>
          <w:rFonts w:ascii="Cambria" w:hAnsi="Cambria" w:eastAsia="Cambria" w:cs="Calibri"/>
          <w:sz w:val="22"/>
          <w:szCs w:val="22"/>
          <w:lang w:val="en-US"/>
        </w:rPr>
        <w:t>Neta</w:t>
      </w:r>
      <w:proofErr w:type="spellEnd"/>
      <w:r w:rsidRPr="00274702">
        <w:rPr>
          <w:rFonts w:ascii="Cambria" w:hAnsi="Cambria" w:eastAsia="Cambria" w:cs="Calibri"/>
          <w:sz w:val="22"/>
          <w:szCs w:val="22"/>
          <w:lang w:val="en-US"/>
        </w:rPr>
        <w:t xml:space="preserve"> Crawford and Audie Klotz, 264-282. Basingstoke: Macmillan.</w:t>
      </w:r>
    </w:p>
    <w:p w:rsidRPr="00274702" w:rsidR="00274702" w:rsidP="00274702" w:rsidRDefault="00274702">
      <w:pPr>
        <w:ind w:left="709" w:hanging="709"/>
        <w:rPr>
          <w:rFonts w:ascii="Cambria" w:hAnsi="Cambria" w:eastAsia="Cambria" w:cs="Calibri"/>
          <w:sz w:val="22"/>
          <w:szCs w:val="22"/>
          <w:lang w:val="en-US"/>
        </w:rPr>
      </w:pPr>
      <w:proofErr w:type="spellStart"/>
      <w:r w:rsidRPr="00274702">
        <w:rPr>
          <w:rFonts w:ascii="Cambria" w:hAnsi="Cambria" w:eastAsia="Cambria" w:cs="Calibri"/>
          <w:sz w:val="22"/>
          <w:szCs w:val="22"/>
          <w:lang w:val="en-US"/>
        </w:rPr>
        <w:t>Lektzian</w:t>
      </w:r>
      <w:proofErr w:type="spellEnd"/>
      <w:r w:rsidRPr="00274702">
        <w:rPr>
          <w:rFonts w:ascii="Cambria" w:hAnsi="Cambria" w:eastAsia="Cambria" w:cs="Calibri"/>
          <w:sz w:val="22"/>
          <w:szCs w:val="22"/>
          <w:lang w:val="en-US"/>
        </w:rPr>
        <w:t xml:space="preserve">, David, and Glen </w:t>
      </w:r>
      <w:proofErr w:type="spellStart"/>
      <w:r w:rsidRPr="00274702">
        <w:rPr>
          <w:rFonts w:ascii="Cambria" w:hAnsi="Cambria" w:eastAsia="Cambria" w:cs="Calibri"/>
          <w:sz w:val="22"/>
          <w:szCs w:val="22"/>
          <w:lang w:val="en-US"/>
        </w:rPr>
        <w:t>Biglaiser</w:t>
      </w:r>
      <w:proofErr w:type="spellEnd"/>
      <w:r w:rsidRPr="00274702">
        <w:rPr>
          <w:rFonts w:ascii="Cambria" w:hAnsi="Cambria" w:eastAsia="Cambria" w:cs="Calibri"/>
          <w:sz w:val="22"/>
          <w:szCs w:val="22"/>
          <w:lang w:val="en-US"/>
        </w:rPr>
        <w:t xml:space="preserve">. 2013. "The effect of foreign direct investment on the use and success of US sanctions."  </w:t>
      </w:r>
      <w:r w:rsidRPr="00274702">
        <w:rPr>
          <w:rFonts w:ascii="Cambria" w:hAnsi="Cambria" w:eastAsia="Cambria" w:cs="Calibri"/>
          <w:i/>
          <w:sz w:val="22"/>
          <w:szCs w:val="22"/>
          <w:lang w:val="en-US"/>
        </w:rPr>
        <w:t>Conflict Management and Peace Science</w:t>
      </w:r>
      <w:r w:rsidRPr="00274702">
        <w:rPr>
          <w:rFonts w:ascii="Cambria" w:hAnsi="Cambria" w:eastAsia="Cambria" w:cs="Calibri"/>
          <w:sz w:val="22"/>
          <w:szCs w:val="22"/>
          <w:lang w:val="en-US"/>
        </w:rPr>
        <w:t xml:space="preserve"> 31 (1):70-93. </w:t>
      </w:r>
    </w:p>
    <w:p w:rsidRPr="00274702" w:rsidR="00274702" w:rsidP="00274702" w:rsidRDefault="00274702">
      <w:pPr>
        <w:ind w:left="709" w:hanging="709"/>
        <w:rPr>
          <w:rFonts w:ascii="Cambria" w:hAnsi="Cambria" w:eastAsia="Cambria" w:cs="Calibri"/>
          <w:sz w:val="22"/>
          <w:szCs w:val="22"/>
          <w:lang w:val="en-US"/>
        </w:rPr>
      </w:pPr>
      <w:proofErr w:type="spellStart"/>
      <w:r w:rsidRPr="00274702">
        <w:rPr>
          <w:rFonts w:ascii="Cambria" w:hAnsi="Cambria" w:eastAsia="Cambria" w:cs="Calibri"/>
          <w:sz w:val="22"/>
          <w:szCs w:val="22"/>
          <w:lang w:val="en-US"/>
        </w:rPr>
        <w:lastRenderedPageBreak/>
        <w:t>Lektzian</w:t>
      </w:r>
      <w:proofErr w:type="spellEnd"/>
      <w:r w:rsidRPr="00274702">
        <w:rPr>
          <w:rFonts w:ascii="Cambria" w:hAnsi="Cambria" w:eastAsia="Cambria" w:cs="Calibri"/>
          <w:sz w:val="22"/>
          <w:szCs w:val="22"/>
          <w:lang w:val="en-US"/>
        </w:rPr>
        <w:t xml:space="preserve">, David, and Mark </w:t>
      </w:r>
      <w:proofErr w:type="spellStart"/>
      <w:r w:rsidRPr="00274702">
        <w:rPr>
          <w:rFonts w:ascii="Cambria" w:hAnsi="Cambria" w:eastAsia="Cambria" w:cs="Calibri"/>
          <w:sz w:val="22"/>
          <w:szCs w:val="22"/>
          <w:lang w:val="en-US"/>
        </w:rPr>
        <w:t>Souva</w:t>
      </w:r>
      <w:proofErr w:type="spellEnd"/>
      <w:r w:rsidRPr="00274702">
        <w:rPr>
          <w:rFonts w:ascii="Cambria" w:hAnsi="Cambria" w:eastAsia="Cambria" w:cs="Calibri"/>
          <w:sz w:val="22"/>
          <w:szCs w:val="22"/>
          <w:lang w:val="en-US"/>
        </w:rPr>
        <w:t xml:space="preserve">. 2007. "An Institutional Theory of Sanctions Onset and Success."  </w:t>
      </w:r>
      <w:r w:rsidRPr="00274702">
        <w:rPr>
          <w:rFonts w:ascii="Cambria" w:hAnsi="Cambria" w:eastAsia="Cambria" w:cs="Calibri"/>
          <w:i/>
          <w:sz w:val="22"/>
          <w:szCs w:val="22"/>
          <w:lang w:val="en-US"/>
        </w:rPr>
        <w:t>Journal of Conflict Resolution</w:t>
      </w:r>
      <w:r w:rsidRPr="00274702">
        <w:rPr>
          <w:rFonts w:ascii="Cambria" w:hAnsi="Cambria" w:eastAsia="Cambria" w:cs="Calibri"/>
          <w:sz w:val="22"/>
          <w:szCs w:val="22"/>
          <w:lang w:val="en-US"/>
        </w:rPr>
        <w:t xml:space="preserve"> 51 (6):848-871. </w:t>
      </w:r>
    </w:p>
    <w:p w:rsidRPr="00274702" w:rsidR="00274702" w:rsidP="00274702" w:rsidRDefault="00274702">
      <w:pPr>
        <w:spacing w:line="276" w:lineRule="auto"/>
        <w:ind w:left="709" w:hanging="709"/>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Lopez, George. 2018. "Sanctions." In </w:t>
      </w:r>
      <w:r w:rsidRPr="00274702">
        <w:rPr>
          <w:rFonts w:ascii="Cambria" w:hAnsi="Cambria" w:eastAsia="Cambria" w:cs="Times New Roman"/>
          <w:i/>
          <w:iCs/>
          <w:sz w:val="22"/>
          <w:szCs w:val="22"/>
          <w:lang w:val="en-US"/>
        </w:rPr>
        <w:t>The Oxford Handbook on the United Nations</w:t>
      </w:r>
      <w:r w:rsidRPr="00274702">
        <w:rPr>
          <w:rFonts w:ascii="Cambria" w:hAnsi="Cambria" w:eastAsia="Cambria" w:cs="Times New Roman"/>
          <w:sz w:val="22"/>
          <w:szCs w:val="22"/>
          <w:lang w:val="en-US"/>
        </w:rPr>
        <w:t xml:space="preserve"> (2</w:t>
      </w:r>
      <w:r w:rsidRPr="00274702">
        <w:rPr>
          <w:rFonts w:ascii="Cambria" w:hAnsi="Cambria" w:eastAsia="Cambria" w:cs="Times New Roman"/>
          <w:sz w:val="22"/>
          <w:szCs w:val="22"/>
          <w:vertAlign w:val="superscript"/>
          <w:lang w:val="en-US"/>
        </w:rPr>
        <w:t>nd</w:t>
      </w:r>
      <w:r w:rsidRPr="00274702">
        <w:rPr>
          <w:rFonts w:ascii="Cambria" w:hAnsi="Cambria" w:eastAsia="Cambria" w:cs="Times New Roman"/>
          <w:sz w:val="22"/>
          <w:szCs w:val="22"/>
          <w:lang w:val="en-US"/>
        </w:rPr>
        <w:t xml:space="preserve"> </w:t>
      </w:r>
      <w:proofErr w:type="spellStart"/>
      <w:r w:rsidRPr="00274702">
        <w:rPr>
          <w:rFonts w:ascii="Cambria" w:hAnsi="Cambria" w:eastAsia="Cambria" w:cs="Times New Roman"/>
          <w:sz w:val="22"/>
          <w:szCs w:val="22"/>
          <w:lang w:val="en-US"/>
        </w:rPr>
        <w:t>ed</w:t>
      </w:r>
      <w:proofErr w:type="spellEnd"/>
      <w:r w:rsidRPr="00274702">
        <w:rPr>
          <w:rFonts w:ascii="Cambria" w:hAnsi="Cambria" w:eastAsia="Cambria" w:cs="Times New Roman"/>
          <w:sz w:val="22"/>
          <w:szCs w:val="22"/>
          <w:lang w:val="en-US"/>
        </w:rPr>
        <w:t xml:space="preserve">), edited by Thomas G. Weiss and Sam </w:t>
      </w:r>
      <w:proofErr w:type="spellStart"/>
      <w:r w:rsidRPr="00274702">
        <w:rPr>
          <w:rFonts w:ascii="Cambria" w:hAnsi="Cambria" w:eastAsia="Cambria" w:cs="Times New Roman"/>
          <w:sz w:val="22"/>
          <w:szCs w:val="22"/>
          <w:lang w:val="en-US"/>
        </w:rPr>
        <w:t>Daws</w:t>
      </w:r>
      <w:proofErr w:type="spellEnd"/>
      <w:r w:rsidRPr="00274702">
        <w:rPr>
          <w:rFonts w:ascii="Cambria" w:hAnsi="Cambria" w:eastAsia="Cambria" w:cs="Times New Roman"/>
          <w:sz w:val="22"/>
          <w:szCs w:val="22"/>
          <w:lang w:val="en-US"/>
        </w:rPr>
        <w:t>, 445-460. Oxford, UK: Oxford University Press.</w:t>
      </w:r>
      <w:r w:rsidRPr="00274702" w:rsidDel="00E0449B">
        <w:rPr>
          <w:rFonts w:ascii="Cambria" w:hAnsi="Cambria" w:eastAsia="Cambria" w:cs="Times New Roman"/>
          <w:sz w:val="22"/>
          <w:szCs w:val="22"/>
          <w:lang w:val="en-US"/>
        </w:rPr>
        <w:t xml:space="preserve"> </w:t>
      </w:r>
    </w:p>
    <w:p w:rsidRPr="00274702" w:rsidR="00274702" w:rsidDel="00010BA0" w:rsidP="00274702" w:rsidRDefault="00274702">
      <w:pPr>
        <w:spacing w:line="276" w:lineRule="auto"/>
        <w:ind w:left="709" w:hanging="709"/>
        <w:rPr>
          <w:rFonts w:ascii="Cambria" w:hAnsi="Cambria" w:eastAsia="Cambria" w:cs="Times New Roman"/>
          <w:noProof/>
          <w:sz w:val="22"/>
          <w:szCs w:val="22"/>
          <w:lang w:val="en-US"/>
        </w:rPr>
      </w:pPr>
      <w:r w:rsidRPr="00274702">
        <w:rPr>
          <w:rFonts w:ascii="Cambria" w:hAnsi="Cambria" w:eastAsia="Cambria" w:cs="Times New Roman"/>
          <w:noProof/>
          <w:sz w:val="22"/>
          <w:szCs w:val="22"/>
          <w:lang w:val="en-US"/>
        </w:rPr>
        <w:t xml:space="preserve">Marinov, Nikolay. 2005. "Do Economic Sanctions Destabilize Country Leaders?"  </w:t>
      </w:r>
      <w:r w:rsidRPr="00274702">
        <w:rPr>
          <w:rFonts w:ascii="Cambria" w:hAnsi="Cambria" w:eastAsia="Cambria" w:cs="Times New Roman"/>
          <w:i/>
          <w:noProof/>
          <w:sz w:val="22"/>
          <w:szCs w:val="22"/>
          <w:lang w:val="en-US"/>
        </w:rPr>
        <w:t>American Journal of Political Science</w:t>
      </w:r>
      <w:r w:rsidRPr="00274702">
        <w:rPr>
          <w:rFonts w:ascii="Cambria" w:hAnsi="Cambria" w:eastAsia="Cambria" w:cs="Times New Roman"/>
          <w:noProof/>
          <w:sz w:val="22"/>
          <w:szCs w:val="22"/>
          <w:lang w:val="en-US"/>
        </w:rPr>
        <w:t xml:space="preserve"> 49 (3):564-576</w:t>
      </w:r>
    </w:p>
    <w:p w:rsidRPr="00274702" w:rsidR="00274702" w:rsidP="00274702" w:rsidRDefault="00274702">
      <w:pPr>
        <w:spacing w:line="276" w:lineRule="auto"/>
        <w:ind w:left="709" w:hanging="709"/>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Miller, Nicholas L. 2014. "The Secret Success of Nonproliferation Sanctions."  </w:t>
      </w:r>
      <w:r w:rsidRPr="00274702">
        <w:rPr>
          <w:rFonts w:ascii="Cambria" w:hAnsi="Cambria" w:eastAsia="Cambria" w:cs="Times New Roman"/>
          <w:i/>
          <w:iCs/>
          <w:sz w:val="22"/>
          <w:szCs w:val="22"/>
          <w:lang w:val="en-US"/>
        </w:rPr>
        <w:t>International Organization</w:t>
      </w:r>
      <w:r w:rsidRPr="00274702">
        <w:rPr>
          <w:rFonts w:ascii="Cambria" w:hAnsi="Cambria" w:eastAsia="Cambria" w:cs="Times New Roman"/>
          <w:sz w:val="22"/>
          <w:szCs w:val="22"/>
          <w:lang w:val="en-US"/>
        </w:rPr>
        <w:t xml:space="preserve"> 68 (4):913-944.</w:t>
      </w:r>
      <w:r w:rsidRPr="00274702" w:rsidDel="00E0449B">
        <w:rPr>
          <w:rFonts w:ascii="Cambria" w:hAnsi="Cambria" w:eastAsia="Cambria" w:cs="Times New Roman"/>
          <w:sz w:val="22"/>
          <w:szCs w:val="22"/>
          <w:lang w:val="en-US"/>
        </w:rPr>
        <w:t xml:space="preserve"> </w:t>
      </w:r>
    </w:p>
    <w:p w:rsidRPr="00274702" w:rsidR="00274702" w:rsidP="00274702" w:rsidRDefault="00274702">
      <w:pPr>
        <w:ind w:left="709" w:hanging="709"/>
        <w:rPr>
          <w:rFonts w:ascii="Cambria" w:hAnsi="Cambria" w:eastAsia="Cambria" w:cs="Calibri"/>
          <w:sz w:val="22"/>
          <w:szCs w:val="22"/>
          <w:lang w:val="en-US"/>
        </w:rPr>
      </w:pPr>
      <w:r w:rsidRPr="00274702">
        <w:rPr>
          <w:rFonts w:ascii="Cambria" w:hAnsi="Cambria" w:eastAsia="Cambria" w:cs="Calibri"/>
          <w:sz w:val="22"/>
          <w:szCs w:val="22"/>
          <w:lang w:val="en-US"/>
        </w:rPr>
        <w:t xml:space="preserve">Morgan, T. Clifton, </w:t>
      </w:r>
      <w:proofErr w:type="spellStart"/>
      <w:r w:rsidRPr="00274702">
        <w:rPr>
          <w:rFonts w:ascii="Cambria" w:hAnsi="Cambria" w:eastAsia="Cambria" w:cs="Calibri"/>
          <w:sz w:val="22"/>
          <w:szCs w:val="22"/>
          <w:lang w:val="en-US"/>
        </w:rPr>
        <w:t>Navin</w:t>
      </w:r>
      <w:proofErr w:type="spellEnd"/>
      <w:r w:rsidRPr="00274702">
        <w:rPr>
          <w:rFonts w:ascii="Cambria" w:hAnsi="Cambria" w:eastAsia="Cambria" w:cs="Calibri"/>
          <w:sz w:val="22"/>
          <w:szCs w:val="22"/>
          <w:lang w:val="en-US"/>
        </w:rPr>
        <w:t xml:space="preserve"> </w:t>
      </w:r>
      <w:proofErr w:type="spellStart"/>
      <w:r w:rsidRPr="00274702">
        <w:rPr>
          <w:rFonts w:ascii="Cambria" w:hAnsi="Cambria" w:eastAsia="Cambria" w:cs="Calibri"/>
          <w:sz w:val="22"/>
          <w:szCs w:val="22"/>
          <w:lang w:val="en-US"/>
        </w:rPr>
        <w:t>Bapat</w:t>
      </w:r>
      <w:proofErr w:type="spellEnd"/>
      <w:r w:rsidRPr="00274702">
        <w:rPr>
          <w:rFonts w:ascii="Cambria" w:hAnsi="Cambria" w:eastAsia="Cambria" w:cs="Calibri"/>
          <w:sz w:val="22"/>
          <w:szCs w:val="22"/>
          <w:lang w:val="en-US"/>
        </w:rPr>
        <w:t xml:space="preserve">, and Yoshiharu Kobayashi. 2014. "Threat and imposition of economic sanctions 1945–2005: Updating the TIES dataset."  </w:t>
      </w:r>
      <w:r w:rsidRPr="00274702">
        <w:rPr>
          <w:rFonts w:ascii="Cambria" w:hAnsi="Cambria" w:eastAsia="Cambria" w:cs="Calibri"/>
          <w:i/>
          <w:sz w:val="22"/>
          <w:szCs w:val="22"/>
          <w:lang w:val="en-US"/>
        </w:rPr>
        <w:t>Conflict Management and Peace Science</w:t>
      </w:r>
      <w:r w:rsidRPr="00274702">
        <w:rPr>
          <w:rFonts w:ascii="Cambria" w:hAnsi="Cambria" w:eastAsia="Cambria" w:cs="Calibri"/>
          <w:sz w:val="22"/>
          <w:szCs w:val="22"/>
          <w:lang w:val="en-US"/>
        </w:rPr>
        <w:t xml:space="preserve"> 31 (5):541-558.</w:t>
      </w:r>
    </w:p>
    <w:p w:rsidRPr="00274702" w:rsidR="00274702" w:rsidP="00274702" w:rsidRDefault="00274702">
      <w:pPr>
        <w:spacing w:line="276" w:lineRule="auto"/>
        <w:ind w:left="709" w:hanging="709"/>
        <w:rPr>
          <w:rFonts w:ascii="Cambria" w:hAnsi="Cambria" w:eastAsia="Cambria" w:cs="Times New Roman"/>
          <w:sz w:val="22"/>
          <w:szCs w:val="22"/>
          <w:lang w:val="en-US"/>
        </w:rPr>
      </w:pPr>
      <w:proofErr w:type="spellStart"/>
      <w:r w:rsidRPr="00274702">
        <w:rPr>
          <w:rFonts w:ascii="Cambria" w:hAnsi="Cambria" w:eastAsia="Cambria" w:cs="Times New Roman"/>
          <w:sz w:val="22"/>
          <w:szCs w:val="22"/>
          <w:lang w:val="en-US"/>
        </w:rPr>
        <w:t>Onderco</w:t>
      </w:r>
      <w:proofErr w:type="spellEnd"/>
      <w:r w:rsidRPr="00274702">
        <w:rPr>
          <w:rFonts w:ascii="Cambria" w:hAnsi="Cambria" w:eastAsia="Cambria" w:cs="Times New Roman"/>
          <w:sz w:val="22"/>
          <w:szCs w:val="22"/>
          <w:lang w:val="en-US"/>
        </w:rPr>
        <w:t xml:space="preserve">, Michal, and </w:t>
      </w:r>
      <w:proofErr w:type="spellStart"/>
      <w:r w:rsidRPr="00274702">
        <w:rPr>
          <w:rFonts w:ascii="Cambria" w:hAnsi="Cambria" w:eastAsia="Cambria" w:cs="Times New Roman"/>
          <w:sz w:val="22"/>
          <w:szCs w:val="22"/>
          <w:lang w:val="en-US"/>
        </w:rPr>
        <w:t>Reinout</w:t>
      </w:r>
      <w:proofErr w:type="spellEnd"/>
      <w:r w:rsidRPr="00274702">
        <w:rPr>
          <w:rFonts w:ascii="Cambria" w:hAnsi="Cambria" w:eastAsia="Cambria" w:cs="Times New Roman"/>
          <w:sz w:val="22"/>
          <w:szCs w:val="22"/>
          <w:lang w:val="en-US"/>
        </w:rPr>
        <w:t xml:space="preserve"> A van der Veer. forthcoming. "No More Gouda in Moscow? Distributive Effects of Sanctions Imposition."  </w:t>
      </w:r>
      <w:r w:rsidRPr="00274702">
        <w:rPr>
          <w:rFonts w:ascii="Cambria" w:hAnsi="Cambria" w:eastAsia="Cambria" w:cs="Times New Roman"/>
          <w:i/>
          <w:iCs/>
          <w:sz w:val="22"/>
          <w:szCs w:val="22"/>
          <w:lang w:val="en-US"/>
        </w:rPr>
        <w:t>Journal of Common Market Studies.</w:t>
      </w:r>
      <w:r w:rsidRPr="00274702" w:rsidDel="00E0449B">
        <w:rPr>
          <w:rFonts w:ascii="Cambria" w:hAnsi="Cambria" w:eastAsia="Cambria" w:cs="Times New Roman"/>
          <w:sz w:val="22"/>
          <w:szCs w:val="22"/>
          <w:lang w:val="en-US"/>
        </w:rPr>
        <w:t xml:space="preserve"> </w:t>
      </w:r>
    </w:p>
    <w:p w:rsidRPr="00274702" w:rsidR="00274702" w:rsidP="00274702" w:rsidRDefault="00274702">
      <w:pPr>
        <w:spacing w:line="276" w:lineRule="auto"/>
        <w:ind w:left="709" w:hanging="709"/>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Pape, Robert A. 1997. "Why Economic Sanctions Do Not Work."  </w:t>
      </w:r>
      <w:r w:rsidRPr="00274702">
        <w:rPr>
          <w:rFonts w:ascii="Cambria" w:hAnsi="Cambria" w:eastAsia="Cambria" w:cs="Times New Roman"/>
          <w:i/>
          <w:iCs/>
          <w:sz w:val="22"/>
          <w:szCs w:val="22"/>
          <w:lang w:val="en-US"/>
        </w:rPr>
        <w:t>International Security</w:t>
      </w:r>
      <w:r w:rsidRPr="00274702">
        <w:rPr>
          <w:rFonts w:ascii="Cambria" w:hAnsi="Cambria" w:eastAsia="Cambria" w:cs="Times New Roman"/>
          <w:sz w:val="22"/>
          <w:szCs w:val="22"/>
          <w:lang w:val="en-US"/>
        </w:rPr>
        <w:t xml:space="preserve"> 22 (2):90-136.</w:t>
      </w:r>
    </w:p>
    <w:p w:rsidRPr="00274702" w:rsidR="00274702" w:rsidP="00274702" w:rsidRDefault="00274702">
      <w:pPr>
        <w:ind w:left="709" w:hanging="709"/>
        <w:rPr>
          <w:rFonts w:ascii="Cambria" w:hAnsi="Cambria" w:eastAsia="Cambria" w:cs="Calibri"/>
          <w:sz w:val="22"/>
          <w:szCs w:val="22"/>
          <w:lang w:val="en-US"/>
        </w:rPr>
      </w:pPr>
      <w:r w:rsidRPr="00274702">
        <w:rPr>
          <w:rFonts w:ascii="Cambria" w:hAnsi="Cambria" w:eastAsia="Cambria" w:cs="Calibri"/>
          <w:sz w:val="22"/>
          <w:szCs w:val="22"/>
          <w:lang w:val="en-US"/>
        </w:rPr>
        <w:t xml:space="preserve">Wood, Reed M. 2008. ""A Hand upon the Throat of the Nation": Economic Sanctions and State Repression, 1976-2001."  </w:t>
      </w:r>
      <w:r w:rsidRPr="00274702">
        <w:rPr>
          <w:rFonts w:ascii="Cambria" w:hAnsi="Cambria" w:eastAsia="Cambria" w:cs="Calibri"/>
          <w:i/>
          <w:sz w:val="22"/>
          <w:szCs w:val="22"/>
          <w:lang w:val="en-US"/>
        </w:rPr>
        <w:t>International Studies Quarterly</w:t>
      </w:r>
      <w:r w:rsidRPr="00274702">
        <w:rPr>
          <w:rFonts w:ascii="Cambria" w:hAnsi="Cambria" w:eastAsia="Cambria" w:cs="Calibri"/>
          <w:sz w:val="22"/>
          <w:szCs w:val="22"/>
          <w:lang w:val="en-US"/>
        </w:rPr>
        <w:t xml:space="preserve"> 52 (3):489-513.</w:t>
      </w:r>
    </w:p>
    <w:p w:rsidRPr="00274702" w:rsidR="00274702" w:rsidP="00274702" w:rsidRDefault="00274702">
      <w:pPr>
        <w:spacing w:line="276" w:lineRule="auto"/>
        <w:ind w:left="720" w:hanging="720"/>
        <w:rPr>
          <w:rFonts w:ascii="Cambria" w:hAnsi="Cambria" w:eastAsia="Cambria" w:cs="Times New Roman"/>
          <w:sz w:val="22"/>
          <w:szCs w:val="22"/>
        </w:rPr>
      </w:pPr>
    </w:p>
    <w:p w:rsidRPr="00274702" w:rsidR="00274702" w:rsidP="00274702" w:rsidRDefault="00274702">
      <w:pPr>
        <w:spacing w:line="276" w:lineRule="auto"/>
        <w:ind w:left="720" w:hanging="720"/>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Cambria"/>
          <w:sz w:val="22"/>
          <w:szCs w:val="22"/>
        </w:rPr>
      </w:pPr>
      <w:r w:rsidRPr="00274702">
        <w:rPr>
          <w:rFonts w:ascii="Cambria" w:hAnsi="Cambria" w:eastAsia="Cambria" w:cs="Cambria"/>
          <w:sz w:val="22"/>
          <w:szCs w:val="22"/>
        </w:rPr>
        <w:br w:type="page"/>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Wetenschappelijke </w:t>
      </w:r>
      <w:proofErr w:type="spellStart"/>
      <w:r w:rsidRPr="00274702">
        <w:rPr>
          <w:rFonts w:ascii="Cambria" w:hAnsi="Cambria" w:eastAsia="Cambria" w:cs="Times New Roman"/>
          <w:sz w:val="22"/>
          <w:szCs w:val="22"/>
        </w:rPr>
        <w:t>factsheet</w:t>
      </w:r>
      <w:proofErr w:type="spellEnd"/>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INDUSTRIEBELEID</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Prof. dr. Hans Schenk MBA, Universiteit Utrecht</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4 oktober 2021</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Centrale vraagstelling</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Voorjaar 2020, één dag voordat de WHO officieel constateerde dat er sprake was van een COVID-19-epidemie, publiceerde de Europese Commissie haar nieuwe industriebeleid. Nadat dit beleid jarenlang onder die titel (maar niet de facto, zoals nog zal blijken) op een laag pitje had gestaan, was het nu niet alleen gericht op het bevorderen van het Europese concurrentievermogen maar ook op het bevorderen van de Europese industriële autonomie (EC 2020). Eind 2020 tekende de Europese Raad daarbij aan, onder meer dankzij de inzet van Nederland, dat dit beleid wel gepaard moet gaan met behoud van de open economie (REU 2020). Ook in de Adviesaanvraag Europees Industriebeleid aan de Adviesraad Internationale Vraagstukken memoreert de (demissionaire) minister dat er “bij deze discussie” een risico is “dat de EU afstevent op meer economisch protectionisme en maatregelen die het functioneren van de open markteconomie bedreigen” (BUZA 2021). De vraag die hier centraal staat is of dit risico reëel is en, zo ja, wat daarvan dan de consequenties zouden kunnen of moeten zijn.</w:t>
      </w:r>
    </w:p>
    <w:p w:rsidRPr="001E5255" w:rsidR="00274702" w:rsidP="001E5255" w:rsidRDefault="00274702">
      <w:pPr>
        <w:pStyle w:val="Tussenkopje"/>
      </w:pPr>
    </w:p>
    <w:p w:rsidRPr="001E5255" w:rsidR="00274702" w:rsidP="00325809" w:rsidRDefault="00274702">
      <w:pPr>
        <w:pStyle w:val="Tussenkopje"/>
        <w:ind w:left="0"/>
      </w:pPr>
      <w:r w:rsidRPr="001E5255">
        <w:t>Wat is industriebeleid?</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Soms wordt gedacht dat het bij industriebeleid vooral gaat om directe financiële steunverlening aan noodlijdende dan wel veelbelovende bedrijven of sectoren. Maar het gaat om veel meer. Hoekstenen van het industriebeleid zijn zulke uiteenlopende beleidsterreinen als mededinging, fiscaliteit en vestigingscondities (Owen 2012).</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Voor een goed begrip van het karakter van industriebeleid is het zinvol om ons af te vragen wie het initiatief neemt. Reageren beleidsmakers op vragen ‘uit de markt’, of ontwikkelen zij zelf ideeën, waarvoor zij vervolgens ook bij marktpartijen de handen op elkaar proberen te krijgen? Een tweede belangrijke vraag is: welke bedrijven kunnen profiteren van industriepolitieke maatregelen? Alleen kennisintensieve bedrijven? Alleen exporterende bedrijven? Het is zeker dat de meeste vormen van industriebeleid discriminatoir, en dus tot op zekere hoogte protectionistisch van aard zijn. Ook het zogenoemde generieke beleid, dat wil zeggen: beleid waarvan alle bedrijven binnen een bepaalde jurisdictie kunnen profiteren (denk aan een algemene investeringsaftrek) is tot op zekere hoogte protectionistisch, namelijk tegenover bedrijven die niet gevestigd zijn binnen de jurisdictie waarvoor de faciliteit geldt. In die zin is de vrees van de minister reëel. </w:t>
      </w:r>
      <w:r w:rsidRPr="00274702">
        <w:rPr>
          <w:rFonts w:ascii="Cambria" w:hAnsi="Cambria" w:eastAsia="Cambria" w:cs="Times New Roman"/>
          <w:sz w:val="22"/>
          <w:szCs w:val="22"/>
        </w:rPr>
        <w:lastRenderedPageBreak/>
        <w:t>Maar het is ook een tamelijk gratuite vrees, zoals hierna zal blijken.</w:t>
      </w:r>
    </w:p>
    <w:p w:rsidRPr="001E5255" w:rsidR="00274702" w:rsidP="001E5255" w:rsidRDefault="00274702">
      <w:pPr>
        <w:pStyle w:val="Tussenkopje"/>
      </w:pPr>
    </w:p>
    <w:p w:rsidRPr="001E5255" w:rsidR="00274702" w:rsidP="00325809" w:rsidRDefault="00274702">
      <w:pPr>
        <w:pStyle w:val="Tussenkopje"/>
        <w:ind w:left="0"/>
      </w:pPr>
      <w:r w:rsidRPr="001E5255">
        <w:t>RSV</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Erkend moet intussen worden dat industriebeleid in Nederland in een kwaad daglicht is komen te staan. Dat heeft alles te maken met het uit de rails lopen van de steunverlening aan het scheepsbouwconcern RSV, begin jaren tachtig van de afgelopen eeuw. De steunverlening zou te kostbaar zijn geweest en te lang zijn voortgezet. Bovendien meende men dat scheepsbouw niet meer weggelegd was voor kleine landen als het onze, zodat steunverlening sowieso misplaatst was (Tweede Kamer 1984). De teloorgang van het concern had echter vooral te maken met mismanagement binnen de top van het concern zelf; een gebrek aan expertise om dit te snappen aan de zijde van de subsidiegevers, en de politieke onwil om het primaat van aandeelhouders en hun vertegenwoordigers aan te tasten (Wassenberg 1983; Schenk 1987). Ofschoon vliegtuigbouwconcern Fokker een tiental jaren later veel minder ruimhartig van financiële steun werd voorzien, waren het dezelfde factoren die opnieuw leidden tot de onnodige ondergang van een icoon van ons bedrijfsleven (Schenk 1996; Koelewijn 1997).</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1E5255" w:rsidR="00274702" w:rsidP="00325809" w:rsidRDefault="00274702">
      <w:pPr>
        <w:pStyle w:val="Tussenkopje"/>
        <w:ind w:left="0"/>
      </w:pPr>
      <w:r w:rsidRPr="001E5255">
        <w:t>Economische uitgangspunten</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Het gaat bij industriebeleid om keuzes die veel zeggen over de economisch-theoretische uitgangspunten die beleidsmakers en hun politieke opdrachtgevers huldigen. Voorop staat dan de vraag waartoe de overheid, in het bijzonder het ministerie van Economische Zaken (en momenteel: Klimaat), op aarde is. De mogelijke antwoorden op die vraag lopen flink uiteen. Indien gemeend wordt dat de overheid in de economie weinig meer te zoeken heeft dan het beschermen van de vrijheid van zakendoen op vrijgelaten markten, dan neigt het industriebeleid naar incidentele financiële ondersteuning in crisissituaties en voor het overige naar een accent op bescherming van de mededinging. Helaas lopen in de praktijk vele verschillende aanpakken door elkaar heen, en is inconsistentie aan de orde van de dag. Wanneer is bijvoorbeeld sprake van een crisissituatie? En het zou ook niet voor het eerst zijn dat wat met de pen beleden wordt in de praktijk geen schijn van kans wordt gegeven.</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Zo bestaat er in Europa en de Verenigde Staten (en trouwens ook in vele andere landen, óók bijvoorbeeld in de Volksrepubliek China) uitgebreide mededingingswetgeving, maar is het daarvan deel uitmakende ex-ante-concentratietoezicht, in ieder geval in Europa en de VS, weinig effectief. Ooit tot ontwikkeling gekomen om te voorkomen dat bedrijven via een fusie of overname (vrijwel alle fusies zijn overnames) de maatschappelijke welvaartscreatie in gevaar zouden brengen heeft het zich mede onder invloed van de groeiende populariteit van de neoklassieke micro-economie in de jaren tachtig ontwikkeld tot een toets op markteffecten in plaats van welvaartseffecten. Dit impliceert, dat concentraties die significant negatieve effecten hebben op de welvaart gewoon toegelaten worden, als er maar geen sprake is van prijsstijgingen voor de consument. Waar welvaartsaantasting relatief eenvoudig te toetsen is, is het vrijwel ondoenlijk om dergelijke markteffecten ex ante bloot te leggen. Het getuigt niet direct van paranoia om te stellen dat de wetgever bewust een fusietoets heeft geïntroduceerd die weinig om het lijf heeft (in de EU is de afgelopen </w:t>
      </w:r>
      <w:r w:rsidRPr="00274702">
        <w:rPr>
          <w:rFonts w:ascii="Cambria" w:hAnsi="Cambria" w:eastAsia="Cambria" w:cs="Times New Roman"/>
          <w:sz w:val="22"/>
          <w:szCs w:val="22"/>
        </w:rPr>
        <w:lastRenderedPageBreak/>
        <w:t>dertig jaar minder dan een half procent van de aangemelde fusies tegengehouden, maar daarvan is een groot deel alsnog gepasseerd nadat de rechter concludeerde dat bewijs voor de gestelde markteffecten ontbrak).</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Naast, en in aanvulling op dit in 1989 van kracht geworden Europese concentratietoezicht (zie EEG 1989) is in 2004 met de overnamerichtlijn opnieuw beleid geïntroduceerd dat aantasting van de welvaart sanctioneert, op voorwaarde dat dit volgens de regels van de vrije markt verloopt (EU 2004). De overnamerichtlijn verbiedt namelijk allerlei constructies die bedrijven in het leven kunnen roepen om zich te verdedigen tegen overnames – ook als deze waarde vernietigen. De basisgedachte is dat wanneer onderneming A wenst over te gaan tot de overname van onderneming B, dit ten principale een waarde creërende actie moet zijn, eenvoudigweg omdat de markt de overname anders niet zou tolereren (Schenk 2016).</w:t>
      </w:r>
    </w:p>
    <w:p w:rsidRPr="00274702" w:rsidR="00274702" w:rsidP="00274702" w:rsidRDefault="00274702">
      <w:pPr>
        <w:widowControl w:val="0"/>
        <w:suppressAutoHyphens/>
        <w:spacing w:line="276" w:lineRule="auto"/>
        <w:rPr>
          <w:rFonts w:ascii="Cambria" w:hAnsi="Cambria" w:eastAsia="Cambria" w:cs="Times New Roman"/>
          <w:b/>
          <w:bCs/>
          <w:sz w:val="22"/>
          <w:szCs w:val="22"/>
        </w:rPr>
      </w:pPr>
    </w:p>
    <w:p w:rsidRPr="001E5255" w:rsidR="00274702" w:rsidP="00325809" w:rsidRDefault="00274702">
      <w:pPr>
        <w:pStyle w:val="Tussenkopje"/>
        <w:ind w:left="0"/>
      </w:pPr>
      <w:r w:rsidRPr="001E5255">
        <w:t>Naïviteit in het beleid</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Dit teleologisch principe komt terug in de andere onderdelen van het industriebeleid: volgens de basisveronderstellingen van de neoklassieke economische school, zullen bedrijven geen dingen doen die niet in hun eigen economisch belang zijn. Men zou dit naïef kunnen noemen, maar het is pijnlijker dan dat. Deze invulling van het industriebeleid vond namelijk plaats op een moment dat bedrijven en overheden al verdraaid goed konden weten dat hun argumentaties door modern wetenschappelijk onderzoek naar het rijk der fabelen waren verwezen. Zeker op het moment dat Fokker probleemloos werd overgenomen door Daimler-Benz was immers al bekend dat verreweg de meeste overnames van, en fusies tussen grote bedrijven stelselmatig tekortschieten in het creëren van economische waarde (zie voor een overzicht van de tientallen studies die de uitkomsten van ruim honderd jaar fusies hebben geanalyseerd: Schenk 2006).</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Dat de wereldeconomie doordesemd is van protectionisme is voor heel wat economische theorieën een dikke tegenvaller. Het duidt er immers op, dat het vrije-marktmodel uit de economische leerboeken allang passé is, als het al ooit heeft bestaan. Dit stemt tot nadenken over het geloof dat men moet hechten aan beleidsrecepten die uit de neoklassieke economische keuken komen. Het is immers weinig productief om voortdurend beteuterd te opperen dat de economische praktijk zich zou moeten aanpassen aan de economische modellen uit die leerboeken (zoals recent nog in diverse bijdragen in </w:t>
      </w:r>
      <w:r w:rsidRPr="00274702">
        <w:rPr>
          <w:rFonts w:ascii="Cambria" w:hAnsi="Cambria" w:eastAsia="Cambria" w:cs="Times New Roman"/>
          <w:i/>
          <w:iCs/>
          <w:sz w:val="22"/>
          <w:szCs w:val="22"/>
        </w:rPr>
        <w:t>ESB</w:t>
      </w:r>
      <w:r w:rsidRPr="00274702">
        <w:rPr>
          <w:rFonts w:ascii="Cambria" w:hAnsi="Cambria" w:eastAsia="Cambria" w:cs="Times New Roman"/>
          <w:sz w:val="22"/>
          <w:szCs w:val="22"/>
        </w:rPr>
        <w:t xml:space="preserve"> werd gedaan, zie bijv. Brakman 2021 en Linssen </w:t>
      </w:r>
      <w:r w:rsidRPr="00274702">
        <w:rPr>
          <w:rFonts w:ascii="Cambria" w:hAnsi="Cambria" w:eastAsia="Cambria" w:cs="Times New Roman"/>
          <w:i/>
          <w:iCs/>
          <w:sz w:val="22"/>
          <w:szCs w:val="22"/>
        </w:rPr>
        <w:t>et al.</w:t>
      </w:r>
      <w:r w:rsidRPr="00274702">
        <w:rPr>
          <w:rFonts w:ascii="Cambria" w:hAnsi="Cambria" w:eastAsia="Cambria" w:cs="Times New Roman"/>
          <w:sz w:val="22"/>
          <w:szCs w:val="22"/>
        </w:rPr>
        <w:t xml:space="preserve"> 2021). De reële wereld is nu eenmaal geen leerboekwereld. In een wereld waarin het menens is helpt het niet veel om naïef te zijn.</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1E5255" w:rsidR="00274702" w:rsidP="00325809" w:rsidRDefault="00274702">
      <w:pPr>
        <w:pStyle w:val="Tussenkopje"/>
        <w:ind w:left="0"/>
      </w:pPr>
      <w:proofErr w:type="spellStart"/>
      <w:r w:rsidRPr="001E5255">
        <w:t>Missiegedreven</w:t>
      </w:r>
      <w:proofErr w:type="spellEnd"/>
      <w:r w:rsidRPr="001E5255">
        <w:t xml:space="preserve"> industriebeleid</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Tegen die achtergrond heeft Lane (2021) kortgeleden het Zuid-Koreaanse industriebeleid met behulp van de laatste econometrische methoden opnieuw onderzocht. Hij laat zien dat de door hem onderzochte programma’s zeer succesvol waren in het veranderen van de economische koers van het land, ook al zouden neoklassieke economen ze heel erg ‘protectionistisch’ vinden. Ingrediënten van dit succes waren veelomvattendheid, consequente doorvoering, </w:t>
      </w:r>
      <w:proofErr w:type="spellStart"/>
      <w:r w:rsidRPr="00274702">
        <w:rPr>
          <w:rFonts w:ascii="Cambria" w:hAnsi="Cambria" w:eastAsia="Cambria" w:cs="Times New Roman"/>
          <w:sz w:val="22"/>
          <w:szCs w:val="22"/>
        </w:rPr>
        <w:t>ontbureaucratisering</w:t>
      </w:r>
      <w:proofErr w:type="spellEnd"/>
      <w:r w:rsidRPr="00274702">
        <w:rPr>
          <w:rFonts w:ascii="Cambria" w:hAnsi="Cambria" w:eastAsia="Cambria" w:cs="Times New Roman"/>
          <w:sz w:val="22"/>
          <w:szCs w:val="22"/>
        </w:rPr>
        <w:t xml:space="preserve">, pluriformiteit in denken en doen, en pragmatiek. Maar het begon allemaal met ideeën uit de politiek. Dit heeft veel weg van het tot in de jaren </w:t>
      </w:r>
      <w:r w:rsidRPr="00274702">
        <w:rPr>
          <w:rFonts w:ascii="Cambria" w:hAnsi="Cambria" w:eastAsia="Cambria" w:cs="Times New Roman"/>
          <w:sz w:val="22"/>
          <w:szCs w:val="22"/>
        </w:rPr>
        <w:lastRenderedPageBreak/>
        <w:t xml:space="preserve">tachtig door het Japanse </w:t>
      </w:r>
      <w:proofErr w:type="spellStart"/>
      <w:r w:rsidRPr="00274702">
        <w:rPr>
          <w:rFonts w:ascii="Cambria" w:hAnsi="Cambria" w:eastAsia="Cambria" w:cs="Times New Roman"/>
          <w:i/>
          <w:iCs/>
          <w:sz w:val="22"/>
          <w:szCs w:val="22"/>
        </w:rPr>
        <w:t>Ministry</w:t>
      </w:r>
      <w:proofErr w:type="spellEnd"/>
      <w:r w:rsidRPr="00274702">
        <w:rPr>
          <w:rFonts w:ascii="Cambria" w:hAnsi="Cambria" w:eastAsia="Cambria" w:cs="Times New Roman"/>
          <w:i/>
          <w:iCs/>
          <w:sz w:val="22"/>
          <w:szCs w:val="22"/>
        </w:rPr>
        <w:t xml:space="preserve"> of International Trade </w:t>
      </w:r>
      <w:proofErr w:type="spellStart"/>
      <w:r w:rsidRPr="00274702">
        <w:rPr>
          <w:rFonts w:ascii="Cambria" w:hAnsi="Cambria" w:eastAsia="Cambria" w:cs="Times New Roman"/>
          <w:i/>
          <w:iCs/>
          <w:sz w:val="22"/>
          <w:szCs w:val="22"/>
        </w:rPr>
        <w:t>and</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Industry</w:t>
      </w:r>
      <w:proofErr w:type="spellEnd"/>
      <w:r w:rsidRPr="00274702">
        <w:rPr>
          <w:rFonts w:ascii="Cambria" w:hAnsi="Cambria" w:eastAsia="Cambria" w:cs="Times New Roman"/>
          <w:sz w:val="22"/>
          <w:szCs w:val="22"/>
        </w:rPr>
        <w:t xml:space="preserve"> (MITI) gevoerde beleid (zie Schenk 1987).</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Ook de recent door Schenk (2013) en </w:t>
      </w:r>
      <w:proofErr w:type="spellStart"/>
      <w:r w:rsidRPr="00274702">
        <w:rPr>
          <w:rFonts w:ascii="Cambria" w:hAnsi="Cambria" w:eastAsia="Cambria" w:cs="Times New Roman"/>
          <w:sz w:val="22"/>
          <w:szCs w:val="22"/>
        </w:rPr>
        <w:t>Mazzucato</w:t>
      </w:r>
      <w:proofErr w:type="spellEnd"/>
      <w:r w:rsidRPr="00274702">
        <w:rPr>
          <w:rFonts w:ascii="Cambria" w:hAnsi="Cambria" w:eastAsia="Cambria" w:cs="Times New Roman"/>
          <w:sz w:val="22"/>
          <w:szCs w:val="22"/>
        </w:rPr>
        <w:t xml:space="preserve"> </w:t>
      </w:r>
      <w:r w:rsidRPr="00274702">
        <w:rPr>
          <w:rFonts w:ascii="Cambria" w:hAnsi="Cambria" w:eastAsia="Cambria" w:cs="Times New Roman"/>
          <w:i/>
          <w:iCs/>
          <w:sz w:val="22"/>
          <w:szCs w:val="22"/>
        </w:rPr>
        <w:t>et al.</w:t>
      </w:r>
      <w:r w:rsidRPr="00274702">
        <w:rPr>
          <w:rFonts w:ascii="Cambria" w:hAnsi="Cambria" w:eastAsia="Cambria" w:cs="Times New Roman"/>
          <w:sz w:val="22"/>
          <w:szCs w:val="22"/>
        </w:rPr>
        <w:t xml:space="preserve"> (2020) bepleite missie- of </w:t>
      </w:r>
      <w:proofErr w:type="spellStart"/>
      <w:r w:rsidRPr="00274702">
        <w:rPr>
          <w:rFonts w:ascii="Cambria" w:hAnsi="Cambria" w:eastAsia="Cambria" w:cs="Times New Roman"/>
          <w:sz w:val="22"/>
          <w:szCs w:val="22"/>
        </w:rPr>
        <w:t>uitdagingsgedreven</w:t>
      </w:r>
      <w:proofErr w:type="spellEnd"/>
      <w:r w:rsidRPr="00274702">
        <w:rPr>
          <w:rFonts w:ascii="Cambria" w:hAnsi="Cambria" w:eastAsia="Cambria" w:cs="Times New Roman"/>
          <w:sz w:val="22"/>
          <w:szCs w:val="22"/>
        </w:rPr>
        <w:t xml:space="preserve"> vormgeving van industriebeleid sluit aan bij hetgeen Lane blootlegt. In hun ogen dient industriebeleid sterk geïnspireerd te worden op publieke belangen, en niet op die van het bedrijfsleven, of althans niet in eerste instantie. De consequentie hiervan is dat industriepolitieke initiatieven komen te liggen op de schouders van de overheid. Dat vergt afscheid van het neoklassieke economisch denken, het opbouwen van bedrijfseconomische knowhow binnen de relevante departementen, gebruikmaking van kritische en onafhankelijke begeleidingspanels, en het doorbreken van departementale zowel als sectorgrenzen. Juist op dit moment doen zich geweldige mogelijkheden voor om zo een beleid op te zetten. De klimaatcrisis schreeuwt om een geïntegreerde aanpak, een aanpak waarin publieke belangen, industriële mogelijkheden en financiële markten onder leiding van een publieke autoriteit de handen ineen kunnen slaan. Er wordt dan natuurlijk wel ingegrepen in de ‘natuurlijke’ gang van zaken. De crisis wordt dan niet primair aangepakt door de ‘markt’, maar door een overheid die met zijn tijd is meegegaan. De SER heeft met het Energieakkoord en het Klimaatakkoord laten zien wat in dat verband allemaal mogelijk is, en de Werkgroep Zeester heeft voor een concreet geval als Tata Steel Nederland laten zien wat industriebeleid allemaal voor elkaar zou kunnen krijgen, als de politiek het maar zou willen.</w:t>
      </w:r>
    </w:p>
    <w:p w:rsidRPr="00274702" w:rsidR="00274702" w:rsidP="00274702" w:rsidRDefault="00274702">
      <w:pPr>
        <w:widowControl w:val="0"/>
        <w:suppressAutoHyphens/>
        <w:spacing w:line="276" w:lineRule="auto"/>
        <w:rPr>
          <w:rFonts w:ascii="Cambria" w:hAnsi="Cambria" w:eastAsia="Cambria" w:cs="Times New Roman"/>
          <w:b/>
          <w:bCs/>
          <w:sz w:val="22"/>
          <w:szCs w:val="22"/>
        </w:rPr>
      </w:pPr>
    </w:p>
    <w:p w:rsidRPr="001E5255" w:rsidR="00274702" w:rsidP="00325809" w:rsidRDefault="00274702">
      <w:pPr>
        <w:pStyle w:val="Tussenkopje"/>
        <w:ind w:left="0"/>
      </w:pPr>
      <w:r w:rsidRPr="001E5255">
        <w:t>Bronnen</w:t>
      </w: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t xml:space="preserve">Brakman S. (2021). Handel en politiek gaan niet samen, </w:t>
      </w:r>
      <w:r w:rsidRPr="00274702">
        <w:rPr>
          <w:rFonts w:ascii="Cambria" w:hAnsi="Cambria" w:eastAsia="Cambria" w:cs="Times New Roman"/>
          <w:i/>
          <w:iCs/>
          <w:sz w:val="22"/>
          <w:szCs w:val="22"/>
        </w:rPr>
        <w:t>Economisch-Statistische Berichten</w:t>
      </w:r>
      <w:r w:rsidRPr="00274702">
        <w:rPr>
          <w:rFonts w:ascii="Cambria" w:hAnsi="Cambria" w:eastAsia="Cambria" w:cs="Times New Roman"/>
          <w:sz w:val="22"/>
          <w:szCs w:val="22"/>
        </w:rPr>
        <w:t xml:space="preserve"> 106 (4801): 419.</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t xml:space="preserve">BUZA (2021). </w:t>
      </w:r>
      <w:r w:rsidRPr="00274702">
        <w:rPr>
          <w:rFonts w:ascii="Cambria" w:hAnsi="Cambria" w:eastAsia="Cambria" w:cs="Times New Roman"/>
          <w:i/>
          <w:iCs/>
          <w:sz w:val="22"/>
          <w:szCs w:val="22"/>
        </w:rPr>
        <w:t>Adviesaanvraag Europees Industriebeleid</w:t>
      </w:r>
      <w:r w:rsidRPr="00274702">
        <w:rPr>
          <w:rFonts w:ascii="Cambria" w:hAnsi="Cambria" w:eastAsia="Cambria" w:cs="Times New Roman"/>
          <w:sz w:val="22"/>
          <w:szCs w:val="22"/>
        </w:rPr>
        <w:t>. Den Haag: Ministerie van Buitenlandse Zaken (14 april).</w:t>
      </w:r>
    </w:p>
    <w:p w:rsidRPr="00274702" w:rsidR="00274702" w:rsidP="00274702" w:rsidRDefault="00274702">
      <w:pPr>
        <w:widowControl w:val="0"/>
        <w:suppressAutoHyphens/>
        <w:spacing w:line="276" w:lineRule="auto"/>
        <w:ind w:left="284" w:hanging="284"/>
        <w:rPr>
          <w:rFonts w:ascii="Cambria" w:hAnsi="Cambria" w:eastAsia="Times New Roman" w:cs="Arial"/>
          <w:sz w:val="22"/>
          <w:szCs w:val="22"/>
          <w:lang w:eastAsia="en-GB"/>
        </w:rPr>
      </w:pPr>
      <w:r w:rsidRPr="00274702">
        <w:rPr>
          <w:rFonts w:ascii="Cambria" w:hAnsi="Cambria" w:eastAsia="Times New Roman" w:cs="Arial"/>
          <w:sz w:val="22"/>
          <w:szCs w:val="22"/>
          <w:lang w:val="en-US" w:eastAsia="en-GB"/>
        </w:rPr>
        <w:t xml:space="preserve">EC (2020). </w:t>
      </w:r>
      <w:r w:rsidRPr="00274702">
        <w:rPr>
          <w:rFonts w:ascii="Cambria" w:hAnsi="Cambria" w:eastAsia="Times New Roman" w:cs="Arial"/>
          <w:i/>
          <w:iCs/>
          <w:sz w:val="22"/>
          <w:szCs w:val="22"/>
          <w:lang w:val="en-US" w:eastAsia="en-GB"/>
        </w:rPr>
        <w:t>A New Industrial Strategy for Europe</w:t>
      </w:r>
      <w:r w:rsidRPr="00274702">
        <w:rPr>
          <w:rFonts w:ascii="Cambria" w:hAnsi="Cambria" w:eastAsia="Times New Roman" w:cs="Arial"/>
          <w:sz w:val="22"/>
          <w:szCs w:val="22"/>
          <w:lang w:val="en-US" w:eastAsia="en-GB"/>
        </w:rPr>
        <w:t xml:space="preserve">. </w:t>
      </w:r>
      <w:r w:rsidRPr="00274702">
        <w:rPr>
          <w:rFonts w:ascii="Cambria" w:hAnsi="Cambria" w:eastAsia="Times New Roman" w:cs="Arial"/>
          <w:sz w:val="22"/>
          <w:szCs w:val="22"/>
          <w:lang w:eastAsia="en-GB"/>
        </w:rPr>
        <w:t>Brussel: Europese Commissie.</w:t>
      </w:r>
    </w:p>
    <w:p w:rsidRPr="00274702" w:rsidR="00274702" w:rsidP="00274702" w:rsidRDefault="00274702">
      <w:pPr>
        <w:widowControl w:val="0"/>
        <w:suppressAutoHyphens/>
        <w:spacing w:line="276" w:lineRule="auto"/>
        <w:ind w:left="284" w:hanging="284"/>
        <w:rPr>
          <w:rFonts w:ascii="Cambria" w:hAnsi="Cambria" w:eastAsia="Times New Roman" w:cs="Arial"/>
          <w:sz w:val="22"/>
          <w:szCs w:val="22"/>
          <w:lang w:eastAsia="en-GB"/>
        </w:rPr>
      </w:pPr>
      <w:r w:rsidRPr="00274702">
        <w:rPr>
          <w:rFonts w:ascii="Cambria" w:hAnsi="Cambria" w:eastAsia="Times New Roman" w:cs="Arial"/>
          <w:sz w:val="22"/>
          <w:szCs w:val="22"/>
          <w:lang w:eastAsia="en-GB"/>
        </w:rPr>
        <w:t xml:space="preserve">EEG (1989). </w:t>
      </w:r>
      <w:r w:rsidRPr="00274702">
        <w:rPr>
          <w:rFonts w:ascii="Cambria" w:hAnsi="Cambria" w:eastAsia="Times New Roman" w:cs="Arial"/>
          <w:i/>
          <w:iCs/>
          <w:sz w:val="22"/>
          <w:szCs w:val="22"/>
          <w:lang w:eastAsia="en-GB"/>
        </w:rPr>
        <w:t>Verordening (EEG) Nr. 4064/89 van 21 december 1989 betreffende de controle op concentraties van ondernemingen</w:t>
      </w:r>
      <w:r w:rsidRPr="00274702">
        <w:rPr>
          <w:rFonts w:ascii="Cambria" w:hAnsi="Cambria" w:eastAsia="Times New Roman" w:cs="Arial"/>
          <w:sz w:val="22"/>
          <w:szCs w:val="22"/>
          <w:lang w:eastAsia="en-GB"/>
        </w:rPr>
        <w:t xml:space="preserve">, </w:t>
      </w:r>
      <w:proofErr w:type="spellStart"/>
      <w:r w:rsidRPr="00274702">
        <w:rPr>
          <w:rFonts w:ascii="Cambria" w:hAnsi="Cambria" w:eastAsia="Times New Roman" w:cs="Arial"/>
          <w:sz w:val="22"/>
          <w:szCs w:val="22"/>
          <w:lang w:eastAsia="en-GB"/>
        </w:rPr>
        <w:t>Publikatieblad</w:t>
      </w:r>
      <w:proofErr w:type="spellEnd"/>
      <w:r w:rsidRPr="00274702">
        <w:rPr>
          <w:rFonts w:ascii="Cambria" w:hAnsi="Cambria" w:eastAsia="Times New Roman" w:cs="Arial"/>
          <w:sz w:val="22"/>
          <w:szCs w:val="22"/>
          <w:lang w:eastAsia="en-GB"/>
        </w:rPr>
        <w:t xml:space="preserve"> van de Europese Gemeenschappen L 395/1.</w:t>
      </w:r>
    </w:p>
    <w:p w:rsidRPr="00274702" w:rsidR="00274702" w:rsidP="00274702" w:rsidRDefault="00274702">
      <w:pPr>
        <w:widowControl w:val="0"/>
        <w:suppressAutoHyphens/>
        <w:spacing w:line="276" w:lineRule="auto"/>
        <w:ind w:left="284" w:hanging="284"/>
        <w:rPr>
          <w:rFonts w:ascii="Cambria" w:hAnsi="Cambria" w:eastAsia="Times New Roman" w:cs="Arial"/>
          <w:sz w:val="22"/>
          <w:szCs w:val="22"/>
          <w:lang w:eastAsia="en-GB"/>
        </w:rPr>
      </w:pPr>
      <w:r w:rsidRPr="00274702">
        <w:rPr>
          <w:rFonts w:ascii="Cambria" w:hAnsi="Cambria" w:eastAsia="Times New Roman" w:cs="Arial"/>
          <w:sz w:val="22"/>
          <w:szCs w:val="22"/>
          <w:lang w:eastAsia="en-GB"/>
        </w:rPr>
        <w:t xml:space="preserve">EU (2004). </w:t>
      </w:r>
      <w:r w:rsidRPr="00274702">
        <w:rPr>
          <w:rFonts w:ascii="Cambria" w:hAnsi="Cambria" w:eastAsia="Times New Roman" w:cs="Arial"/>
          <w:i/>
          <w:iCs/>
          <w:sz w:val="22"/>
          <w:szCs w:val="22"/>
          <w:lang w:eastAsia="en-GB"/>
        </w:rPr>
        <w:t>Richtlijn 2004/25/EG van het Europees Parlement en de Raad van 21 april 2004 betreffende het openbaar overnamebod.</w:t>
      </w:r>
      <w:r w:rsidRPr="00274702">
        <w:rPr>
          <w:rFonts w:ascii="Cambria" w:hAnsi="Cambria" w:eastAsia="Times New Roman" w:cs="Arial"/>
          <w:sz w:val="22"/>
          <w:szCs w:val="22"/>
          <w:lang w:eastAsia="en-GB"/>
        </w:rPr>
        <w:t xml:space="preserve"> </w:t>
      </w:r>
      <w:proofErr w:type="spellStart"/>
      <w:r w:rsidRPr="00274702">
        <w:rPr>
          <w:rFonts w:ascii="Cambria" w:hAnsi="Cambria" w:eastAsia="Times New Roman" w:cs="Arial"/>
          <w:sz w:val="22"/>
          <w:szCs w:val="22"/>
          <w:lang w:eastAsia="en-GB"/>
        </w:rPr>
        <w:t>Publikatieblad</w:t>
      </w:r>
      <w:proofErr w:type="spellEnd"/>
      <w:r w:rsidRPr="00274702">
        <w:rPr>
          <w:rFonts w:ascii="Cambria" w:hAnsi="Cambria" w:eastAsia="Times New Roman" w:cs="Arial"/>
          <w:sz w:val="22"/>
          <w:szCs w:val="22"/>
          <w:lang w:eastAsia="en-GB"/>
        </w:rPr>
        <w:t xml:space="preserve"> van de Europese Gemeenschappen L 142/12.</w:t>
      </w:r>
    </w:p>
    <w:p w:rsidRPr="00274702" w:rsidR="00274702" w:rsidP="00274702" w:rsidRDefault="00274702">
      <w:pPr>
        <w:widowControl w:val="0"/>
        <w:suppressAutoHyphens/>
        <w:spacing w:line="276" w:lineRule="auto"/>
        <w:ind w:left="284" w:hanging="284"/>
        <w:rPr>
          <w:rFonts w:ascii="Cambria" w:hAnsi="Cambria" w:eastAsia="Times New Roman" w:cs="Arial"/>
          <w:b/>
          <w:bCs/>
          <w:sz w:val="22"/>
          <w:szCs w:val="22"/>
          <w:lang w:val="en-US" w:eastAsia="en-GB"/>
        </w:rPr>
      </w:pPr>
      <w:r w:rsidRPr="00274702">
        <w:rPr>
          <w:rFonts w:ascii="Cambria" w:hAnsi="Cambria" w:eastAsia="Times New Roman" w:cs="Arial"/>
          <w:sz w:val="22"/>
          <w:szCs w:val="22"/>
          <w:lang w:eastAsia="en-GB"/>
        </w:rPr>
        <w:t>Koelewijn J. (1997).</w:t>
      </w:r>
      <w:r w:rsidRPr="00274702">
        <w:rPr>
          <w:rFonts w:ascii="Cambria" w:hAnsi="Cambria" w:eastAsia="Times New Roman" w:cs="Times New Roman"/>
          <w:b/>
          <w:bCs/>
          <w:sz w:val="22"/>
          <w:szCs w:val="22"/>
          <w:lang w:eastAsia="en-GB"/>
        </w:rPr>
        <w:t xml:space="preserve"> </w:t>
      </w:r>
      <w:r w:rsidRPr="00274702">
        <w:rPr>
          <w:rFonts w:ascii="Cambria" w:hAnsi="Cambria" w:eastAsia="Times New Roman" w:cs="Arial"/>
          <w:i/>
          <w:iCs/>
          <w:sz w:val="22"/>
          <w:szCs w:val="22"/>
          <w:lang w:eastAsia="en-GB"/>
        </w:rPr>
        <w:t>Een nationale waan - het Fokker-sentiment, of: waarom Fokker failliet ging</w:t>
      </w:r>
      <w:r w:rsidRPr="00274702">
        <w:rPr>
          <w:rFonts w:ascii="Cambria" w:hAnsi="Cambria" w:eastAsia="Times New Roman" w:cs="Arial"/>
          <w:sz w:val="22"/>
          <w:szCs w:val="22"/>
          <w:lang w:eastAsia="en-GB"/>
        </w:rPr>
        <w:t xml:space="preserve">. </w:t>
      </w:r>
      <w:r w:rsidRPr="00274702">
        <w:rPr>
          <w:rFonts w:ascii="Cambria" w:hAnsi="Cambria" w:eastAsia="Times New Roman" w:cs="Arial"/>
          <w:sz w:val="22"/>
          <w:szCs w:val="22"/>
          <w:lang w:val="en-US" w:eastAsia="en-GB"/>
        </w:rPr>
        <w:t xml:space="preserve">Amsterdam: </w:t>
      </w:r>
      <w:proofErr w:type="spellStart"/>
      <w:r w:rsidRPr="00274702">
        <w:rPr>
          <w:rFonts w:ascii="Cambria" w:hAnsi="Cambria" w:eastAsia="Times New Roman" w:cs="Arial"/>
          <w:sz w:val="22"/>
          <w:szCs w:val="22"/>
          <w:lang w:val="en-US" w:eastAsia="en-GB"/>
        </w:rPr>
        <w:t>Bezige</w:t>
      </w:r>
      <w:proofErr w:type="spellEnd"/>
      <w:r w:rsidRPr="00274702">
        <w:rPr>
          <w:rFonts w:ascii="Cambria" w:hAnsi="Cambria" w:eastAsia="Times New Roman" w:cs="Arial"/>
          <w:sz w:val="22"/>
          <w:szCs w:val="22"/>
          <w:lang w:val="en-US" w:eastAsia="en-GB"/>
        </w:rPr>
        <w:t xml:space="preserve"> </w:t>
      </w:r>
      <w:proofErr w:type="spellStart"/>
      <w:r w:rsidRPr="00274702">
        <w:rPr>
          <w:rFonts w:ascii="Cambria" w:hAnsi="Cambria" w:eastAsia="Times New Roman" w:cs="Arial"/>
          <w:sz w:val="22"/>
          <w:szCs w:val="22"/>
          <w:lang w:val="en-US" w:eastAsia="en-GB"/>
        </w:rPr>
        <w:t>Bij</w:t>
      </w:r>
      <w:proofErr w:type="spellEnd"/>
      <w:r w:rsidRPr="00274702">
        <w:rPr>
          <w:rFonts w:ascii="Cambria" w:hAnsi="Cambria" w:eastAsia="Times New Roman" w:cs="Arial"/>
          <w:sz w:val="22"/>
          <w:szCs w:val="22"/>
          <w:lang w:val="en-US" w:eastAsia="en-GB"/>
        </w:rPr>
        <w:t>.</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Lane N. (2021). Manufacturing Revolutions: Industrial Policy and Industrialization in South Korea, </w:t>
      </w:r>
      <w:r w:rsidRPr="00274702">
        <w:rPr>
          <w:rFonts w:ascii="Cambria" w:hAnsi="Cambria" w:eastAsia="Cambria" w:cs="Times New Roman"/>
          <w:i/>
          <w:iCs/>
          <w:sz w:val="22"/>
          <w:szCs w:val="22"/>
          <w:lang w:val="en-US"/>
        </w:rPr>
        <w:t xml:space="preserve">Working Paper </w:t>
      </w:r>
      <w:r w:rsidRPr="00274702">
        <w:rPr>
          <w:rFonts w:ascii="Cambria" w:hAnsi="Cambria" w:eastAsia="Cambria" w:cs="Times New Roman"/>
          <w:sz w:val="22"/>
          <w:szCs w:val="22"/>
          <w:lang w:val="en-US"/>
        </w:rPr>
        <w:t>(mimeo), University of Oxford.</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t xml:space="preserve">Linssen M., Dijk J. van, </w:t>
      </w:r>
      <w:proofErr w:type="spellStart"/>
      <w:r w:rsidRPr="00274702">
        <w:rPr>
          <w:rFonts w:ascii="Cambria" w:hAnsi="Cambria" w:eastAsia="Cambria" w:cs="Times New Roman"/>
          <w:sz w:val="22"/>
          <w:szCs w:val="22"/>
        </w:rPr>
        <w:t>Reiding</w:t>
      </w:r>
      <w:proofErr w:type="spellEnd"/>
      <w:r w:rsidRPr="00274702">
        <w:rPr>
          <w:rFonts w:ascii="Cambria" w:hAnsi="Cambria" w:eastAsia="Cambria" w:cs="Times New Roman"/>
          <w:sz w:val="22"/>
          <w:szCs w:val="22"/>
        </w:rPr>
        <w:t xml:space="preserve"> A., </w:t>
      </w:r>
      <w:proofErr w:type="spellStart"/>
      <w:r w:rsidRPr="00274702">
        <w:rPr>
          <w:rFonts w:ascii="Cambria" w:hAnsi="Cambria" w:eastAsia="Cambria" w:cs="Times New Roman"/>
          <w:sz w:val="22"/>
          <w:szCs w:val="22"/>
        </w:rPr>
        <w:t>Naoum</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Néhmé</w:t>
      </w:r>
      <w:proofErr w:type="spellEnd"/>
      <w:r w:rsidRPr="00274702">
        <w:rPr>
          <w:rFonts w:ascii="Cambria" w:hAnsi="Cambria" w:eastAsia="Cambria" w:cs="Times New Roman"/>
          <w:sz w:val="22"/>
          <w:szCs w:val="22"/>
        </w:rPr>
        <w:t xml:space="preserve"> H. (2021). Nieuw afwegingskader laat zien wanneer zelfvoorziening nodig is, </w:t>
      </w:r>
      <w:r w:rsidRPr="00274702">
        <w:rPr>
          <w:rFonts w:ascii="Cambria" w:hAnsi="Cambria" w:eastAsia="Cambria" w:cs="Times New Roman"/>
          <w:i/>
          <w:iCs/>
          <w:sz w:val="22"/>
          <w:szCs w:val="22"/>
        </w:rPr>
        <w:t>Economisch-Statistische Berichten</w:t>
      </w:r>
      <w:r w:rsidRPr="00274702">
        <w:rPr>
          <w:rFonts w:ascii="Cambria" w:hAnsi="Cambria" w:eastAsia="Cambria" w:cs="Times New Roman"/>
          <w:sz w:val="22"/>
          <w:szCs w:val="22"/>
        </w:rPr>
        <w:t xml:space="preserve"> 106 (4801): 416-418.</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lang w:val="en-GB"/>
        </w:rPr>
      </w:pPr>
      <w:proofErr w:type="spellStart"/>
      <w:r w:rsidRPr="00274702">
        <w:rPr>
          <w:rFonts w:ascii="Cambria" w:hAnsi="Cambria" w:eastAsia="Cambria" w:cs="Times New Roman"/>
          <w:sz w:val="22"/>
          <w:szCs w:val="22"/>
          <w:lang w:val="en-US"/>
        </w:rPr>
        <w:t>Mazzucato</w:t>
      </w:r>
      <w:proofErr w:type="spellEnd"/>
      <w:r w:rsidRPr="00274702">
        <w:rPr>
          <w:rFonts w:ascii="Cambria" w:hAnsi="Cambria" w:eastAsia="Cambria" w:cs="Times New Roman"/>
          <w:sz w:val="22"/>
          <w:szCs w:val="22"/>
          <w:lang w:val="en-US"/>
        </w:rPr>
        <w:t xml:space="preserve"> M., </w:t>
      </w:r>
      <w:proofErr w:type="spellStart"/>
      <w:r w:rsidRPr="00274702">
        <w:rPr>
          <w:rFonts w:ascii="Cambria" w:hAnsi="Cambria" w:eastAsia="Cambria" w:cs="Times New Roman"/>
          <w:sz w:val="22"/>
          <w:szCs w:val="22"/>
          <w:lang w:val="en-US"/>
        </w:rPr>
        <w:t>Kattel</w:t>
      </w:r>
      <w:proofErr w:type="spellEnd"/>
      <w:r w:rsidRPr="00274702">
        <w:rPr>
          <w:rFonts w:ascii="Cambria" w:hAnsi="Cambria" w:eastAsia="Cambria" w:cs="Times New Roman"/>
          <w:sz w:val="22"/>
          <w:szCs w:val="22"/>
          <w:lang w:val="en-US"/>
        </w:rPr>
        <w:t xml:space="preserve"> R., Ryan-Collins J. (2020).</w:t>
      </w:r>
      <w:r w:rsidRPr="00274702">
        <w:rPr>
          <w:rFonts w:ascii="Cambria" w:hAnsi="Cambria" w:eastAsia="Cambria" w:cs="Times New Roman"/>
          <w:color w:val="131413"/>
          <w:sz w:val="22"/>
          <w:szCs w:val="22"/>
          <w:lang w:val="en-GB"/>
        </w:rPr>
        <w:t xml:space="preserve"> </w:t>
      </w:r>
      <w:r w:rsidRPr="00274702">
        <w:rPr>
          <w:rFonts w:ascii="Cambria" w:hAnsi="Cambria" w:eastAsia="Cambria" w:cs="Times New Roman"/>
          <w:sz w:val="22"/>
          <w:szCs w:val="22"/>
          <w:lang w:val="en-GB"/>
        </w:rPr>
        <w:t xml:space="preserve">Challenge-Driven Innovation Policy: Towards a New Policy Toolkit, </w:t>
      </w:r>
      <w:r w:rsidRPr="00274702">
        <w:rPr>
          <w:rFonts w:ascii="Cambria" w:hAnsi="Cambria" w:eastAsia="Cambria" w:cs="Times New Roman"/>
          <w:i/>
          <w:iCs/>
          <w:sz w:val="22"/>
          <w:szCs w:val="22"/>
          <w:lang w:val="en-GB"/>
        </w:rPr>
        <w:t xml:space="preserve">Journal of Industry, Competition and Trade </w:t>
      </w:r>
      <w:r w:rsidRPr="00274702">
        <w:rPr>
          <w:rFonts w:ascii="Cambria" w:hAnsi="Cambria" w:eastAsia="Cambria" w:cs="Times New Roman"/>
          <w:sz w:val="22"/>
          <w:szCs w:val="22"/>
          <w:lang w:val="en-GB"/>
        </w:rPr>
        <w:t>20: pp. 421-437.</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lang w:val="en-GB"/>
        </w:rPr>
      </w:pPr>
      <w:r w:rsidRPr="00274702">
        <w:rPr>
          <w:rFonts w:ascii="Cambria" w:hAnsi="Cambria" w:eastAsia="Cambria" w:cs="Times New Roman"/>
          <w:sz w:val="22"/>
          <w:szCs w:val="22"/>
          <w:lang w:val="en-GB"/>
        </w:rPr>
        <w:t>Owen G. (2012). Industrial policy in Europe since the Second World War: what has been learnt?</w:t>
      </w:r>
      <w:r w:rsidRPr="00274702">
        <w:rPr>
          <w:rFonts w:ascii="Cambria" w:hAnsi="Cambria" w:eastAsia="Cambria" w:cs="Times New Roman"/>
          <w:i/>
          <w:iCs/>
          <w:sz w:val="22"/>
          <w:szCs w:val="22"/>
          <w:lang w:val="en-GB"/>
        </w:rPr>
        <w:t xml:space="preserve"> ECIPE Occasional Pa</w:t>
      </w:r>
      <w:r w:rsidRPr="00274702">
        <w:rPr>
          <w:rFonts w:ascii="Cambria" w:hAnsi="Cambria" w:eastAsia="Cambria" w:cs="Times New Roman"/>
          <w:sz w:val="22"/>
          <w:szCs w:val="22"/>
          <w:lang w:val="en-GB"/>
        </w:rPr>
        <w:t>per 1/2012, Brussel: European Centre for International Political Economy.</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t xml:space="preserve">REU (2020). </w:t>
      </w:r>
      <w:r w:rsidRPr="00274702">
        <w:rPr>
          <w:rFonts w:ascii="Cambria" w:hAnsi="Cambria" w:eastAsia="Cambria" w:cs="Times New Roman"/>
          <w:i/>
          <w:iCs/>
          <w:sz w:val="22"/>
          <w:szCs w:val="22"/>
        </w:rPr>
        <w:t>Conclusies van de raad over ‘een herstel dat de overgang naar een meer dynamische, veerkrachtige en concurrerende Europese industrie bevordert’</w:t>
      </w:r>
      <w:r w:rsidRPr="00274702">
        <w:rPr>
          <w:rFonts w:ascii="Cambria" w:hAnsi="Cambria" w:eastAsia="Cambria" w:cs="Times New Roman"/>
          <w:sz w:val="22"/>
          <w:szCs w:val="22"/>
        </w:rPr>
        <w:t xml:space="preserve"> (13004/20). Brussel:</w:t>
      </w:r>
      <w:r w:rsidRPr="00274702">
        <w:rPr>
          <w:rFonts w:ascii="Cambria" w:hAnsi="Cambria" w:eastAsia="Cambria" w:cs="Times New Roman"/>
          <w:b/>
          <w:bCs/>
          <w:sz w:val="22"/>
          <w:szCs w:val="22"/>
        </w:rPr>
        <w:t xml:space="preserve"> </w:t>
      </w:r>
      <w:r w:rsidRPr="00274702">
        <w:rPr>
          <w:rFonts w:ascii="Cambria" w:hAnsi="Cambria" w:eastAsia="Cambria" w:cs="Times New Roman"/>
          <w:sz w:val="22"/>
          <w:szCs w:val="22"/>
        </w:rPr>
        <w:t>Raad van de Europese Unie (16 november).</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lastRenderedPageBreak/>
        <w:t xml:space="preserve">Schenk H., red. (1987). </w:t>
      </w:r>
      <w:r w:rsidRPr="00274702">
        <w:rPr>
          <w:rFonts w:ascii="Cambria" w:hAnsi="Cambria" w:eastAsia="Cambria" w:cs="Times New Roman"/>
          <w:i/>
          <w:sz w:val="22"/>
          <w:szCs w:val="22"/>
        </w:rPr>
        <w:t>Industrie- en technologiebeleid: analyse en perspectief</w:t>
      </w:r>
      <w:r w:rsidRPr="00274702">
        <w:rPr>
          <w:rFonts w:ascii="Cambria" w:hAnsi="Cambria" w:eastAsia="Cambria" w:cs="Times New Roman"/>
          <w:sz w:val="22"/>
          <w:szCs w:val="22"/>
        </w:rPr>
        <w:t>. Groningen: Wolters-Noordhoff.</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t>Schenk H. (1987b). Industriepolitiek in Japan: kruisbestuiving van interventie en concurrentie. In: Schenk, red. (1987); pp. 173-220</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t xml:space="preserve">Schenk H. (1996). Alleen failliet heeft Fokker nog een kans, </w:t>
      </w:r>
      <w:r w:rsidRPr="00274702">
        <w:rPr>
          <w:rFonts w:ascii="Cambria" w:hAnsi="Cambria" w:eastAsia="Cambria" w:cs="Times New Roman"/>
          <w:i/>
          <w:iCs/>
          <w:sz w:val="22"/>
          <w:szCs w:val="22"/>
        </w:rPr>
        <w:t>NRC Handelsblad</w:t>
      </w:r>
      <w:r w:rsidRPr="00274702">
        <w:rPr>
          <w:rFonts w:ascii="Cambria" w:hAnsi="Cambria" w:eastAsia="Cambria" w:cs="Times New Roman"/>
          <w:sz w:val="22"/>
          <w:szCs w:val="22"/>
        </w:rPr>
        <w:t>, 27 januari: 9.</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Schenk H. (2006). Mergers and concentration policy. In: </w:t>
      </w:r>
      <w:r w:rsidRPr="00274702">
        <w:rPr>
          <w:rFonts w:ascii="Cambria" w:hAnsi="Cambria" w:eastAsia="Cambria" w:cs="Times New Roman"/>
          <w:sz w:val="22"/>
          <w:szCs w:val="22"/>
          <w:lang w:val="en-GB"/>
        </w:rPr>
        <w:t xml:space="preserve">Bianchi P., </w:t>
      </w:r>
      <w:proofErr w:type="spellStart"/>
      <w:r w:rsidRPr="00274702">
        <w:rPr>
          <w:rFonts w:ascii="Cambria" w:hAnsi="Cambria" w:eastAsia="Cambria" w:cs="Times New Roman"/>
          <w:sz w:val="22"/>
          <w:szCs w:val="22"/>
          <w:lang w:val="en-GB"/>
        </w:rPr>
        <w:t>Labory</w:t>
      </w:r>
      <w:proofErr w:type="spellEnd"/>
      <w:r w:rsidRPr="00274702">
        <w:rPr>
          <w:rFonts w:ascii="Cambria" w:hAnsi="Cambria" w:eastAsia="Cambria" w:cs="Times New Roman"/>
          <w:sz w:val="22"/>
          <w:szCs w:val="22"/>
          <w:lang w:val="en-GB"/>
        </w:rPr>
        <w:t xml:space="preserve"> S., red. </w:t>
      </w:r>
      <w:r w:rsidRPr="00274702">
        <w:rPr>
          <w:rFonts w:ascii="Cambria" w:hAnsi="Cambria" w:eastAsia="Cambria" w:cs="Times New Roman"/>
          <w:sz w:val="22"/>
          <w:szCs w:val="22"/>
          <w:lang w:val="en-US"/>
        </w:rPr>
        <w:t xml:space="preserve">(2006). </w:t>
      </w:r>
      <w:r w:rsidRPr="00274702">
        <w:rPr>
          <w:rFonts w:ascii="Cambria" w:hAnsi="Cambria" w:eastAsia="Cambria" w:cs="Times New Roman"/>
          <w:i/>
          <w:iCs/>
          <w:sz w:val="22"/>
          <w:szCs w:val="22"/>
          <w:lang w:val="en-US"/>
        </w:rPr>
        <w:t>International Handbook of Industrial Policy</w:t>
      </w:r>
      <w:r w:rsidRPr="00274702">
        <w:rPr>
          <w:rFonts w:ascii="Cambria" w:hAnsi="Cambria" w:eastAsia="Cambria" w:cs="Times New Roman"/>
          <w:sz w:val="22"/>
          <w:szCs w:val="22"/>
          <w:lang w:val="en-US"/>
        </w:rPr>
        <w:t>. Cheltenham: Edward Elgar; pp. 153-179.</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lang w:val="en-US"/>
        </w:rPr>
        <w:t xml:space="preserve">Schenk H. (2013). </w:t>
      </w:r>
      <w:r w:rsidRPr="00274702">
        <w:rPr>
          <w:rFonts w:ascii="Cambria" w:hAnsi="Cambria" w:eastAsia="Cambria" w:cs="Times New Roman"/>
          <w:sz w:val="22"/>
          <w:szCs w:val="22"/>
        </w:rPr>
        <w:t xml:space="preserve">Pleidooi voor een industriebeleid dat is geïnspireerd op het publieke belang. Reflecties naar aanleiding van de Miljoenennota 2014, </w:t>
      </w:r>
      <w:r w:rsidRPr="00274702">
        <w:rPr>
          <w:rFonts w:ascii="Cambria" w:hAnsi="Cambria" w:eastAsia="Cambria" w:cs="Times New Roman"/>
          <w:i/>
          <w:iCs/>
          <w:sz w:val="22"/>
          <w:szCs w:val="22"/>
        </w:rPr>
        <w:t>Tijdschrift voor Openbare Financiën</w:t>
      </w:r>
      <w:r w:rsidRPr="00274702">
        <w:rPr>
          <w:rFonts w:ascii="Cambria" w:hAnsi="Cambria" w:eastAsia="Cambria" w:cs="Times New Roman"/>
          <w:sz w:val="22"/>
          <w:szCs w:val="22"/>
        </w:rPr>
        <w:t xml:space="preserve"> 45 (4): 208-215.</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lang w:val="en-US"/>
        </w:rPr>
        <w:t xml:space="preserve">Schenk H. (2016). The Takeover Directive’s flawed economics </w:t>
      </w:r>
      <w:r w:rsidRPr="00274702">
        <w:rPr>
          <w:rFonts w:ascii="Cambria" w:hAnsi="Cambria" w:eastAsia="Cambria" w:cs="Times New Roman"/>
          <w:sz w:val="22"/>
          <w:szCs w:val="22"/>
          <w:lang w:val="en-GB"/>
        </w:rPr>
        <w:t>jeopardises</w:t>
      </w:r>
      <w:r w:rsidRPr="00274702">
        <w:rPr>
          <w:rFonts w:ascii="Cambria" w:hAnsi="Cambria" w:eastAsia="Cambria" w:cs="Times New Roman"/>
          <w:sz w:val="22"/>
          <w:szCs w:val="22"/>
          <w:lang w:val="en-US"/>
        </w:rPr>
        <w:t xml:space="preserve"> our wealth, in: </w:t>
      </w:r>
      <w:proofErr w:type="spellStart"/>
      <w:r w:rsidRPr="00274702">
        <w:rPr>
          <w:rFonts w:ascii="Cambria" w:hAnsi="Cambria" w:eastAsia="Cambria" w:cs="Times New Roman"/>
          <w:sz w:val="22"/>
          <w:szCs w:val="22"/>
          <w:lang w:val="en-US"/>
        </w:rPr>
        <w:t>Cremers</w:t>
      </w:r>
      <w:proofErr w:type="spellEnd"/>
      <w:r w:rsidRPr="00274702">
        <w:rPr>
          <w:rFonts w:ascii="Cambria" w:hAnsi="Cambria" w:eastAsia="Cambria" w:cs="Times New Roman"/>
          <w:sz w:val="22"/>
          <w:szCs w:val="22"/>
          <w:lang w:val="en-US"/>
        </w:rPr>
        <w:t xml:space="preserve"> J., </w:t>
      </w:r>
      <w:proofErr w:type="spellStart"/>
      <w:r w:rsidRPr="00274702">
        <w:rPr>
          <w:rFonts w:ascii="Cambria" w:hAnsi="Cambria" w:eastAsia="Cambria" w:cs="Times New Roman"/>
          <w:sz w:val="22"/>
          <w:szCs w:val="22"/>
          <w:lang w:val="en-US"/>
        </w:rPr>
        <w:t>Vitols</w:t>
      </w:r>
      <w:proofErr w:type="spellEnd"/>
      <w:r w:rsidRPr="00274702">
        <w:rPr>
          <w:rFonts w:ascii="Cambria" w:hAnsi="Cambria" w:eastAsia="Cambria" w:cs="Times New Roman"/>
          <w:sz w:val="22"/>
          <w:szCs w:val="22"/>
          <w:lang w:val="en-US"/>
        </w:rPr>
        <w:t xml:space="preserve"> S., red., </w:t>
      </w:r>
      <w:r w:rsidRPr="00274702">
        <w:rPr>
          <w:rFonts w:ascii="Cambria" w:hAnsi="Cambria" w:eastAsia="Cambria" w:cs="Times New Roman"/>
          <w:i/>
          <w:iCs/>
          <w:sz w:val="22"/>
          <w:szCs w:val="22"/>
          <w:lang w:val="en-US"/>
        </w:rPr>
        <w:t>Takeovers with or without worker voice</w:t>
      </w:r>
      <w:r w:rsidRPr="00274702">
        <w:rPr>
          <w:rFonts w:ascii="Cambria" w:hAnsi="Cambria" w:eastAsia="Cambria" w:cs="Times New Roman"/>
          <w:sz w:val="22"/>
          <w:szCs w:val="22"/>
          <w:lang w:val="en-US"/>
        </w:rPr>
        <w:t xml:space="preserve">. </w:t>
      </w:r>
      <w:r w:rsidRPr="00274702">
        <w:rPr>
          <w:rFonts w:ascii="Cambria" w:hAnsi="Cambria" w:eastAsia="Cambria" w:cs="Times New Roman"/>
          <w:sz w:val="22"/>
          <w:szCs w:val="22"/>
        </w:rPr>
        <w:t>Brussels: ETUI; pp. 49-68.</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t xml:space="preserve">Tweede Kamer (1984). </w:t>
      </w:r>
      <w:r w:rsidRPr="00274702">
        <w:rPr>
          <w:rFonts w:ascii="Cambria" w:hAnsi="Cambria" w:eastAsia="Cambria" w:cs="Times New Roman"/>
          <w:i/>
          <w:iCs/>
          <w:sz w:val="22"/>
          <w:szCs w:val="22"/>
        </w:rPr>
        <w:t>RSV. Opkomst en ondergang van Rijn-Schelde-</w:t>
      </w:r>
      <w:proofErr w:type="spellStart"/>
      <w:r w:rsidRPr="00274702">
        <w:rPr>
          <w:rFonts w:ascii="Cambria" w:hAnsi="Cambria" w:eastAsia="Cambria" w:cs="Times New Roman"/>
          <w:i/>
          <w:iCs/>
          <w:sz w:val="22"/>
          <w:szCs w:val="22"/>
        </w:rPr>
        <w:t>Verolme</w:t>
      </w:r>
      <w:proofErr w:type="spellEnd"/>
      <w:r w:rsidRPr="00274702">
        <w:rPr>
          <w:rFonts w:ascii="Cambria" w:hAnsi="Cambria" w:eastAsia="Cambria" w:cs="Times New Roman"/>
          <w:i/>
          <w:iCs/>
          <w:sz w:val="22"/>
          <w:szCs w:val="22"/>
        </w:rPr>
        <w:t>. Verslag van de Parlementaire Enquêtecommissie RSV (1983-1984).</w:t>
      </w:r>
      <w:r w:rsidRPr="00274702">
        <w:rPr>
          <w:rFonts w:ascii="Cambria" w:hAnsi="Cambria" w:eastAsia="Cambria" w:cs="Times New Roman"/>
          <w:sz w:val="22"/>
          <w:szCs w:val="22"/>
        </w:rPr>
        <w:t xml:space="preserve"> Tweede Kamer der Staten-Generaal, Vergaderjaar 1984-1985, 17817.</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t xml:space="preserve">Wassenberg A. (1983). </w:t>
      </w:r>
      <w:r w:rsidRPr="00274702">
        <w:rPr>
          <w:rFonts w:ascii="Cambria" w:hAnsi="Cambria" w:eastAsia="Cambria" w:cs="Times New Roman"/>
          <w:i/>
          <w:iCs/>
          <w:sz w:val="22"/>
          <w:szCs w:val="22"/>
        </w:rPr>
        <w:t>Dossier RSV: Schijnbewegingen van de Industriepolitiek</w:t>
      </w:r>
      <w:r w:rsidRPr="00274702">
        <w:rPr>
          <w:rFonts w:ascii="Cambria" w:hAnsi="Cambria" w:eastAsia="Cambria" w:cs="Times New Roman"/>
          <w:sz w:val="22"/>
          <w:szCs w:val="22"/>
        </w:rPr>
        <w:t xml:space="preserve">. Leiden: </w:t>
      </w:r>
      <w:proofErr w:type="spellStart"/>
      <w:r w:rsidRPr="00274702">
        <w:rPr>
          <w:rFonts w:ascii="Cambria" w:hAnsi="Cambria" w:eastAsia="Cambria" w:cs="Times New Roman"/>
          <w:sz w:val="22"/>
          <w:szCs w:val="22"/>
        </w:rPr>
        <w:t>Stenfert</w:t>
      </w:r>
      <w:proofErr w:type="spellEnd"/>
      <w:r w:rsidRPr="00274702">
        <w:rPr>
          <w:rFonts w:ascii="Cambria" w:hAnsi="Cambria" w:eastAsia="Cambria" w:cs="Times New Roman"/>
          <w:sz w:val="22"/>
          <w:szCs w:val="22"/>
        </w:rPr>
        <w:t xml:space="preserve"> Kroese.</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r w:rsidRPr="00274702">
        <w:rPr>
          <w:rFonts w:ascii="Cambria" w:hAnsi="Cambria" w:eastAsia="Cambria" w:cs="Times New Roman"/>
          <w:sz w:val="22"/>
          <w:szCs w:val="22"/>
        </w:rPr>
        <w:t xml:space="preserve">Werkgroep Zeester (2020). </w:t>
      </w:r>
      <w:r w:rsidRPr="00274702">
        <w:rPr>
          <w:rFonts w:ascii="Cambria" w:hAnsi="Cambria" w:eastAsia="Cambria" w:cs="Times New Roman"/>
          <w:i/>
          <w:iCs/>
          <w:sz w:val="22"/>
          <w:szCs w:val="22"/>
        </w:rPr>
        <w:t>Naar een toekomstbestendige staalindustrie IJmuiden. Strategisch plan voor ‘het Nieuwe Hoogovens’ (2020-2050)</w:t>
      </w:r>
      <w:r w:rsidRPr="00274702">
        <w:rPr>
          <w:rFonts w:ascii="Cambria" w:hAnsi="Cambria" w:eastAsia="Cambria" w:cs="Times New Roman"/>
          <w:sz w:val="22"/>
          <w:szCs w:val="22"/>
        </w:rPr>
        <w:t xml:space="preserve">. Zie </w:t>
      </w:r>
      <w:r w:rsidRPr="00274702">
        <w:rPr>
          <w:rFonts w:ascii="Cambria" w:hAnsi="Cambria" w:eastAsia="Cambria" w:cs="Times New Roman"/>
          <w:i/>
          <w:iCs/>
          <w:sz w:val="22"/>
          <w:szCs w:val="22"/>
        </w:rPr>
        <w:t>NRC Handelsblad</w:t>
      </w:r>
      <w:r w:rsidRPr="00274702">
        <w:rPr>
          <w:rFonts w:ascii="Cambria" w:hAnsi="Cambria" w:eastAsia="Cambria" w:cs="Times New Roman"/>
          <w:sz w:val="22"/>
          <w:szCs w:val="22"/>
        </w:rPr>
        <w:t xml:space="preserve"> (2020), ‘Groene en zelfstandige Hoogovens – is dat mogelijk?, 31 oktober (oorspronkelijke studie verkrijgbaar via deze auteur).</w:t>
      </w: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p>
    <w:p w:rsidRPr="00274702" w:rsidR="00274702" w:rsidP="00274702" w:rsidRDefault="00274702">
      <w:pPr>
        <w:widowControl w:val="0"/>
        <w:suppressAutoHyphens/>
        <w:spacing w:line="276" w:lineRule="auto"/>
        <w:ind w:left="284" w:hanging="284"/>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widowControl w:val="0"/>
        <w:suppressAutoHyphens/>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br w:type="page"/>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lastRenderedPageBreak/>
        <w:t xml:space="preserve">Wetenschappelijke </w:t>
      </w:r>
      <w:proofErr w:type="spellStart"/>
      <w:r w:rsidRPr="00274702">
        <w:rPr>
          <w:rFonts w:ascii="Cambria" w:hAnsi="Cambria" w:eastAsia="Cambria" w:cs="Times New Roman"/>
          <w:sz w:val="22"/>
          <w:szCs w:val="22"/>
        </w:rPr>
        <w:t>factsheet</w:t>
      </w:r>
      <w:proofErr w:type="spellEnd"/>
    </w:p>
    <w:p w:rsidRPr="00274702" w:rsidR="00274702" w:rsidP="00274702" w:rsidRDefault="00274702">
      <w:pPr>
        <w:spacing w:line="276" w:lineRule="auto"/>
        <w:rPr>
          <w:rFonts w:ascii="Cambria" w:hAnsi="Cambria" w:eastAsia="Cambria" w:cs="Times New Roman"/>
          <w:b/>
          <w:bCs/>
          <w:sz w:val="22"/>
          <w:szCs w:val="22"/>
        </w:rPr>
      </w:pPr>
    </w:p>
    <w:p w:rsidRPr="00325809" w:rsidR="00274702" w:rsidP="00325809" w:rsidRDefault="00274702">
      <w:pPr>
        <w:pStyle w:val="Tussenkopje"/>
        <w:ind w:left="0"/>
      </w:pPr>
      <w:r w:rsidRPr="00325809">
        <w:t>OPEN STRATEGISCHE AUTONOMIE T.A.V. AFRIKA EN LATIJNS-AMERIKA</w:t>
      </w:r>
    </w:p>
    <w:p w:rsidRPr="00274702" w:rsidR="00274702" w:rsidP="00274702" w:rsidRDefault="00274702">
      <w:pPr>
        <w:spacing w:line="276" w:lineRule="auto"/>
        <w:rPr>
          <w:rFonts w:ascii="Cambria" w:hAnsi="Cambria" w:eastAsia="Cambria" w:cs="Times New Roman"/>
          <w:b/>
          <w:bCs/>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Dr. Frank </w:t>
      </w:r>
      <w:proofErr w:type="spellStart"/>
      <w:r w:rsidRPr="00274702">
        <w:rPr>
          <w:rFonts w:ascii="Cambria" w:hAnsi="Cambria" w:eastAsia="Cambria" w:cs="Times New Roman"/>
          <w:sz w:val="22"/>
          <w:szCs w:val="22"/>
        </w:rPr>
        <w:t>Gerits</w:t>
      </w:r>
      <w:proofErr w:type="spellEnd"/>
      <w:r w:rsidRPr="00274702">
        <w:rPr>
          <w:rFonts w:ascii="Cambria" w:hAnsi="Cambria" w:eastAsia="Cambria" w:cs="Times New Roman"/>
          <w:sz w:val="22"/>
          <w:szCs w:val="22"/>
        </w:rPr>
        <w:t>, Universiteit Utrecht</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15 september 2021</w:t>
      </w:r>
    </w:p>
    <w:p w:rsidRPr="00274702" w:rsidR="00274702" w:rsidP="00274702" w:rsidRDefault="00274702">
      <w:pPr>
        <w:spacing w:line="276" w:lineRule="auto"/>
        <w:rPr>
          <w:rFonts w:ascii="Cambria" w:hAnsi="Cambria" w:eastAsia="Cambria" w:cs="Times New Roman"/>
          <w:b/>
          <w:bCs/>
          <w:sz w:val="22"/>
          <w:szCs w:val="22"/>
        </w:rPr>
      </w:pPr>
    </w:p>
    <w:p w:rsidRPr="00325809" w:rsidR="00274702" w:rsidP="00325809" w:rsidRDefault="00274702">
      <w:pPr>
        <w:pStyle w:val="Tussenkopje"/>
        <w:ind w:left="0"/>
      </w:pPr>
      <w:r w:rsidRPr="00325809">
        <w:t>Inleiding</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De Europese Unie (EU) en het Nederlandse kabinet hebben de ‘open strategische autonomie’ omarmd op het terrein van de verwerving van grondstoffen. Het gaat in de woorden van de voorzitter van de Europese Raad om een ‘industriële strategie’ met het oog op een ‘grotere onafhankelijkheid’.</w:t>
      </w:r>
      <w:r w:rsidRPr="00274702">
        <w:rPr>
          <w:rFonts w:ascii="Cambria" w:hAnsi="Cambria" w:eastAsia="Cambria" w:cs="Times New Roman"/>
          <w:sz w:val="22"/>
          <w:szCs w:val="22"/>
          <w:vertAlign w:val="superscript"/>
        </w:rPr>
        <w:footnoteReference w:id="3"/>
      </w:r>
      <w:r w:rsidRPr="00274702">
        <w:rPr>
          <w:rFonts w:ascii="Cambria" w:hAnsi="Cambria" w:eastAsia="Cambria" w:cs="Times New Roman"/>
          <w:sz w:val="22"/>
          <w:szCs w:val="22"/>
        </w:rPr>
        <w:t xml:space="preserve"> </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Binnen de EU is in 2020 een ‘Action Plan on Critical </w:t>
      </w:r>
      <w:proofErr w:type="spellStart"/>
      <w:r w:rsidRPr="00274702">
        <w:rPr>
          <w:rFonts w:ascii="Cambria" w:hAnsi="Cambria" w:eastAsia="Cambria" w:cs="Times New Roman"/>
          <w:sz w:val="22"/>
          <w:szCs w:val="22"/>
        </w:rPr>
        <w:t>Raw</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Materials</w:t>
      </w:r>
      <w:proofErr w:type="spellEnd"/>
      <w:r w:rsidRPr="00274702">
        <w:rPr>
          <w:rFonts w:ascii="Cambria" w:hAnsi="Cambria" w:eastAsia="Cambria" w:cs="Times New Roman"/>
          <w:sz w:val="22"/>
          <w:szCs w:val="22"/>
        </w:rPr>
        <w:t>’ ontwikkeld om de verschillende bronnen van grondstoffen te diversifiëren en ook hergebruik aan te moedigen.</w:t>
      </w:r>
      <w:r w:rsidRPr="00274702">
        <w:rPr>
          <w:rFonts w:ascii="Cambria" w:hAnsi="Cambria" w:eastAsia="Cambria" w:cs="Times New Roman"/>
          <w:sz w:val="22"/>
          <w:szCs w:val="22"/>
          <w:vertAlign w:val="superscript"/>
        </w:rPr>
        <w:footnoteReference w:id="4"/>
      </w:r>
      <w:r w:rsidRPr="00274702">
        <w:rPr>
          <w:rFonts w:ascii="Cambria" w:hAnsi="Cambria" w:eastAsia="Cambria" w:cs="Times New Roman"/>
          <w:sz w:val="22"/>
          <w:szCs w:val="22"/>
        </w:rPr>
        <w:t xml:space="preserve"> </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In de Global South, in Afrika en Latijns-Amerika, bevinden zich belangrijke hoeveelheden kritieke materialen. Het aandeel van deze regio in de wereldproductie is significant:</w:t>
      </w:r>
    </w:p>
    <w:p w:rsidRPr="00274702" w:rsidR="00274702" w:rsidP="00274702" w:rsidRDefault="00274702">
      <w:pPr>
        <w:numPr>
          <w:ilvl w:val="0"/>
          <w:numId w:val="6"/>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Afrika: Guinea (bauxiet, 64%); Democratische Republiek Congo (kobalt, 68%; titanium, 36%); Zuid-Afrika (iridium, 92%; platina, 71%; rodium: 80%; ruthenium: 93%)</w:t>
      </w:r>
    </w:p>
    <w:p w:rsidRPr="00274702" w:rsidR="00274702" w:rsidP="00274702" w:rsidRDefault="00274702">
      <w:pPr>
        <w:numPr>
          <w:ilvl w:val="0"/>
          <w:numId w:val="6"/>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Latijns-Amerika: Brazilië (niobium, 85%); Chili (lithium, 78%)</w:t>
      </w:r>
      <w:r w:rsidRPr="00274702">
        <w:rPr>
          <w:rFonts w:ascii="Cambria" w:hAnsi="Cambria" w:eastAsia="Cambria" w:cs="Times New Roman"/>
          <w:sz w:val="22"/>
          <w:szCs w:val="22"/>
        </w:rPr>
        <w:br/>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Deze </w:t>
      </w:r>
      <w:proofErr w:type="spellStart"/>
      <w:r w:rsidRPr="00274702">
        <w:rPr>
          <w:rFonts w:ascii="Cambria" w:hAnsi="Cambria" w:eastAsia="Cambria" w:cs="Times New Roman"/>
          <w:sz w:val="22"/>
          <w:szCs w:val="22"/>
        </w:rPr>
        <w:t>factsheet</w:t>
      </w:r>
      <w:proofErr w:type="spellEnd"/>
      <w:r w:rsidRPr="00274702">
        <w:rPr>
          <w:rFonts w:ascii="Cambria" w:hAnsi="Cambria" w:eastAsia="Cambria" w:cs="Times New Roman"/>
          <w:sz w:val="22"/>
          <w:szCs w:val="22"/>
        </w:rPr>
        <w:t xml:space="preserve"> verkent welke instrumenten kunnen worden ingezet door Nederland en de EU in de relatie met Afrika en Latijns-Amerika om de doelstellingen van de ‘open strategisch autonomie’ te bereiken.</w:t>
      </w:r>
    </w:p>
    <w:p w:rsidRPr="00274702" w:rsidR="00274702" w:rsidP="00274702" w:rsidRDefault="00274702">
      <w:pPr>
        <w:spacing w:line="276" w:lineRule="auto"/>
        <w:rPr>
          <w:rFonts w:ascii="Cambria" w:hAnsi="Cambria" w:eastAsia="Cambria" w:cs="Times New Roman"/>
          <w:b/>
          <w:bCs/>
          <w:sz w:val="22"/>
          <w:szCs w:val="22"/>
        </w:rPr>
      </w:pPr>
    </w:p>
    <w:p w:rsidRPr="00325809" w:rsidR="00274702" w:rsidP="00325809" w:rsidRDefault="00274702">
      <w:pPr>
        <w:pStyle w:val="Tussenkopje"/>
        <w:ind w:left="0"/>
      </w:pPr>
      <w:r w:rsidRPr="00325809">
        <w:t>Centrale vraagstelling</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Welke instrumenten kunnen Nederland en de EU inzetten in het buitenlands beleid in relatie tot Afrika en Latijns-Amerika op het terrein van de verwerving van grondstoffen om de open strategische autonomie te versterken (en minder afhankelijk te worden van China)?</w:t>
      </w:r>
    </w:p>
    <w:p w:rsidRPr="00274702" w:rsidR="00274702" w:rsidP="00274702" w:rsidRDefault="00274702">
      <w:pPr>
        <w:spacing w:line="276" w:lineRule="auto"/>
        <w:rPr>
          <w:rFonts w:ascii="Cambria" w:hAnsi="Cambria" w:eastAsia="Cambria" w:cs="Times New Roman"/>
          <w:color w:val="4F81BD"/>
          <w:sz w:val="22"/>
          <w:szCs w:val="22"/>
        </w:rPr>
      </w:pPr>
    </w:p>
    <w:p w:rsidR="00350F57" w:rsidP="00325809" w:rsidRDefault="00350F57">
      <w:pPr>
        <w:pStyle w:val="Tussenkopje"/>
        <w:ind w:left="0"/>
      </w:pPr>
    </w:p>
    <w:p w:rsidR="00350F57" w:rsidP="00325809" w:rsidRDefault="00350F57">
      <w:pPr>
        <w:pStyle w:val="Tussenkopje"/>
        <w:ind w:left="0"/>
      </w:pPr>
    </w:p>
    <w:p w:rsidR="00350F57" w:rsidP="00325809" w:rsidRDefault="00350F57">
      <w:pPr>
        <w:pStyle w:val="Tussenkopje"/>
        <w:ind w:left="0"/>
      </w:pPr>
    </w:p>
    <w:p w:rsidRPr="00325809" w:rsidR="00274702" w:rsidP="00325809" w:rsidRDefault="00274702">
      <w:pPr>
        <w:pStyle w:val="Tussenkopje"/>
        <w:ind w:left="0"/>
      </w:pPr>
      <w:r w:rsidRPr="00325809">
        <w:lastRenderedPageBreak/>
        <w:t>Samenvatting: twee uitdagingen</w:t>
      </w:r>
    </w:p>
    <w:p w:rsidRPr="00274702" w:rsidR="00274702" w:rsidP="00274702" w:rsidRDefault="00274702">
      <w:pPr>
        <w:spacing w:line="276" w:lineRule="auto"/>
        <w:rPr>
          <w:rFonts w:ascii="Cambria" w:hAnsi="Cambria" w:eastAsia="Cambria" w:cs="Times New Roman"/>
          <w:b/>
          <w:bCs/>
          <w:sz w:val="22"/>
          <w:szCs w:val="22"/>
        </w:rPr>
      </w:pPr>
    </w:p>
    <w:p w:rsidRPr="00325809" w:rsidR="00274702" w:rsidP="00325809" w:rsidRDefault="00274702">
      <w:pPr>
        <w:pStyle w:val="Tussenkopje"/>
        <w:ind w:left="0"/>
      </w:pPr>
      <w:r w:rsidRPr="00325809">
        <w:t>Uitdaging 1: vrijhandel en autonomie vrijwaren</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Het begrip ‘open strategisch autonomie’ is fluïde. Het verwijst in de context van grondstoffen en industrie in de EU naar een belangrijke uitdaging: hoe de vrijhandelsidentiteit van de EU te bewaren, maar afhankelijkheid van andere internationale spelers vermijden? Daarbij zijn internationaal maatschappelijk verantwoord ondernemen (IMVO), de ‘</w:t>
      </w:r>
      <w:proofErr w:type="spellStart"/>
      <w:r w:rsidRPr="00274702">
        <w:rPr>
          <w:rFonts w:ascii="Cambria" w:hAnsi="Cambria" w:eastAsia="Cambria" w:cs="Times New Roman"/>
          <w:sz w:val="22"/>
          <w:szCs w:val="22"/>
        </w:rPr>
        <w:t>sustainable</w:t>
      </w:r>
      <w:proofErr w:type="spellEnd"/>
      <w:r w:rsidRPr="00274702">
        <w:rPr>
          <w:rFonts w:ascii="Cambria" w:hAnsi="Cambria" w:eastAsia="Cambria" w:cs="Times New Roman"/>
          <w:sz w:val="22"/>
          <w:szCs w:val="22"/>
        </w:rPr>
        <w:t xml:space="preserve"> development goals’, het verzekeren van grondstofbevoorrading en de groene transitie kernbegrippen.</w:t>
      </w:r>
      <w:r w:rsidRPr="00274702">
        <w:rPr>
          <w:rFonts w:ascii="Cambria" w:hAnsi="Cambria" w:eastAsia="Cambria" w:cs="Times New Roman"/>
          <w:sz w:val="22"/>
          <w:szCs w:val="22"/>
          <w:vertAlign w:val="superscript"/>
        </w:rPr>
        <w:footnoteReference w:id="5"/>
      </w:r>
      <w:r w:rsidRPr="00274702">
        <w:rPr>
          <w:rFonts w:ascii="Cambria" w:hAnsi="Cambria" w:eastAsia="Cambria" w:cs="Times New Roman"/>
          <w:sz w:val="22"/>
          <w:szCs w:val="22"/>
          <w:vertAlign w:val="superscript"/>
        </w:rPr>
        <w:t xml:space="preserve"> </w:t>
      </w:r>
    </w:p>
    <w:p w:rsidRPr="00274702" w:rsidR="00274702" w:rsidP="00274702" w:rsidRDefault="00274702">
      <w:pPr>
        <w:spacing w:line="276" w:lineRule="auto"/>
        <w:rPr>
          <w:rFonts w:ascii="Cambria" w:hAnsi="Cambria" w:eastAsia="Cambria" w:cs="Times New Roman"/>
          <w:sz w:val="22"/>
          <w:szCs w:val="22"/>
        </w:rPr>
      </w:pPr>
    </w:p>
    <w:p w:rsidRPr="00325809" w:rsidR="00274702" w:rsidP="00325809" w:rsidRDefault="00274702">
      <w:pPr>
        <w:pStyle w:val="Tussenkopje"/>
        <w:ind w:left="0"/>
      </w:pPr>
      <w:r w:rsidRPr="00325809">
        <w:t>Uitdaging 2: koloniale beeldvorming vermijden</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In de politieke context van de Global South heeft dit autonomiebeleid een koloniale bijklank: Europese wereldrijken onttrokken grondstoffen om de Europese economische positie in de wereld te versterken ten nadele van de kolonies. Tegelijkertijd is het veiligstellen van grondstoffen ook voor landen in Latijns-Amerika en Afrika een prioriteit. Hierdoor is een tweede uitdaging eveneens van belang: hoe strategische grondstoffen verzekeren en tezelfdertijd koloniale beeldvorming en weerstand van Afrikaanse en Latijns-Amerikaanse landen voorkomen?</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De aangereikte oplossingen in het Action Plan on Critical </w:t>
      </w:r>
      <w:proofErr w:type="spellStart"/>
      <w:r w:rsidRPr="00274702">
        <w:rPr>
          <w:rFonts w:ascii="Cambria" w:hAnsi="Cambria" w:eastAsia="Cambria" w:cs="Times New Roman"/>
          <w:sz w:val="22"/>
          <w:szCs w:val="22"/>
        </w:rPr>
        <w:t>Raw</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Materials</w:t>
      </w:r>
      <w:proofErr w:type="spellEnd"/>
      <w:r w:rsidRPr="00274702">
        <w:rPr>
          <w:rFonts w:ascii="Cambria" w:hAnsi="Cambria" w:eastAsia="Cambria" w:cs="Times New Roman"/>
          <w:sz w:val="22"/>
          <w:szCs w:val="22"/>
        </w:rPr>
        <w:t xml:space="preserve"> van de Europese Commissie zijn technocratisch van aard:</w:t>
      </w:r>
      <w:r w:rsidRPr="00274702">
        <w:rPr>
          <w:rFonts w:ascii="Cambria" w:hAnsi="Cambria" w:eastAsia="Cambria" w:cs="Times New Roman"/>
          <w:sz w:val="22"/>
          <w:szCs w:val="22"/>
          <w:vertAlign w:val="superscript"/>
        </w:rPr>
        <w:footnoteReference w:id="6"/>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Een door de industrie aangestuurde Europese Grondstoffenalliantie oprichten.</w:t>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Duurzame financieringscriteria voor de mijnbouw en de winningsindustrieën ontwikkelen.</w:t>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Onderzoek en innovatie op het gebied van afvalverwerking, geavanceerde materialen en vervanging van kritieke grondstoffen.</w:t>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In kaart brengen van het potentiële aanbod van secundaire kritieke grondstoffen in Europa en levensvatbare terugwinningsprojecten aanwijzen.</w:t>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Identificeren van prioritaire mijnbouw- en verwerkingsprojecten voor kritieke grondstoffen in de EU.</w:t>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Ontwikkelen van deskundigheid en vaardigheden op het gebied van mijnbouw, winning en verwerking in regio’s in overgangsregio's.</w:t>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Programma's voor aardobservatie en </w:t>
      </w:r>
      <w:proofErr w:type="spellStart"/>
      <w:r w:rsidRPr="00274702">
        <w:rPr>
          <w:rFonts w:ascii="Cambria" w:hAnsi="Cambria" w:eastAsia="Cambria" w:cs="Times New Roman"/>
          <w:sz w:val="22"/>
          <w:szCs w:val="22"/>
        </w:rPr>
        <w:t>teledetectie</w:t>
      </w:r>
      <w:proofErr w:type="spellEnd"/>
      <w:r w:rsidRPr="00274702">
        <w:rPr>
          <w:rFonts w:ascii="Cambria" w:hAnsi="Cambria" w:eastAsia="Cambria" w:cs="Times New Roman"/>
          <w:sz w:val="22"/>
          <w:szCs w:val="22"/>
        </w:rPr>
        <w:t xml:space="preserve"> inzetten voor de exploratie van hulpbronnen, exploitatie en milieubeheer na sluiting ervan.</w:t>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Onderzoeks- en innovatieprojecten ontwikkelen om de milieueffecten van de winning en verwerking van grondstoffen te verminderen.</w:t>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Ontwikkelen van strategische internationale partnerschappen voor een gediversifieerde aanvoer van duurzame kritische grondstoffen, te beginnen in 2021 met proefpartnerschappen met Canada, belangstellende landen in Afrika en de buurlanden van de EU.</w:t>
      </w:r>
    </w:p>
    <w:p w:rsidRPr="00274702" w:rsidR="00274702" w:rsidP="00274702" w:rsidRDefault="00274702">
      <w:pPr>
        <w:numPr>
          <w:ilvl w:val="0"/>
          <w:numId w:val="7"/>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Verantwoorde mijnbouwpraktijken voor kritieke grondstoffen bevorderen.</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lastRenderedPageBreak/>
        <w:t xml:space="preserve">De ideologische lading van de Noord-Zuidrelatie geeft het buitenlandse beleid van Latijns-Amerika en Afrika evenwel fundamenteel vorm. De herinnering aan de kolonisatie, dekolonisatie en de schuldencrisis die uit de leningen van de Wereldbank en het IMF voortvloeide maken Afrikaanse en Latijns-Amerikaanse politica argwanend ten opzichte van Europese en Nederlandse diplomatieke acties. </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De vanuit het oogpunt van ‘</w:t>
      </w:r>
      <w:proofErr w:type="spellStart"/>
      <w:r w:rsidRPr="00274702">
        <w:rPr>
          <w:rFonts w:ascii="Cambria" w:hAnsi="Cambria" w:eastAsia="Cambria" w:cs="Times New Roman"/>
          <w:sz w:val="22"/>
          <w:szCs w:val="22"/>
        </w:rPr>
        <w:t>critical</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raw</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materials</w:t>
      </w:r>
      <w:proofErr w:type="spellEnd"/>
      <w:r w:rsidRPr="00274702">
        <w:rPr>
          <w:rFonts w:ascii="Cambria" w:hAnsi="Cambria" w:eastAsia="Cambria" w:cs="Times New Roman"/>
          <w:sz w:val="22"/>
          <w:szCs w:val="22"/>
        </w:rPr>
        <w:t>’ belangrijkste landen hebben recent een machtswissel ondergaan, maar de link tussen buitenlands beleid en de ideeën over koloniale uitbuiting zijn nog steeds aanwezig.</w:t>
      </w:r>
    </w:p>
    <w:p w:rsidRPr="00274702" w:rsidR="00274702" w:rsidP="00274702" w:rsidRDefault="00274702">
      <w:pPr>
        <w:numPr>
          <w:ilvl w:val="0"/>
          <w:numId w:val="8"/>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In Guinea vond op 5 september 2021 een staatsgreep plaats. Legerleider </w:t>
      </w:r>
      <w:proofErr w:type="spellStart"/>
      <w:r w:rsidRPr="00274702">
        <w:rPr>
          <w:rFonts w:ascii="Cambria" w:hAnsi="Cambria" w:eastAsia="Cambria" w:cs="Times New Roman"/>
          <w:sz w:val="22"/>
          <w:szCs w:val="22"/>
        </w:rPr>
        <w:t>Mamady</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Doumbouya</w:t>
      </w:r>
      <w:proofErr w:type="spellEnd"/>
      <w:r w:rsidRPr="00274702">
        <w:rPr>
          <w:rFonts w:ascii="Cambria" w:hAnsi="Cambria" w:eastAsia="Cambria" w:cs="Times New Roman"/>
          <w:sz w:val="22"/>
          <w:szCs w:val="22"/>
        </w:rPr>
        <w:t xml:space="preserve"> tilde </w:t>
      </w:r>
      <w:hyperlink w:tgtFrame="_blank" w:history="1" r:id="rId9">
        <w:r w:rsidRPr="00274702">
          <w:rPr>
            <w:rFonts w:ascii="Cambria" w:hAnsi="Cambria" w:eastAsia="Cambria" w:cs="Times New Roman"/>
            <w:sz w:val="22"/>
            <w:szCs w:val="22"/>
          </w:rPr>
          <w:t xml:space="preserve">President </w:t>
        </w:r>
        <w:proofErr w:type="spellStart"/>
        <w:r w:rsidRPr="00274702">
          <w:rPr>
            <w:rFonts w:ascii="Cambria" w:hAnsi="Cambria" w:eastAsia="Cambria" w:cs="Times New Roman"/>
            <w:sz w:val="22"/>
            <w:szCs w:val="22"/>
          </w:rPr>
          <w:t>Alpha</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Conde</w:t>
        </w:r>
        <w:proofErr w:type="spellEnd"/>
      </w:hyperlink>
      <w:r w:rsidRPr="00274702">
        <w:rPr>
          <w:rFonts w:ascii="Cambria" w:hAnsi="Cambria" w:eastAsia="Cambria" w:cs="Times New Roman"/>
          <w:sz w:val="22"/>
          <w:szCs w:val="22"/>
        </w:rPr>
        <w:t xml:space="preserve"> uit het zadel. De houding ten opzichte van de EU en de VS is nog onduidelijk, maar China heeft alvast steun voor de coup uitgesproken.</w:t>
      </w:r>
      <w:r w:rsidRPr="00274702">
        <w:rPr>
          <w:rFonts w:ascii="Cambria" w:hAnsi="Cambria" w:eastAsia="Cambria" w:cs="Times New Roman"/>
          <w:sz w:val="22"/>
          <w:szCs w:val="22"/>
          <w:vertAlign w:val="superscript"/>
        </w:rPr>
        <w:footnoteReference w:id="7"/>
      </w:r>
      <w:r w:rsidRPr="00274702">
        <w:rPr>
          <w:rFonts w:ascii="Cambria" w:hAnsi="Cambria" w:eastAsia="Cambria" w:cs="Times New Roman"/>
          <w:sz w:val="22"/>
          <w:szCs w:val="22"/>
        </w:rPr>
        <w:t xml:space="preserve"> </w:t>
      </w:r>
    </w:p>
    <w:p w:rsidRPr="00274702" w:rsidR="00274702" w:rsidP="00274702" w:rsidRDefault="00274702">
      <w:pPr>
        <w:numPr>
          <w:ilvl w:val="0"/>
          <w:numId w:val="8"/>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De Democratische Republiek Congo heeft altijd geleden omdat er veel grondstoffen in de grond zitten en worstelt nog steeds met de tweede Congolese burgeroorlog (1998-2003). In januari 2019 kwam Félix </w:t>
      </w:r>
      <w:proofErr w:type="spellStart"/>
      <w:r w:rsidRPr="00274702">
        <w:rPr>
          <w:rFonts w:ascii="Cambria" w:hAnsi="Cambria" w:eastAsia="Cambria" w:cs="Times New Roman"/>
          <w:sz w:val="22"/>
          <w:szCs w:val="22"/>
        </w:rPr>
        <w:t>Tshisekedie</w:t>
      </w:r>
      <w:proofErr w:type="spellEnd"/>
      <w:r w:rsidRPr="00274702">
        <w:rPr>
          <w:rFonts w:ascii="Cambria" w:hAnsi="Cambria" w:eastAsia="Cambria" w:cs="Times New Roman"/>
          <w:sz w:val="22"/>
          <w:szCs w:val="22"/>
        </w:rPr>
        <w:t xml:space="preserve"> aan de macht. In zijn buitenlands beleid zoekt hij opnieuw meer aansluiting bij Westerse machten. Dit in tegenstelling tot zijn voorganger Joseph Kabila die zich afwendde van ‘koloniale’, Westerse machten. In 2021 is </w:t>
      </w:r>
      <w:proofErr w:type="spellStart"/>
      <w:r w:rsidRPr="00274702">
        <w:rPr>
          <w:rFonts w:ascii="Cambria" w:hAnsi="Cambria" w:eastAsia="Cambria" w:cs="Times New Roman"/>
          <w:sz w:val="22"/>
          <w:szCs w:val="22"/>
        </w:rPr>
        <w:t>Tshisekedie</w:t>
      </w:r>
      <w:proofErr w:type="spellEnd"/>
      <w:r w:rsidRPr="00274702">
        <w:rPr>
          <w:rFonts w:ascii="Cambria" w:hAnsi="Cambria" w:eastAsia="Cambria" w:cs="Times New Roman"/>
          <w:sz w:val="22"/>
          <w:szCs w:val="22"/>
        </w:rPr>
        <w:t xml:space="preserve"> voorzitter van de Afrikaanse Unie. </w:t>
      </w:r>
    </w:p>
    <w:p w:rsidRPr="00274702" w:rsidR="00274702" w:rsidP="00274702" w:rsidRDefault="00274702">
      <w:pPr>
        <w:numPr>
          <w:ilvl w:val="0"/>
          <w:numId w:val="8"/>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In Zuid-Afrika is sinds het #</w:t>
      </w:r>
      <w:proofErr w:type="spellStart"/>
      <w:r w:rsidRPr="00274702">
        <w:rPr>
          <w:rFonts w:ascii="Cambria" w:hAnsi="Cambria" w:eastAsia="Cambria" w:cs="Times New Roman"/>
          <w:sz w:val="22"/>
          <w:szCs w:val="22"/>
        </w:rPr>
        <w:t>FeesMustFall</w:t>
      </w:r>
      <w:proofErr w:type="spellEnd"/>
      <w:r w:rsidRPr="00274702">
        <w:rPr>
          <w:rFonts w:ascii="Cambria" w:hAnsi="Cambria" w:eastAsia="Cambria" w:cs="Times New Roman"/>
          <w:sz w:val="22"/>
          <w:szCs w:val="22"/>
        </w:rPr>
        <w:t xml:space="preserve">-protest van 2016, waarbij lagere universiteitskosten werden geëist, een constant debat over de dekolonisatie van de maatschappij gaande. Het buitenlandse beleid van president </w:t>
      </w:r>
      <w:proofErr w:type="spellStart"/>
      <w:r w:rsidRPr="00274702">
        <w:rPr>
          <w:rFonts w:ascii="Cambria" w:hAnsi="Cambria" w:eastAsia="Cambria" w:cs="Times New Roman"/>
          <w:sz w:val="22"/>
          <w:szCs w:val="22"/>
        </w:rPr>
        <w:t>Ramaphosa</w:t>
      </w:r>
      <w:proofErr w:type="spellEnd"/>
      <w:r w:rsidRPr="00274702">
        <w:rPr>
          <w:rFonts w:ascii="Cambria" w:hAnsi="Cambria" w:eastAsia="Cambria" w:cs="Times New Roman"/>
          <w:sz w:val="22"/>
          <w:szCs w:val="22"/>
        </w:rPr>
        <w:t xml:space="preserve"> is erop gericht om de handelsbelangen van Zuid-Afrika te verdedigen, toegang tot andere Afrikaanse staten met grondstoffen te vrijwaren en mensenrechten geen prioriteit te geven om zo ook de isolatie uit het Mandelatijdperk te voorkomen.</w:t>
      </w:r>
      <w:r w:rsidRPr="00274702">
        <w:rPr>
          <w:rFonts w:ascii="Cambria" w:hAnsi="Cambria" w:eastAsia="Cambria" w:cs="Times New Roman"/>
          <w:sz w:val="22"/>
          <w:szCs w:val="22"/>
          <w:vertAlign w:val="superscript"/>
        </w:rPr>
        <w:footnoteReference w:id="8"/>
      </w:r>
    </w:p>
    <w:p w:rsidRPr="00274702" w:rsidR="00274702" w:rsidP="00274702" w:rsidRDefault="00274702">
      <w:pPr>
        <w:numPr>
          <w:ilvl w:val="0"/>
          <w:numId w:val="8"/>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In Brazilië is </w:t>
      </w:r>
      <w:proofErr w:type="spellStart"/>
      <w:r w:rsidRPr="00274702">
        <w:rPr>
          <w:rFonts w:ascii="Cambria" w:hAnsi="Cambria" w:eastAsia="Cambria" w:cs="Times New Roman"/>
          <w:sz w:val="22"/>
          <w:szCs w:val="22"/>
        </w:rPr>
        <w:t>Jair</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Bolsonaro</w:t>
      </w:r>
      <w:proofErr w:type="spellEnd"/>
      <w:r w:rsidRPr="00274702">
        <w:rPr>
          <w:rFonts w:ascii="Cambria" w:hAnsi="Cambria" w:eastAsia="Cambria" w:cs="Times New Roman"/>
          <w:sz w:val="22"/>
          <w:szCs w:val="22"/>
        </w:rPr>
        <w:t xml:space="preserve"> sinds 2018 aan de macht en gebrand op het economisch exploiteren van de bodemrijkdommen van het land. Kritiek op de kap in het Amazonewoud wordt weggezet als koloniaal.</w:t>
      </w:r>
      <w:r w:rsidRPr="00274702">
        <w:rPr>
          <w:rFonts w:ascii="Cambria" w:hAnsi="Cambria" w:eastAsia="Cambria" w:cs="Times New Roman"/>
          <w:sz w:val="22"/>
          <w:szCs w:val="22"/>
          <w:vertAlign w:val="superscript"/>
        </w:rPr>
        <w:footnoteReference w:id="9"/>
      </w:r>
      <w:r w:rsidRPr="00274702">
        <w:rPr>
          <w:rFonts w:ascii="Cambria" w:hAnsi="Cambria" w:eastAsia="Cambria" w:cs="Times New Roman"/>
          <w:sz w:val="22"/>
          <w:szCs w:val="22"/>
        </w:rPr>
        <w:t xml:space="preserve"> </w:t>
      </w:r>
    </w:p>
    <w:p w:rsidRPr="00274702" w:rsidR="00274702" w:rsidP="00274702" w:rsidRDefault="00274702">
      <w:pPr>
        <w:numPr>
          <w:ilvl w:val="0"/>
          <w:numId w:val="8"/>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In Chili vindt een maatschappelijke dekoloniseringbeweging plaats die te vergelijken is met Zuid-Afrika</w:t>
      </w:r>
      <w:r w:rsidRPr="00274702">
        <w:rPr>
          <w:rFonts w:ascii="Cambria" w:hAnsi="Cambria" w:eastAsia="Cambria" w:cs="Times New Roman"/>
          <w:sz w:val="22"/>
          <w:szCs w:val="22"/>
          <w:vertAlign w:val="superscript"/>
        </w:rPr>
        <w:footnoteReference w:id="10"/>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Elk beleid dat is gericht op het vermijden van een afhankelijkheidsrelatie met economieën in de Global South moet de schaduw van het koloniale onrecht in aanmerking nemen om politieke recuperatie door politici in Latijns-Amerika en Afrika te vermijden.</w:t>
      </w:r>
    </w:p>
    <w:p w:rsidRPr="00274702" w:rsidR="00274702" w:rsidP="00274702" w:rsidRDefault="00274702">
      <w:pPr>
        <w:spacing w:line="276" w:lineRule="auto"/>
        <w:rPr>
          <w:rFonts w:ascii="Cambria" w:hAnsi="Cambria" w:eastAsia="Cambria" w:cs="Times New Roman"/>
          <w:color w:val="4F81BD"/>
          <w:sz w:val="22"/>
          <w:szCs w:val="22"/>
        </w:rPr>
      </w:pPr>
    </w:p>
    <w:p w:rsidR="00350F57" w:rsidP="00325809" w:rsidRDefault="00350F57">
      <w:pPr>
        <w:pStyle w:val="Tussenkopje"/>
        <w:ind w:left="0"/>
      </w:pPr>
    </w:p>
    <w:p w:rsidR="00350F57" w:rsidP="00325809" w:rsidRDefault="00350F57">
      <w:pPr>
        <w:pStyle w:val="Tussenkopje"/>
        <w:ind w:left="0"/>
      </w:pPr>
    </w:p>
    <w:p w:rsidR="00350F57" w:rsidP="00325809" w:rsidRDefault="00350F57">
      <w:pPr>
        <w:pStyle w:val="Tussenkopje"/>
        <w:ind w:left="0"/>
      </w:pPr>
    </w:p>
    <w:p w:rsidR="00350F57" w:rsidP="00325809" w:rsidRDefault="00350F57">
      <w:pPr>
        <w:pStyle w:val="Tussenkopje"/>
        <w:ind w:left="0"/>
      </w:pPr>
    </w:p>
    <w:p w:rsidRPr="00325809" w:rsidR="00274702" w:rsidP="00325809" w:rsidRDefault="00274702">
      <w:pPr>
        <w:pStyle w:val="Tussenkopje"/>
        <w:ind w:left="0"/>
      </w:pPr>
      <w:r w:rsidRPr="00325809">
        <w:lastRenderedPageBreak/>
        <w:t>Nederlandse positie in Afrika en Latijns-America</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Nederland geniet een vrij goede reputatie in de belangrijkste landen van Latijns-Amerika: Brazilië en Chili. In Afrika heeft Nederland een minder goede reputatie, vooral door acties van Nederlandse bedrijven zoals Shell (in Nigeria) en Heineken.</w:t>
      </w:r>
      <w:r w:rsidRPr="00274702">
        <w:rPr>
          <w:rFonts w:ascii="Cambria" w:hAnsi="Cambria" w:eastAsia="Cambria" w:cs="Times New Roman"/>
          <w:sz w:val="22"/>
          <w:szCs w:val="22"/>
          <w:vertAlign w:val="superscript"/>
        </w:rPr>
        <w:footnoteReference w:id="11"/>
      </w:r>
      <w:r w:rsidRPr="00274702">
        <w:rPr>
          <w:rFonts w:ascii="Cambria" w:hAnsi="Cambria" w:eastAsia="Cambria" w:cs="Times New Roman"/>
          <w:sz w:val="22"/>
          <w:szCs w:val="22"/>
        </w:rPr>
        <w:t xml:space="preserve"> Nederland kan desalniettemin vier instrumenten inzetten.</w:t>
      </w:r>
    </w:p>
    <w:p w:rsidRPr="00274702" w:rsidR="00274702" w:rsidP="00274702" w:rsidRDefault="00274702">
      <w:pPr>
        <w:spacing w:line="276" w:lineRule="auto"/>
        <w:rPr>
          <w:rFonts w:ascii="Cambria" w:hAnsi="Cambria" w:eastAsia="Cambria" w:cs="Times New Roman"/>
          <w:color w:val="4F81BD"/>
          <w:sz w:val="22"/>
          <w:szCs w:val="22"/>
        </w:rPr>
      </w:pPr>
    </w:p>
    <w:p w:rsidRPr="00325809" w:rsidR="00274702" w:rsidP="00325809" w:rsidRDefault="00274702">
      <w:pPr>
        <w:pStyle w:val="Tussenkopje"/>
        <w:ind w:left="0"/>
      </w:pPr>
      <w:r w:rsidRPr="00325809">
        <w:t>Instrument 1: externe communicatie</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Alle communicatie zou de indruk van een ‘Europees protectionistisch beleid’ moeten vermijden. In de officiële communicatie van de commissie wordt de nadruk gelegd op een ‘</w:t>
      </w:r>
      <w:proofErr w:type="spellStart"/>
      <w:r w:rsidRPr="00274702">
        <w:rPr>
          <w:rFonts w:ascii="Cambria" w:hAnsi="Cambria" w:eastAsia="Cambria" w:cs="Times New Roman"/>
          <w:sz w:val="22"/>
          <w:szCs w:val="22"/>
        </w:rPr>
        <w:t>reliable</w:t>
      </w:r>
      <w:proofErr w:type="spellEnd"/>
      <w:r w:rsidRPr="00274702">
        <w:rPr>
          <w:rFonts w:ascii="Cambria" w:hAnsi="Cambria" w:eastAsia="Cambria" w:cs="Times New Roman"/>
          <w:sz w:val="22"/>
          <w:szCs w:val="22"/>
        </w:rPr>
        <w:t xml:space="preserve">, secure, </w:t>
      </w:r>
      <w:proofErr w:type="spellStart"/>
      <w:r w:rsidRPr="00274702">
        <w:rPr>
          <w:rFonts w:ascii="Cambria" w:hAnsi="Cambria" w:eastAsia="Cambria" w:cs="Times New Roman"/>
          <w:sz w:val="22"/>
          <w:szCs w:val="22"/>
        </w:rPr>
        <w:t>and</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sustainable</w:t>
      </w:r>
      <w:proofErr w:type="spellEnd"/>
      <w:r w:rsidRPr="00274702">
        <w:rPr>
          <w:rFonts w:ascii="Cambria" w:hAnsi="Cambria" w:eastAsia="Cambria" w:cs="Times New Roman"/>
          <w:sz w:val="22"/>
          <w:szCs w:val="22"/>
        </w:rPr>
        <w:t xml:space="preserve"> access </w:t>
      </w:r>
      <w:proofErr w:type="spellStart"/>
      <w:r w:rsidRPr="00274702">
        <w:rPr>
          <w:rFonts w:ascii="Cambria" w:hAnsi="Cambria" w:eastAsia="Cambria" w:cs="Times New Roman"/>
          <w:sz w:val="22"/>
          <w:szCs w:val="22"/>
        </w:rPr>
        <w:t>to</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raw</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materials</w:t>
      </w:r>
      <w:proofErr w:type="spellEnd"/>
      <w:r w:rsidRPr="00274702">
        <w:rPr>
          <w:rFonts w:ascii="Cambria" w:hAnsi="Cambria" w:eastAsia="Cambria" w:cs="Times New Roman"/>
          <w:sz w:val="22"/>
          <w:szCs w:val="22"/>
        </w:rPr>
        <w:t>’ en ‘</w:t>
      </w:r>
      <w:proofErr w:type="spellStart"/>
      <w:r w:rsidRPr="00274702">
        <w:rPr>
          <w:rFonts w:ascii="Cambria" w:hAnsi="Cambria" w:eastAsia="Cambria" w:cs="Times New Roman"/>
          <w:sz w:val="22"/>
          <w:szCs w:val="22"/>
        </w:rPr>
        <w:t>industrial</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leadership</w:t>
      </w:r>
      <w:proofErr w:type="spellEnd"/>
      <w:r w:rsidRPr="00274702">
        <w:rPr>
          <w:rFonts w:ascii="Cambria" w:hAnsi="Cambria" w:eastAsia="Cambria" w:cs="Times New Roman"/>
          <w:sz w:val="22"/>
          <w:szCs w:val="22"/>
        </w:rPr>
        <w:t xml:space="preserve"> of Europe’.</w:t>
      </w:r>
      <w:r w:rsidRPr="00274702">
        <w:rPr>
          <w:rFonts w:ascii="Cambria" w:hAnsi="Cambria" w:eastAsia="Cambria" w:cs="Times New Roman"/>
          <w:sz w:val="22"/>
          <w:szCs w:val="22"/>
          <w:vertAlign w:val="superscript"/>
        </w:rPr>
        <w:footnoteReference w:id="12"/>
      </w:r>
      <w:r w:rsidRPr="00274702">
        <w:rPr>
          <w:rFonts w:ascii="Cambria" w:hAnsi="Cambria" w:eastAsia="Cambria" w:cs="Times New Roman"/>
          <w:sz w:val="22"/>
          <w:szCs w:val="22"/>
        </w:rPr>
        <w:t xml:space="preserve"> Die public-</w:t>
      </w:r>
      <w:proofErr w:type="spellStart"/>
      <w:r w:rsidRPr="00274702">
        <w:rPr>
          <w:rFonts w:ascii="Cambria" w:hAnsi="Cambria" w:eastAsia="Cambria" w:cs="Times New Roman"/>
          <w:sz w:val="22"/>
          <w:szCs w:val="22"/>
        </w:rPr>
        <w:t>relationsstrategie</w:t>
      </w:r>
      <w:proofErr w:type="spellEnd"/>
      <w:r w:rsidRPr="00274702">
        <w:rPr>
          <w:rFonts w:ascii="Cambria" w:hAnsi="Cambria" w:eastAsia="Cambria" w:cs="Times New Roman"/>
          <w:sz w:val="22"/>
          <w:szCs w:val="22"/>
        </w:rPr>
        <w:t xml:space="preserve"> houdt enkel rekening met een Europees publiek. In communicatie naar Afrika en Latijns-Amerika moet evenwel duidelijk gemaakt worden waarom de versterking van de strategische autonomie van de EU ook belangrijk is voor de landen buiten de EU. </w:t>
      </w:r>
    </w:p>
    <w:p w:rsidRPr="00274702" w:rsidR="00274702" w:rsidP="00274702" w:rsidRDefault="00274702">
      <w:pPr>
        <w:spacing w:line="276" w:lineRule="auto"/>
        <w:rPr>
          <w:rFonts w:ascii="Cambria" w:hAnsi="Cambria" w:eastAsia="Cambria" w:cs="Times New Roman"/>
          <w:color w:val="4F81BD"/>
          <w:sz w:val="22"/>
          <w:szCs w:val="22"/>
        </w:rPr>
      </w:pPr>
    </w:p>
    <w:p w:rsidRPr="00325809" w:rsidR="00274702" w:rsidP="00325809" w:rsidRDefault="00274702">
      <w:pPr>
        <w:pStyle w:val="Tussenkopje"/>
        <w:ind w:left="0"/>
      </w:pPr>
      <w:r w:rsidRPr="00325809">
        <w:t>Instrument 2: Klimaatakkoord van Parijs en overdracht van technologie</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Een kernidee van de ‘New International </w:t>
      </w:r>
      <w:proofErr w:type="spellStart"/>
      <w:r w:rsidRPr="00274702">
        <w:rPr>
          <w:rFonts w:ascii="Cambria" w:hAnsi="Cambria" w:eastAsia="Cambria" w:cs="Times New Roman"/>
          <w:sz w:val="22"/>
          <w:szCs w:val="22"/>
        </w:rPr>
        <w:t>Economic</w:t>
      </w:r>
      <w:proofErr w:type="spellEnd"/>
      <w:r w:rsidRPr="00274702">
        <w:rPr>
          <w:rFonts w:ascii="Cambria" w:hAnsi="Cambria" w:eastAsia="Cambria" w:cs="Times New Roman"/>
          <w:sz w:val="22"/>
          <w:szCs w:val="22"/>
        </w:rPr>
        <w:t xml:space="preserve"> Order’ (NIEO), een beweging opgericht in 1974 door landen die de mondiale economisch structuur wilden hervormen in het voordeel van het zuiden, is steeds de uitwisseling van technologie geweest.</w:t>
      </w:r>
      <w:r w:rsidRPr="00274702">
        <w:rPr>
          <w:rFonts w:ascii="Cambria" w:hAnsi="Cambria" w:eastAsia="Cambria" w:cs="Times New Roman"/>
          <w:sz w:val="22"/>
          <w:szCs w:val="22"/>
          <w:vertAlign w:val="superscript"/>
        </w:rPr>
        <w:footnoteReference w:id="13"/>
      </w:r>
      <w:r w:rsidRPr="00274702">
        <w:rPr>
          <w:rFonts w:ascii="Cambria" w:hAnsi="Cambria" w:eastAsia="Cambria" w:cs="Times New Roman"/>
          <w:sz w:val="22"/>
          <w:szCs w:val="22"/>
        </w:rPr>
        <w:t xml:space="preserve"> Waar dit in de jaren zeventig vooral ging over technologieën om productiecapaciteit te verhogen, gaat het vandaag vooral over hernieuwbare energie in het licht van </w:t>
      </w:r>
      <w:proofErr w:type="spellStart"/>
      <w:r w:rsidRPr="00274702">
        <w:rPr>
          <w:rFonts w:ascii="Cambria" w:hAnsi="Cambria" w:eastAsia="Cambria" w:cs="Times New Roman"/>
          <w:i/>
          <w:iCs/>
          <w:sz w:val="22"/>
          <w:szCs w:val="22"/>
        </w:rPr>
        <w:t>sustainability</w:t>
      </w:r>
      <w:proofErr w:type="spellEnd"/>
      <w:r w:rsidRPr="00274702">
        <w:rPr>
          <w:rFonts w:ascii="Cambria" w:hAnsi="Cambria" w:eastAsia="Cambria" w:cs="Times New Roman"/>
          <w:sz w:val="22"/>
          <w:szCs w:val="22"/>
        </w:rPr>
        <w:t>. De grondstofautonomie van Nederland en de EU kan versterkt worden door landen in Latijns-Amerika en Afrika bij te staan in de ontwikkeling van hernieuwbare energie en op die manier landen in de Global South een aandeel te geven in de groene economie. Er liggen reeds verschillende plannen op tafel:</w:t>
      </w:r>
    </w:p>
    <w:p w:rsidRPr="00274702" w:rsidR="00274702" w:rsidP="00274702" w:rsidRDefault="00274702">
      <w:pPr>
        <w:numPr>
          <w:ilvl w:val="0"/>
          <w:numId w:val="9"/>
        </w:numPr>
        <w:spacing w:line="276" w:lineRule="auto"/>
        <w:contextualSpacing/>
        <w:rPr>
          <w:rFonts w:ascii="Cambria" w:hAnsi="Cambria" w:eastAsia="Cambria" w:cs="Times New Roman"/>
          <w:sz w:val="22"/>
          <w:szCs w:val="22"/>
          <w:lang w:val="en-US"/>
        </w:rPr>
      </w:pPr>
      <w:proofErr w:type="spellStart"/>
      <w:r w:rsidRPr="00274702">
        <w:rPr>
          <w:rFonts w:ascii="Cambria" w:hAnsi="Cambria" w:eastAsia="Cambria" w:cs="Times New Roman"/>
          <w:sz w:val="22"/>
          <w:szCs w:val="22"/>
          <w:lang w:val="en-US"/>
        </w:rPr>
        <w:t>Afrika</w:t>
      </w:r>
      <w:proofErr w:type="spellEnd"/>
      <w:r w:rsidRPr="00274702">
        <w:rPr>
          <w:rFonts w:ascii="Cambria" w:hAnsi="Cambria" w:eastAsia="Cambria" w:cs="Times New Roman"/>
          <w:sz w:val="22"/>
          <w:szCs w:val="22"/>
          <w:lang w:val="en-US"/>
        </w:rPr>
        <w:t xml:space="preserve">: </w:t>
      </w:r>
      <w:r w:rsidRPr="00274702">
        <w:rPr>
          <w:rFonts w:ascii="Cambria" w:hAnsi="Cambria" w:eastAsia="Cambria" w:cs="Times New Roman"/>
          <w:i/>
          <w:iCs/>
          <w:sz w:val="22"/>
          <w:szCs w:val="22"/>
          <w:lang w:val="en-US"/>
        </w:rPr>
        <w:t>Green Growth Strategy of the African Development Bank</w:t>
      </w:r>
      <w:r w:rsidRPr="00274702">
        <w:rPr>
          <w:rFonts w:ascii="Cambria" w:hAnsi="Cambria" w:eastAsia="Cambria" w:cs="Times New Roman"/>
          <w:sz w:val="22"/>
          <w:szCs w:val="22"/>
          <w:lang w:val="en-US"/>
        </w:rPr>
        <w:t xml:space="preserve"> en het </w:t>
      </w:r>
      <w:r w:rsidRPr="00274702">
        <w:rPr>
          <w:rFonts w:ascii="Cambria" w:hAnsi="Cambria" w:eastAsia="Cambria" w:cs="Times New Roman"/>
          <w:i/>
          <w:iCs/>
          <w:sz w:val="22"/>
          <w:szCs w:val="22"/>
          <w:lang w:val="en-US"/>
        </w:rPr>
        <w:t>African Union Green Recovery Action Plan</w:t>
      </w:r>
      <w:r w:rsidRPr="00274702">
        <w:rPr>
          <w:rFonts w:ascii="Cambria" w:hAnsi="Cambria" w:eastAsia="Cambria" w:cs="Times New Roman"/>
          <w:sz w:val="22"/>
          <w:szCs w:val="22"/>
          <w:lang w:val="en-US"/>
        </w:rPr>
        <w:t xml:space="preserve"> (2021-2027)</w:t>
      </w:r>
    </w:p>
    <w:p w:rsidRPr="00274702" w:rsidR="00274702" w:rsidP="00274702" w:rsidRDefault="00274702">
      <w:pPr>
        <w:numPr>
          <w:ilvl w:val="0"/>
          <w:numId w:val="9"/>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Latijns-Amerika: De </w:t>
      </w:r>
      <w:proofErr w:type="spellStart"/>
      <w:r w:rsidRPr="00274702">
        <w:rPr>
          <w:rFonts w:ascii="Cambria" w:hAnsi="Cambria" w:eastAsia="Cambria" w:cs="Times New Roman"/>
          <w:sz w:val="22"/>
          <w:szCs w:val="22"/>
        </w:rPr>
        <w:t>Organisation</w:t>
      </w:r>
      <w:proofErr w:type="spellEnd"/>
      <w:r w:rsidRPr="00274702">
        <w:rPr>
          <w:rFonts w:ascii="Cambria" w:hAnsi="Cambria" w:eastAsia="Cambria" w:cs="Times New Roman"/>
          <w:sz w:val="22"/>
          <w:szCs w:val="22"/>
        </w:rPr>
        <w:t xml:space="preserve"> of American </w:t>
      </w:r>
      <w:proofErr w:type="spellStart"/>
      <w:r w:rsidRPr="00274702">
        <w:rPr>
          <w:rFonts w:ascii="Cambria" w:hAnsi="Cambria" w:eastAsia="Cambria" w:cs="Times New Roman"/>
          <w:sz w:val="22"/>
          <w:szCs w:val="22"/>
        </w:rPr>
        <w:t>States</w:t>
      </w:r>
      <w:proofErr w:type="spellEnd"/>
      <w:r w:rsidRPr="00274702">
        <w:rPr>
          <w:rFonts w:ascii="Cambria" w:hAnsi="Cambria" w:eastAsia="Cambria" w:cs="Times New Roman"/>
          <w:sz w:val="22"/>
          <w:szCs w:val="22"/>
        </w:rPr>
        <w:t xml:space="preserve"> heeft een </w:t>
      </w:r>
      <w:proofErr w:type="spellStart"/>
      <w:r w:rsidRPr="00274702">
        <w:rPr>
          <w:rFonts w:ascii="Cambria" w:hAnsi="Cambria" w:eastAsia="Cambria" w:cs="Times New Roman"/>
          <w:i/>
          <w:iCs/>
          <w:sz w:val="22"/>
          <w:szCs w:val="22"/>
        </w:rPr>
        <w:t>Department</w:t>
      </w:r>
      <w:proofErr w:type="spellEnd"/>
      <w:r w:rsidRPr="00274702">
        <w:rPr>
          <w:rFonts w:ascii="Cambria" w:hAnsi="Cambria" w:eastAsia="Cambria" w:cs="Times New Roman"/>
          <w:i/>
          <w:iCs/>
          <w:sz w:val="22"/>
          <w:szCs w:val="22"/>
        </w:rPr>
        <w:t xml:space="preserve"> of </w:t>
      </w:r>
      <w:proofErr w:type="spellStart"/>
      <w:r w:rsidRPr="00274702">
        <w:rPr>
          <w:rFonts w:ascii="Cambria" w:hAnsi="Cambria" w:eastAsia="Cambria" w:cs="Times New Roman"/>
          <w:i/>
          <w:iCs/>
          <w:sz w:val="22"/>
          <w:szCs w:val="22"/>
        </w:rPr>
        <w:t>Sustainable</w:t>
      </w:r>
      <w:proofErr w:type="spellEnd"/>
      <w:r w:rsidRPr="00274702">
        <w:rPr>
          <w:rFonts w:ascii="Cambria" w:hAnsi="Cambria" w:eastAsia="Cambria" w:cs="Times New Roman"/>
          <w:i/>
          <w:iCs/>
          <w:sz w:val="22"/>
          <w:szCs w:val="22"/>
        </w:rPr>
        <w:t xml:space="preserve"> Development</w:t>
      </w:r>
      <w:r w:rsidRPr="00274702">
        <w:rPr>
          <w:rFonts w:ascii="Cambria" w:hAnsi="Cambria" w:eastAsia="Cambria" w:cs="Times New Roman"/>
          <w:sz w:val="22"/>
          <w:szCs w:val="22"/>
        </w:rPr>
        <w:t xml:space="preserve"> om aan ‘</w:t>
      </w:r>
      <w:proofErr w:type="spellStart"/>
      <w:r w:rsidRPr="00274702">
        <w:rPr>
          <w:rFonts w:ascii="Cambria" w:hAnsi="Cambria" w:eastAsia="Cambria" w:cs="Times New Roman"/>
          <w:sz w:val="22"/>
          <w:szCs w:val="22"/>
        </w:rPr>
        <w:t>greening</w:t>
      </w:r>
      <w:proofErr w:type="spellEnd"/>
      <w:r w:rsidRPr="00274702">
        <w:rPr>
          <w:rFonts w:ascii="Cambria" w:hAnsi="Cambria" w:eastAsia="Cambria" w:cs="Times New Roman"/>
          <w:sz w:val="22"/>
          <w:szCs w:val="22"/>
        </w:rPr>
        <w:t>’ te doen.</w:t>
      </w:r>
      <w:r w:rsidRPr="00274702">
        <w:rPr>
          <w:rFonts w:ascii="Cambria" w:hAnsi="Cambria" w:eastAsia="Cambria" w:cs="Times New Roman"/>
          <w:sz w:val="22"/>
          <w:szCs w:val="22"/>
        </w:rPr>
        <w:br/>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De moderne incarnatie van de NIEO is de BRICS, een coalitie van ontwikkelingseconomieën die bestaat uit Brazilië, Rusland, India, China en Zuid-Afrika. De BRICS zijn er op gebrand om de ambities van de NIEO waar te maken, maar deze landen doen dit vandaag de dag in hoofdzaak door marktwerking, niet door grootschalig staatsingrijpen. Een literatuurreview door</w:t>
      </w:r>
      <w:r w:rsidRPr="00274702">
        <w:rPr>
          <w:rFonts w:ascii="Cambria" w:hAnsi="Cambria" w:eastAsia="Cambria" w:cs="Calibri"/>
          <w:sz w:val="22"/>
          <w:szCs w:val="22"/>
        </w:rPr>
        <w:t xml:space="preserve"> </w:t>
      </w:r>
      <w:r w:rsidRPr="00274702">
        <w:rPr>
          <w:rFonts w:ascii="Cambria" w:hAnsi="Cambria" w:eastAsia="Cambria" w:cs="Times New Roman"/>
          <w:sz w:val="22"/>
          <w:szCs w:val="22"/>
        </w:rPr>
        <w:t xml:space="preserve">Isabella </w:t>
      </w:r>
      <w:proofErr w:type="spellStart"/>
      <w:r w:rsidRPr="00274702">
        <w:rPr>
          <w:rFonts w:ascii="Cambria" w:hAnsi="Cambria" w:eastAsia="Cambria" w:cs="Times New Roman"/>
          <w:sz w:val="22"/>
          <w:szCs w:val="22"/>
        </w:rPr>
        <w:t>Tamine</w:t>
      </w:r>
      <w:proofErr w:type="spellEnd"/>
      <w:r w:rsidRPr="00274702">
        <w:rPr>
          <w:rFonts w:ascii="Cambria" w:hAnsi="Cambria" w:eastAsia="Cambria" w:cs="Times New Roman"/>
          <w:sz w:val="22"/>
          <w:szCs w:val="22"/>
        </w:rPr>
        <w:t xml:space="preserve"> Parra Miranda et al in April 2021 toonde aan dat groene technologie een speerpunt is van alle BRICS-landen behalve Zuid-Afrika.</w:t>
      </w:r>
      <w:r w:rsidRPr="00274702">
        <w:rPr>
          <w:rFonts w:ascii="Cambria" w:hAnsi="Cambria" w:eastAsia="Cambria" w:cs="Times New Roman"/>
          <w:sz w:val="22"/>
          <w:szCs w:val="22"/>
          <w:vertAlign w:val="superscript"/>
        </w:rPr>
        <w:footnoteReference w:id="14"/>
      </w:r>
    </w:p>
    <w:p w:rsidRPr="00274702" w:rsidR="00274702" w:rsidP="00274702" w:rsidRDefault="00274702">
      <w:pPr>
        <w:spacing w:line="276" w:lineRule="auto"/>
        <w:rPr>
          <w:rFonts w:ascii="Cambria" w:hAnsi="Cambria" w:eastAsia="Cambria" w:cs="Times New Roman"/>
          <w:b/>
          <w:bCs/>
          <w:sz w:val="22"/>
          <w:szCs w:val="22"/>
        </w:rPr>
      </w:pPr>
    </w:p>
    <w:p w:rsidRPr="00325809" w:rsidR="00274702" w:rsidP="00325809" w:rsidRDefault="00274702">
      <w:pPr>
        <w:pStyle w:val="Tussenkopje"/>
        <w:ind w:left="0"/>
      </w:pPr>
      <w:r w:rsidRPr="00325809">
        <w:t>Instrument 3: focus op groei, niet ontwikkelingssamenwerking</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Het marktdenken heeft ook wortel geschoten in Afrika en Latijns-Amerika. Sinds de jaren tachtig is veel van de in oorsprong socialistische oriëntatie van staten in deze continenten verdwenen. Bovendien heeft zowel Afrika als Latijns-Amerika een groeiende middenklasse, waardoor veel van deze maatschappijen met dezelfde voorzichtigheid kijken naar China als naar de EU of naar Nederland. Het is daarom belangrijk om landen zoveel mogelijk als partners te benaderen met een gemeenschappelijk probleem en niet als begunstigden van ontwikkelingssamenwerking.</w:t>
      </w:r>
    </w:p>
    <w:p w:rsidRPr="00274702" w:rsidR="00274702" w:rsidP="00274702" w:rsidRDefault="00274702">
      <w:pPr>
        <w:spacing w:line="276" w:lineRule="auto"/>
        <w:rPr>
          <w:rFonts w:ascii="Cambria" w:hAnsi="Cambria" w:eastAsia="Cambria" w:cs="Times New Roman"/>
          <w:sz w:val="22"/>
          <w:szCs w:val="22"/>
        </w:rPr>
      </w:pPr>
    </w:p>
    <w:p w:rsidRPr="00325809" w:rsidR="00274702" w:rsidP="00325809" w:rsidRDefault="00274702">
      <w:pPr>
        <w:pStyle w:val="Tussenkopje"/>
        <w:ind w:left="0"/>
      </w:pPr>
      <w:r w:rsidRPr="00325809">
        <w:t>Instrument 4: regionaal en bilateraal overleg</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De EU beschikt over een </w:t>
      </w:r>
      <w:proofErr w:type="spellStart"/>
      <w:r w:rsidRPr="00274702">
        <w:rPr>
          <w:rFonts w:ascii="Cambria" w:hAnsi="Cambria" w:eastAsia="Cambria" w:cs="Times New Roman"/>
          <w:sz w:val="22"/>
          <w:szCs w:val="22"/>
        </w:rPr>
        <w:t>Africa</w:t>
      </w:r>
      <w:proofErr w:type="spellEnd"/>
      <w:r w:rsidRPr="00274702">
        <w:rPr>
          <w:rFonts w:ascii="Cambria" w:hAnsi="Cambria" w:eastAsia="Cambria" w:cs="Times New Roman"/>
          <w:sz w:val="22"/>
          <w:szCs w:val="22"/>
        </w:rPr>
        <w:t xml:space="preserve">-EU Partnership en een EU </w:t>
      </w:r>
      <w:proofErr w:type="spellStart"/>
      <w:r w:rsidRPr="00274702">
        <w:rPr>
          <w:rFonts w:ascii="Cambria" w:hAnsi="Cambria" w:eastAsia="Cambria" w:cs="Times New Roman"/>
          <w:sz w:val="22"/>
          <w:szCs w:val="22"/>
        </w:rPr>
        <w:t>Delegation</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to</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the</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African</w:t>
      </w:r>
      <w:proofErr w:type="spellEnd"/>
      <w:r w:rsidRPr="00274702">
        <w:rPr>
          <w:rFonts w:ascii="Cambria" w:hAnsi="Cambria" w:eastAsia="Cambria" w:cs="Times New Roman"/>
          <w:sz w:val="22"/>
          <w:szCs w:val="22"/>
        </w:rPr>
        <w:t xml:space="preserve"> Union. De EU heeft de status van waarnemer bij de </w:t>
      </w:r>
      <w:proofErr w:type="spellStart"/>
      <w:r w:rsidRPr="00274702">
        <w:rPr>
          <w:rFonts w:ascii="Cambria" w:hAnsi="Cambria" w:eastAsia="Cambria" w:cs="Times New Roman"/>
          <w:sz w:val="22"/>
          <w:szCs w:val="22"/>
        </w:rPr>
        <w:t>Organisation</w:t>
      </w:r>
      <w:proofErr w:type="spellEnd"/>
      <w:r w:rsidRPr="00274702">
        <w:rPr>
          <w:rFonts w:ascii="Cambria" w:hAnsi="Cambria" w:eastAsia="Cambria" w:cs="Times New Roman"/>
          <w:sz w:val="22"/>
          <w:szCs w:val="22"/>
        </w:rPr>
        <w:t xml:space="preserve"> of American </w:t>
      </w:r>
      <w:proofErr w:type="spellStart"/>
      <w:r w:rsidRPr="00274702">
        <w:rPr>
          <w:rFonts w:ascii="Cambria" w:hAnsi="Cambria" w:eastAsia="Cambria" w:cs="Times New Roman"/>
          <w:sz w:val="22"/>
          <w:szCs w:val="22"/>
        </w:rPr>
        <w:t>States</w:t>
      </w:r>
      <w:proofErr w:type="spellEnd"/>
      <w:r w:rsidRPr="00274702">
        <w:rPr>
          <w:rFonts w:ascii="Cambria" w:hAnsi="Cambria" w:eastAsia="Cambria" w:cs="Times New Roman"/>
          <w:sz w:val="22"/>
          <w:szCs w:val="22"/>
        </w:rPr>
        <w:t xml:space="preserve">. De samenwerking met deze regionale actoren kan een belangrijk vehikel zijn om gedeelde belangen te identificeren. </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Dat is evenwel een uitdaging omdat zowel Latijns-Amerika als Afrika een strategie heeft die poogt maximale winst te halen uit de grondstoffen in hun ondergrond.</w:t>
      </w:r>
    </w:p>
    <w:p w:rsidRPr="00274702" w:rsidR="00274702" w:rsidP="00274702" w:rsidRDefault="00274702">
      <w:pPr>
        <w:numPr>
          <w:ilvl w:val="0"/>
          <w:numId w:val="10"/>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De Afrikaanse Unie heeft op 31 januari 2015 de Agenda 2063 aangenomen. Daarin staat de ‘</w:t>
      </w:r>
      <w:proofErr w:type="spellStart"/>
      <w:r w:rsidRPr="00274702">
        <w:rPr>
          <w:rFonts w:ascii="Cambria" w:hAnsi="Cambria" w:eastAsia="Cambria" w:cs="Times New Roman"/>
          <w:sz w:val="22"/>
          <w:szCs w:val="22"/>
        </w:rPr>
        <w:t>African</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Commodities</w:t>
      </w:r>
      <w:proofErr w:type="spellEnd"/>
      <w:r w:rsidRPr="00274702">
        <w:rPr>
          <w:rFonts w:ascii="Cambria" w:hAnsi="Cambria" w:eastAsia="Cambria" w:cs="Times New Roman"/>
          <w:sz w:val="22"/>
          <w:szCs w:val="22"/>
        </w:rPr>
        <w:t xml:space="preserve"> </w:t>
      </w:r>
      <w:proofErr w:type="spellStart"/>
      <w:r w:rsidRPr="00274702">
        <w:rPr>
          <w:rFonts w:ascii="Cambria" w:hAnsi="Cambria" w:eastAsia="Cambria" w:cs="Times New Roman"/>
          <w:sz w:val="22"/>
          <w:szCs w:val="22"/>
        </w:rPr>
        <w:t>Strategy</w:t>
      </w:r>
      <w:proofErr w:type="spellEnd"/>
      <w:r w:rsidRPr="00274702">
        <w:rPr>
          <w:rFonts w:ascii="Cambria" w:hAnsi="Cambria" w:eastAsia="Cambria" w:cs="Times New Roman"/>
          <w:sz w:val="22"/>
          <w:szCs w:val="22"/>
        </w:rPr>
        <w:t xml:space="preserve">’, waarin er naar manieren gezocht wordt om waarde toe te voegen aan de Afrikaanse grondstoffen omdat Afrika als </w:t>
      </w:r>
      <w:proofErr w:type="spellStart"/>
      <w:r w:rsidRPr="00274702">
        <w:rPr>
          <w:rFonts w:ascii="Cambria" w:hAnsi="Cambria" w:eastAsia="Cambria" w:cs="Times New Roman"/>
          <w:i/>
          <w:iCs/>
          <w:sz w:val="22"/>
          <w:szCs w:val="22"/>
        </w:rPr>
        <w:t>global</w:t>
      </w:r>
      <w:proofErr w:type="spellEnd"/>
      <w:r w:rsidRPr="00274702">
        <w:rPr>
          <w:rFonts w:ascii="Cambria" w:hAnsi="Cambria" w:eastAsia="Cambria" w:cs="Times New Roman"/>
          <w:i/>
          <w:iCs/>
          <w:sz w:val="22"/>
          <w:szCs w:val="22"/>
        </w:rPr>
        <w:t xml:space="preserve"> </w:t>
      </w:r>
      <w:proofErr w:type="spellStart"/>
      <w:r w:rsidRPr="00274702">
        <w:rPr>
          <w:rFonts w:ascii="Cambria" w:hAnsi="Cambria" w:eastAsia="Cambria" w:cs="Times New Roman"/>
          <w:i/>
          <w:iCs/>
          <w:sz w:val="22"/>
          <w:szCs w:val="22"/>
        </w:rPr>
        <w:t>supplier</w:t>
      </w:r>
      <w:proofErr w:type="spellEnd"/>
      <w:r w:rsidRPr="00274702">
        <w:rPr>
          <w:rFonts w:ascii="Cambria" w:hAnsi="Cambria" w:eastAsia="Cambria" w:cs="Times New Roman"/>
          <w:sz w:val="22"/>
          <w:szCs w:val="22"/>
        </w:rPr>
        <w:t xml:space="preserve"> afhankelijk is van de opbrengsten van deze grondstoffen.</w:t>
      </w:r>
      <w:r w:rsidRPr="00274702">
        <w:rPr>
          <w:rFonts w:ascii="Cambria" w:hAnsi="Cambria" w:eastAsia="Cambria" w:cs="Times New Roman"/>
          <w:sz w:val="22"/>
          <w:szCs w:val="22"/>
          <w:vertAlign w:val="superscript"/>
        </w:rPr>
        <w:footnoteReference w:id="15"/>
      </w:r>
    </w:p>
    <w:p w:rsidRPr="00274702" w:rsidR="00274702" w:rsidP="00274702" w:rsidRDefault="00274702">
      <w:pPr>
        <w:numPr>
          <w:ilvl w:val="0"/>
          <w:numId w:val="10"/>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Het charter van de </w:t>
      </w:r>
      <w:proofErr w:type="spellStart"/>
      <w:r w:rsidRPr="00274702">
        <w:rPr>
          <w:rFonts w:ascii="Cambria" w:hAnsi="Cambria" w:eastAsia="Cambria" w:cs="Times New Roman"/>
          <w:sz w:val="22"/>
          <w:szCs w:val="22"/>
        </w:rPr>
        <w:t>Organisation</w:t>
      </w:r>
      <w:proofErr w:type="spellEnd"/>
      <w:r w:rsidRPr="00274702">
        <w:rPr>
          <w:rFonts w:ascii="Cambria" w:hAnsi="Cambria" w:eastAsia="Cambria" w:cs="Times New Roman"/>
          <w:sz w:val="22"/>
          <w:szCs w:val="22"/>
        </w:rPr>
        <w:t xml:space="preserve"> of American </w:t>
      </w:r>
      <w:proofErr w:type="spellStart"/>
      <w:r w:rsidRPr="00274702">
        <w:rPr>
          <w:rFonts w:ascii="Cambria" w:hAnsi="Cambria" w:eastAsia="Cambria" w:cs="Times New Roman"/>
          <w:sz w:val="22"/>
          <w:szCs w:val="22"/>
        </w:rPr>
        <w:t>States</w:t>
      </w:r>
      <w:proofErr w:type="spellEnd"/>
      <w:r w:rsidRPr="00274702">
        <w:rPr>
          <w:rFonts w:ascii="Cambria" w:hAnsi="Cambria" w:eastAsia="Cambria" w:cs="Times New Roman"/>
          <w:sz w:val="22"/>
          <w:szCs w:val="22"/>
        </w:rPr>
        <w:t xml:space="preserve"> in 1967 stelt eveneens expliciet de waarde van grondstoffen te willen verbeteren.</w:t>
      </w:r>
      <w:r w:rsidRPr="00274702">
        <w:rPr>
          <w:rFonts w:ascii="Cambria" w:hAnsi="Cambria" w:eastAsia="Cambria" w:cs="Times New Roman"/>
          <w:sz w:val="22"/>
          <w:szCs w:val="22"/>
          <w:vertAlign w:val="superscript"/>
        </w:rPr>
        <w:footnoteReference w:id="16"/>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Samenwerking met deze regionale organisaties kan daarom een belangrijke manier zijn om gezamenlijke doelstellingen in te werken.</w:t>
      </w:r>
    </w:p>
    <w:p w:rsidRPr="00274702" w:rsidR="00274702" w:rsidP="00274702" w:rsidRDefault="00274702">
      <w:pPr>
        <w:spacing w:line="276" w:lineRule="auto"/>
        <w:rPr>
          <w:rFonts w:ascii="Cambria" w:hAnsi="Cambria" w:eastAsia="Cambria" w:cs="Times New Roman"/>
          <w:color w:val="4F81BD"/>
          <w:sz w:val="22"/>
          <w:szCs w:val="22"/>
        </w:rPr>
      </w:pPr>
    </w:p>
    <w:p w:rsidRPr="00325809" w:rsidR="00274702" w:rsidP="00325809" w:rsidRDefault="00274702">
      <w:pPr>
        <w:pStyle w:val="Tussenkopje"/>
        <w:ind w:left="0"/>
      </w:pPr>
      <w:r w:rsidRPr="00325809">
        <w:t>Conclusie &amp; aanbeveling: van strategische autonomie naar strategische interdependentie</w:t>
      </w:r>
    </w:p>
    <w:p w:rsidRPr="00274702" w:rsidR="00274702" w:rsidP="00274702" w:rsidRDefault="00274702">
      <w:pPr>
        <w:spacing w:line="276" w:lineRule="auto"/>
        <w:rPr>
          <w:rFonts w:ascii="Cambria" w:hAnsi="Cambria" w:eastAsia="Cambria" w:cs="Times New Roman"/>
          <w:sz w:val="22"/>
          <w:szCs w:val="22"/>
        </w:rPr>
      </w:pPr>
    </w:p>
    <w:p w:rsidRPr="00274702" w:rsidR="00274702" w:rsidP="00274702" w:rsidRDefault="00274702">
      <w:pPr>
        <w:numPr>
          <w:ilvl w:val="0"/>
          <w:numId w:val="11"/>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 xml:space="preserve">Buitenlands beleid dat zich richt op de verwerving van grondstoffen in Afrika en Latijns-Amerika om op die manier de open strategische autonomie te versterken moet rekening houden met het wereldbeeld van de leiders aan het roer van verschillende landen, een wereldbeeld dat is gevormd door ideeën van fundamentele economische ongelijkheid. </w:t>
      </w:r>
    </w:p>
    <w:p w:rsidRPr="00274702" w:rsidR="00274702" w:rsidP="00274702" w:rsidRDefault="00274702">
      <w:pPr>
        <w:numPr>
          <w:ilvl w:val="0"/>
          <w:numId w:val="11"/>
        </w:numPr>
        <w:spacing w:line="276" w:lineRule="auto"/>
        <w:contextualSpacing/>
        <w:rPr>
          <w:rFonts w:ascii="Cambria" w:hAnsi="Cambria" w:eastAsia="Cambria" w:cs="Times New Roman"/>
          <w:sz w:val="22"/>
          <w:szCs w:val="22"/>
        </w:rPr>
      </w:pPr>
      <w:r w:rsidRPr="00274702">
        <w:rPr>
          <w:rFonts w:ascii="Cambria" w:hAnsi="Cambria" w:eastAsia="Cambria" w:cs="Times New Roman"/>
          <w:sz w:val="22"/>
          <w:szCs w:val="22"/>
        </w:rPr>
        <w:t>Het is daarom belangrijk om het buitenlandse beleid zo te organiseren dat er een strategische interdependentie – of op zijn minst de indruk daarvan – ontstaat, waarbij staten in de Global South mee kunnen genieten van een autonoom Europa en Nederland.</w:t>
      </w:r>
    </w:p>
    <w:p w:rsidRPr="00274702" w:rsidR="00274702" w:rsidP="00274702" w:rsidRDefault="00274702">
      <w:pPr>
        <w:spacing w:line="276" w:lineRule="auto"/>
        <w:rPr>
          <w:rFonts w:ascii="Cambria" w:hAnsi="Cambria" w:eastAsia="Times New Roman" w:cs="Times New Roman"/>
          <w:color w:val="000000"/>
          <w:sz w:val="22"/>
          <w:szCs w:val="22"/>
          <w:lang w:eastAsia="nl-NL"/>
        </w:rPr>
      </w:pPr>
    </w:p>
    <w:p w:rsidRPr="00325809" w:rsidR="00274702" w:rsidP="00325809" w:rsidRDefault="00274702">
      <w:pPr>
        <w:pStyle w:val="Tussenkopje"/>
        <w:ind w:left="0"/>
      </w:pPr>
      <w:r w:rsidRPr="00325809">
        <w:lastRenderedPageBreak/>
        <w:t>Bronnen</w:t>
      </w:r>
    </w:p>
    <w:p w:rsidRPr="00274702" w:rsidR="00274702" w:rsidP="00274702" w:rsidRDefault="00274702">
      <w:pPr>
        <w:spacing w:line="276" w:lineRule="auto"/>
        <w:rPr>
          <w:rFonts w:ascii="Cambria" w:hAnsi="Cambria" w:eastAsia="Cambria" w:cs="Times New Roman"/>
          <w:b/>
          <w:bCs/>
          <w:sz w:val="22"/>
          <w:szCs w:val="22"/>
          <w:lang w:val="en-US"/>
        </w:rPr>
      </w:pP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‘Action Plan on Critical Raw Materials’, 3 September 2020 </w:t>
      </w:r>
    </w:p>
    <w:p w:rsidRPr="00274702" w:rsidR="00274702" w:rsidP="00274702" w:rsidRDefault="00274702">
      <w:pPr>
        <w:spacing w:line="276" w:lineRule="auto"/>
        <w:ind w:firstLine="708"/>
        <w:rPr>
          <w:rFonts w:ascii="Cambria" w:hAnsi="Cambria" w:eastAsia="Cambria" w:cs="Times New Roman"/>
          <w:sz w:val="22"/>
          <w:szCs w:val="22"/>
          <w:lang w:val="en-US"/>
        </w:rPr>
      </w:pPr>
      <w:r w:rsidRPr="00274702">
        <w:rPr>
          <w:rFonts w:ascii="Cambria" w:hAnsi="Cambria" w:eastAsia="Cambria" w:cs="Times New Roman"/>
          <w:sz w:val="22"/>
          <w:szCs w:val="22"/>
          <w:lang w:val="en-US"/>
        </w:rPr>
        <w:t>(</w:t>
      </w:r>
      <w:hyperlink w:history="1" r:id="rId10">
        <w:r w:rsidRPr="00274702">
          <w:rPr>
            <w:rFonts w:ascii="Cambria" w:hAnsi="Cambria" w:eastAsia="Cambria" w:cs="Times New Roman"/>
            <w:sz w:val="22"/>
            <w:szCs w:val="22"/>
            <w:lang w:val="en-US"/>
          </w:rPr>
          <w:t>https://emis.vito.be/sites/emis/files/articles/91/2020/Raw%20materials%20factsheet.pdf</w:t>
        </w:r>
      </w:hyperlink>
      <w:r w:rsidRPr="00274702">
        <w:rPr>
          <w:rFonts w:ascii="Cambria" w:hAnsi="Cambria" w:eastAsia="Cambria" w:cs="Times New Roman"/>
          <w:sz w:val="22"/>
          <w:szCs w:val="22"/>
          <w:lang w:val="en-US"/>
        </w:rPr>
        <w:t>).</w:t>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Augusta </w:t>
      </w:r>
      <w:proofErr w:type="spellStart"/>
      <w:r w:rsidRPr="00274702">
        <w:rPr>
          <w:rFonts w:ascii="Cambria" w:hAnsi="Cambria" w:eastAsia="Cambria" w:cs="Times New Roman"/>
          <w:sz w:val="22"/>
          <w:szCs w:val="22"/>
          <w:lang w:val="en-US"/>
        </w:rPr>
        <w:t>Saraiva</w:t>
      </w:r>
      <w:proofErr w:type="spellEnd"/>
      <w:r w:rsidRPr="00274702">
        <w:rPr>
          <w:rFonts w:ascii="Cambria" w:hAnsi="Cambria" w:eastAsia="Cambria" w:cs="Times New Roman"/>
          <w:sz w:val="22"/>
          <w:szCs w:val="22"/>
          <w:lang w:val="en-US"/>
        </w:rPr>
        <w:t xml:space="preserve">, ‘Toppling Statues Isn’t Enough in Latin America’, 10 </w:t>
      </w:r>
      <w:proofErr w:type="spellStart"/>
      <w:r w:rsidRPr="00274702">
        <w:rPr>
          <w:rFonts w:ascii="Cambria" w:hAnsi="Cambria" w:eastAsia="Cambria" w:cs="Times New Roman"/>
          <w:sz w:val="22"/>
          <w:szCs w:val="22"/>
          <w:lang w:val="en-US"/>
        </w:rPr>
        <w:t>augustus</w:t>
      </w:r>
      <w:proofErr w:type="spellEnd"/>
      <w:r w:rsidRPr="00274702">
        <w:rPr>
          <w:rFonts w:ascii="Cambria" w:hAnsi="Cambria" w:eastAsia="Cambria" w:cs="Times New Roman"/>
          <w:sz w:val="22"/>
          <w:szCs w:val="22"/>
          <w:lang w:val="en-US"/>
        </w:rPr>
        <w:t xml:space="preserve"> 2020 </w:t>
      </w:r>
    </w:p>
    <w:p w:rsidRPr="00274702" w:rsidR="00274702" w:rsidP="00274702" w:rsidRDefault="00274702">
      <w:pPr>
        <w:spacing w:line="276" w:lineRule="auto"/>
        <w:ind w:left="708"/>
        <w:rPr>
          <w:rFonts w:ascii="Cambria" w:hAnsi="Cambria" w:eastAsia="Cambria" w:cs="Times New Roman"/>
          <w:sz w:val="22"/>
          <w:szCs w:val="22"/>
          <w:lang w:val="en-US"/>
        </w:rPr>
      </w:pPr>
      <w:r w:rsidRPr="00274702">
        <w:rPr>
          <w:rFonts w:ascii="Cambria" w:hAnsi="Cambria" w:eastAsia="Cambria" w:cs="Times New Roman"/>
          <w:sz w:val="22"/>
          <w:szCs w:val="22"/>
          <w:lang w:val="en-US"/>
        </w:rPr>
        <w:t>(</w:t>
      </w:r>
      <w:hyperlink w:history="1" r:id="rId11">
        <w:r w:rsidRPr="00274702">
          <w:rPr>
            <w:rFonts w:ascii="Cambria" w:hAnsi="Cambria" w:eastAsia="Cambria" w:cs="Times New Roman"/>
            <w:sz w:val="22"/>
            <w:szCs w:val="22"/>
            <w:lang w:val="en-US"/>
          </w:rPr>
          <w:t>https://foreignpolicy.com/2020/08/10/latin-america-protest-colonial-statues-monuments-indigenous-rights/</w:t>
        </w:r>
      </w:hyperlink>
      <w:r w:rsidRPr="00274702">
        <w:rPr>
          <w:rFonts w:ascii="Cambria" w:hAnsi="Cambria" w:eastAsia="Cambria" w:cs="Times New Roman"/>
          <w:sz w:val="22"/>
          <w:szCs w:val="22"/>
          <w:lang w:val="en-US"/>
        </w:rPr>
        <w:t>).</w:t>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Charles Dunst, ‘China Is OK With Interfering in Guinea’s Internal Affairs’, 8 September 2021 </w:t>
      </w:r>
    </w:p>
    <w:p w:rsidRPr="00274702" w:rsidR="00274702" w:rsidP="00274702" w:rsidRDefault="00274702">
      <w:pPr>
        <w:spacing w:line="276" w:lineRule="auto"/>
        <w:ind w:firstLine="708"/>
        <w:rPr>
          <w:rFonts w:ascii="Cambria" w:hAnsi="Cambria" w:eastAsia="Cambria" w:cs="Times New Roman"/>
          <w:sz w:val="22"/>
          <w:szCs w:val="22"/>
          <w:lang w:val="en-US"/>
        </w:rPr>
      </w:pPr>
      <w:r w:rsidRPr="00274702">
        <w:rPr>
          <w:rFonts w:ascii="Cambria" w:hAnsi="Cambria" w:eastAsia="Cambria" w:cs="Times New Roman"/>
          <w:sz w:val="22"/>
          <w:szCs w:val="22"/>
          <w:lang w:val="en-US"/>
        </w:rPr>
        <w:t>(</w:t>
      </w:r>
      <w:hyperlink w:history="1" r:id="rId12">
        <w:r w:rsidRPr="00274702">
          <w:rPr>
            <w:rFonts w:ascii="Cambria" w:hAnsi="Cambria" w:eastAsia="Cambria" w:cs="Times New Roman"/>
            <w:sz w:val="22"/>
            <w:szCs w:val="22"/>
            <w:lang w:val="en-US"/>
          </w:rPr>
          <w:t>https://foreignpolicy.com/2021/09/08/china-guinea-interference-relations-alpha-conde-xi-jinping/</w:t>
        </w:r>
      </w:hyperlink>
      <w:r w:rsidRPr="00274702">
        <w:rPr>
          <w:rFonts w:ascii="Cambria" w:hAnsi="Cambria" w:eastAsia="Cambria" w:cs="Times New Roman"/>
          <w:sz w:val="22"/>
          <w:szCs w:val="22"/>
          <w:lang w:val="en-US"/>
        </w:rPr>
        <w:t>).</w:t>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Chloe Taylor, ‘Brazil’s </w:t>
      </w:r>
      <w:proofErr w:type="spellStart"/>
      <w:r w:rsidRPr="00274702">
        <w:rPr>
          <w:rFonts w:ascii="Cambria" w:hAnsi="Cambria" w:eastAsia="Cambria" w:cs="Times New Roman"/>
          <w:sz w:val="22"/>
          <w:szCs w:val="22"/>
          <w:lang w:val="en-US"/>
        </w:rPr>
        <w:t>Bolsonaro</w:t>
      </w:r>
      <w:proofErr w:type="spellEnd"/>
      <w:r w:rsidRPr="00274702">
        <w:rPr>
          <w:rFonts w:ascii="Cambria" w:hAnsi="Cambria" w:eastAsia="Cambria" w:cs="Times New Roman"/>
          <w:sz w:val="22"/>
          <w:szCs w:val="22"/>
          <w:lang w:val="en-US"/>
        </w:rPr>
        <w:t xml:space="preserve"> accuses French president of ‘colonialist mindset’ after calls for action on Amazon fires’, </w:t>
      </w:r>
    </w:p>
    <w:p w:rsidRPr="00274702" w:rsidR="00274702" w:rsidP="00274702" w:rsidRDefault="00274702">
      <w:pPr>
        <w:spacing w:line="276" w:lineRule="auto"/>
        <w:ind w:left="708"/>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23 </w:t>
      </w:r>
      <w:proofErr w:type="spellStart"/>
      <w:r w:rsidRPr="00274702">
        <w:rPr>
          <w:rFonts w:ascii="Cambria" w:hAnsi="Cambria" w:eastAsia="Cambria" w:cs="Times New Roman"/>
          <w:sz w:val="22"/>
          <w:szCs w:val="22"/>
          <w:lang w:val="en-US"/>
        </w:rPr>
        <w:t>augustus</w:t>
      </w:r>
      <w:proofErr w:type="spellEnd"/>
      <w:r w:rsidRPr="00274702">
        <w:rPr>
          <w:rFonts w:ascii="Cambria" w:hAnsi="Cambria" w:eastAsia="Cambria" w:cs="Times New Roman"/>
          <w:sz w:val="22"/>
          <w:szCs w:val="22"/>
          <w:lang w:val="en-US"/>
        </w:rPr>
        <w:t xml:space="preserve"> 2019 (</w:t>
      </w:r>
      <w:hyperlink w:history="1" r:id="rId13">
        <w:r w:rsidRPr="00274702">
          <w:rPr>
            <w:rFonts w:ascii="Cambria" w:hAnsi="Cambria" w:eastAsia="Cambria" w:cs="Times New Roman"/>
            <w:sz w:val="22"/>
            <w:szCs w:val="22"/>
            <w:lang w:val="en-US"/>
          </w:rPr>
          <w:t>https://www.cnbc.com/2019/08/23/brazils-bolsonaro-hits-back-at-frances-macron-over-amazon-fires.html</w:t>
        </w:r>
      </w:hyperlink>
      <w:r w:rsidRPr="00274702">
        <w:rPr>
          <w:rFonts w:ascii="Cambria" w:hAnsi="Cambria" w:eastAsia="Cambria" w:cs="Times New Roman"/>
          <w:sz w:val="22"/>
          <w:szCs w:val="22"/>
          <w:lang w:val="en-US"/>
        </w:rPr>
        <w:t>)</w:t>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lang w:val="en-US"/>
        </w:rPr>
        <w:t>‘European Raw Materials Alliance’, 2020 (</w:t>
      </w:r>
      <w:hyperlink w:history="1" r:id="rId14">
        <w:r w:rsidRPr="00274702">
          <w:rPr>
            <w:rFonts w:ascii="Cambria" w:hAnsi="Cambria" w:eastAsia="Cambria" w:cs="Times New Roman"/>
            <w:sz w:val="22"/>
            <w:szCs w:val="22"/>
            <w:lang w:val="en-US"/>
          </w:rPr>
          <w:t>https://erma.eu/about-us/</w:t>
        </w:r>
      </w:hyperlink>
      <w:r w:rsidRPr="00274702">
        <w:rPr>
          <w:rFonts w:ascii="Cambria" w:hAnsi="Cambria" w:eastAsia="Cambria" w:cs="Times New Roman"/>
          <w:sz w:val="22"/>
          <w:szCs w:val="22"/>
          <w:lang w:val="en-US"/>
        </w:rPr>
        <w:t>).</w:t>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‘Charter of the </w:t>
      </w:r>
      <w:proofErr w:type="spellStart"/>
      <w:r w:rsidRPr="00274702">
        <w:rPr>
          <w:rFonts w:ascii="Cambria" w:hAnsi="Cambria" w:eastAsia="Cambria" w:cs="Times New Roman"/>
          <w:sz w:val="22"/>
          <w:szCs w:val="22"/>
          <w:lang w:val="en-US"/>
        </w:rPr>
        <w:t>Organisation</w:t>
      </w:r>
      <w:proofErr w:type="spellEnd"/>
      <w:r w:rsidRPr="00274702">
        <w:rPr>
          <w:rFonts w:ascii="Cambria" w:hAnsi="Cambria" w:eastAsia="Cambria" w:cs="Times New Roman"/>
          <w:sz w:val="22"/>
          <w:szCs w:val="22"/>
          <w:lang w:val="en-US"/>
        </w:rPr>
        <w:t xml:space="preserve"> of American States (A-41)’ (http://www.oas.org/en/sla/dil/inter_ </w:t>
      </w:r>
      <w:proofErr w:type="spellStart"/>
      <w:r w:rsidRPr="00274702">
        <w:rPr>
          <w:rFonts w:ascii="Cambria" w:hAnsi="Cambria" w:eastAsia="Cambria" w:cs="Times New Roman"/>
          <w:sz w:val="22"/>
          <w:szCs w:val="22"/>
          <w:lang w:val="en-US"/>
        </w:rPr>
        <w:t>american_treaties_A</w:t>
      </w:r>
      <w:proofErr w:type="spellEnd"/>
      <w:r w:rsidRPr="00274702">
        <w:rPr>
          <w:rFonts w:ascii="Cambria" w:hAnsi="Cambria" w:eastAsia="Cambria" w:cs="Times New Roman"/>
          <w:sz w:val="22"/>
          <w:szCs w:val="22"/>
          <w:lang w:val="en-US"/>
        </w:rPr>
        <w:t>-</w:t>
      </w:r>
    </w:p>
    <w:p w:rsidRPr="00274702" w:rsidR="00274702" w:rsidP="00274702" w:rsidRDefault="00274702">
      <w:pPr>
        <w:spacing w:line="276" w:lineRule="auto"/>
        <w:ind w:firstLine="708"/>
        <w:rPr>
          <w:rFonts w:ascii="Cambria" w:hAnsi="Cambria" w:eastAsia="Cambria" w:cs="Times New Roman"/>
          <w:sz w:val="22"/>
          <w:szCs w:val="22"/>
        </w:rPr>
      </w:pPr>
      <w:r w:rsidRPr="00274702">
        <w:rPr>
          <w:rFonts w:ascii="Cambria" w:hAnsi="Cambria" w:eastAsia="Cambria" w:cs="Times New Roman"/>
          <w:sz w:val="22"/>
          <w:szCs w:val="22"/>
        </w:rPr>
        <w:t>41_charter_OAS.asp).</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‘Commissie zet koers uit voor open, duurzaam en assertief EU-handelsbeleid’, 18 februari 2021 </w:t>
      </w:r>
    </w:p>
    <w:p w:rsidRPr="00274702" w:rsidR="00274702" w:rsidP="00274702" w:rsidRDefault="00274702">
      <w:pPr>
        <w:spacing w:line="276" w:lineRule="auto"/>
        <w:ind w:firstLine="708"/>
        <w:rPr>
          <w:rFonts w:ascii="Cambria" w:hAnsi="Cambria" w:eastAsia="Cambria" w:cs="Times New Roman"/>
          <w:sz w:val="22"/>
          <w:szCs w:val="22"/>
        </w:rPr>
      </w:pPr>
      <w:r w:rsidRPr="00274702">
        <w:rPr>
          <w:rFonts w:ascii="Cambria" w:hAnsi="Cambria" w:eastAsia="Cambria" w:cs="Times New Roman"/>
          <w:sz w:val="22"/>
          <w:szCs w:val="22"/>
        </w:rPr>
        <w:t>(</w:t>
      </w:r>
      <w:hyperlink w:history="1" r:id="rId15">
        <w:r w:rsidRPr="00274702">
          <w:rPr>
            <w:rFonts w:ascii="Cambria" w:hAnsi="Cambria" w:eastAsia="Cambria" w:cs="Times New Roman"/>
            <w:sz w:val="22"/>
            <w:szCs w:val="22"/>
          </w:rPr>
          <w:t>https://ec.europa.eu/commission/presscorner/detail/nl/ip_21_644</w:t>
        </w:r>
      </w:hyperlink>
      <w:r w:rsidRPr="00274702">
        <w:rPr>
          <w:rFonts w:ascii="Cambria" w:hAnsi="Cambria" w:eastAsia="Cambria" w:cs="Times New Roman"/>
          <w:sz w:val="22"/>
          <w:szCs w:val="22"/>
        </w:rPr>
        <w:t>).</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lang w:val="en-US"/>
        </w:rPr>
        <w:t xml:space="preserve">Gilman, Nils. “The New International Economic Order: A Reintroduction.” </w:t>
      </w:r>
      <w:proofErr w:type="spellStart"/>
      <w:r w:rsidRPr="00274702">
        <w:rPr>
          <w:rFonts w:ascii="Cambria" w:hAnsi="Cambria" w:eastAsia="Cambria" w:cs="Times New Roman"/>
          <w:sz w:val="22"/>
          <w:szCs w:val="22"/>
        </w:rPr>
        <w:t>Humanity</w:t>
      </w:r>
      <w:proofErr w:type="spellEnd"/>
      <w:r w:rsidRPr="00274702">
        <w:rPr>
          <w:rFonts w:ascii="Cambria" w:hAnsi="Cambria" w:eastAsia="Cambria" w:cs="Times New Roman"/>
          <w:sz w:val="22"/>
          <w:szCs w:val="22"/>
        </w:rPr>
        <w:t xml:space="preserve"> 6, no. 1 (2015): 1–16.</w:t>
      </w:r>
    </w:p>
    <w:p w:rsidRPr="00274702" w:rsidR="00274702" w:rsidP="00274702" w:rsidRDefault="00274702">
      <w:pPr>
        <w:spacing w:line="276" w:lineRule="auto"/>
        <w:rPr>
          <w:rFonts w:ascii="Cambria" w:hAnsi="Cambria" w:eastAsia="Cambria" w:cs="Times New Roman"/>
          <w:sz w:val="22"/>
          <w:szCs w:val="22"/>
        </w:rPr>
      </w:pPr>
      <w:r w:rsidRPr="00274702">
        <w:rPr>
          <w:rFonts w:ascii="Cambria" w:hAnsi="Cambria" w:eastAsia="Cambria" w:cs="Times New Roman"/>
          <w:sz w:val="22"/>
          <w:szCs w:val="22"/>
        </w:rPr>
        <w:t xml:space="preserve">‘Herstelplan: meer strategische autonomie voor Europa – Toespraak van voorzitter Charles Michel op het Brussels </w:t>
      </w:r>
    </w:p>
    <w:p w:rsidRPr="00274702" w:rsidR="00274702" w:rsidP="00274702" w:rsidRDefault="00274702">
      <w:pPr>
        <w:spacing w:line="276" w:lineRule="auto"/>
        <w:ind w:left="708"/>
        <w:rPr>
          <w:rFonts w:ascii="Cambria" w:hAnsi="Cambria" w:eastAsia="Cambria" w:cs="Times New Roman"/>
          <w:sz w:val="22"/>
          <w:szCs w:val="22"/>
          <w:lang w:val="en-US"/>
        </w:rPr>
      </w:pPr>
      <w:r w:rsidRPr="00274702">
        <w:rPr>
          <w:rFonts w:ascii="Cambria" w:hAnsi="Cambria" w:eastAsia="Cambria" w:cs="Times New Roman"/>
          <w:sz w:val="22"/>
          <w:szCs w:val="22"/>
          <w:lang w:val="en-US"/>
        </w:rPr>
        <w:t>Economic Forum’, 8 September 2020 (</w:t>
      </w:r>
      <w:hyperlink w:history="1" r:id="rId16">
        <w:r w:rsidRPr="00274702">
          <w:rPr>
            <w:rFonts w:ascii="Cambria" w:hAnsi="Cambria" w:eastAsia="Cambria" w:cs="Times New Roman"/>
            <w:sz w:val="22"/>
            <w:szCs w:val="22"/>
            <w:lang w:val="en-US"/>
          </w:rPr>
          <w:t>https://www.consilium.europa.eu/nl/press/press-</w:t>
        </w:r>
      </w:hyperlink>
      <w:r w:rsidRPr="00274702">
        <w:rPr>
          <w:rFonts w:ascii="Cambria" w:hAnsi="Cambria" w:eastAsia="Cambria" w:cs="Times New Roman"/>
          <w:sz w:val="22"/>
          <w:szCs w:val="22"/>
          <w:lang w:val="en-US"/>
        </w:rPr>
        <w:t>releases/2020/09/08/recovery-plan-powering-europe-s-strategic-autonomy-speech-by-president-charles-michel-at-the-brussels-economic-forum/).</w:t>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rPr>
        <w:fldChar w:fldCharType="begin"/>
      </w:r>
      <w:r w:rsidRPr="00274702">
        <w:rPr>
          <w:rFonts w:ascii="Cambria" w:hAnsi="Cambria" w:eastAsia="Cambria" w:cs="Times New Roman"/>
          <w:sz w:val="22"/>
          <w:szCs w:val="22"/>
        </w:rPr>
        <w:instrText xml:space="preserve"> ADDIN ZOTERO_ITEM CSL_CITATION {"citationID":"Quuj2hBg","properties":{"formattedCitation":"Isabella Tamine Parra Miranda et al., \\uc0\\u8220{}A Review on Green Technology Practices at BRICS Countries: Brazil, Russia, India, China, and South Africa,\\uc0\\u8221{} {\\i{}SAGE Open} 11, no. 2 (April 1, 2021): 21582440211013780, https://doi.org/10.1177/21582440211013780.","plainCitation":"Isabella Tamine Parra Miranda et al., “A Review on Green Technology Practices at BRICS Countries: Brazil, Russia, India, China, and South Africa,” SAGE Open 11, no. 2 (April 1, 2021): 21582440211013780, https://doi.org/10.1177/21582440211013780.","noteIndex":12},"citationItems":[{"id":6472,"uris":["http://zotero.org/users/350098/items/86B8ZH75"],"uri":["http://zotero.org/users/350098/items/86B8ZH75"],"itemData":{"id":6472,"type":"article-journal","abstract":"The objective of this study is to identify the main Green Technology practices carried out in the countries Brazil, Russia, India, China, and South Africa (BRICS), through a systematic review without temporal delimitation. BRICS countries were chosen due to the high potential for impact on the environment, as well as the possibility of increasing the theoretical subsidy in discussions related to sustainable practices in these countries. The Methodi Ordinatio methodology was used to select and map the portfolio of relevant articles in the area, which allowed the identification of the main Green Technology practices used in the BRICS countries. The final portfolio was composed of 170 studies. The main Green Technology practices used in the BRICS are related to products, processes, and raw materials; a sustainable agriculture; water treatment and retention; waste management; green energy and energy reduction; carbon and biogas reduction; green buildings; and sustainability </w:instrText>
      </w:r>
      <w:r w:rsidRPr="00274702">
        <w:rPr>
          <w:rFonts w:ascii="Cambria" w:hAnsi="Cambria" w:eastAsia="Cambria" w:cs="Times New Roman"/>
          <w:sz w:val="22"/>
          <w:szCs w:val="22"/>
          <w:lang w:val="en-US"/>
        </w:rPr>
        <w:instrText xml:space="preserve">and ecocities policies. A greater number of researches on Green Technology and its practices took place in the countries of China and India, which can be explained due to its more sustainable development, greater number of sustainable actions, and growing interest by the country’s local academy. Brazil, Russia, and South Africa did not excel in Green Technology practices. The study provided an overview of the practices used in these countries and that can contribute to guidance for companies that are concerned with sustainability. It is worth mentioning that the political interest in this topic was identified, because there are political actions that encourage Green Technology practices.","container-title":"SAGE Open","DOI":"10.1177/21582440211013780","ISSN":"2158-2440","issue":"2","journalAbbreviation":"SAGE Open","language":"en","note":"publisher: SAGE Publications","page":"21582440211013780","source":"SAGE Journals","title":"A Review on Green Technology Practices at BRICS Countries: Brazil, Russia, India, China, and South Africa","title-short":"A Review on Green Technology Practices at BRICS Countries","volume":"11","author":[{"family":"Miranda","given":"Isabella Tamine Parra"},{"family":"Moletta","given":"Juliana"},{"family":"Pedroso","given":"Bruno"},{"family":"Pilatti","given":"Luiz Alberto"},{"family":"Picinin","given":"Claudia Tania"}],"issued":{"date-parts":[["2021",4,1]]}}}],"schema":"https://github.com/citation-style-language/schema/raw/master/csl-citation.json"} </w:instrText>
      </w:r>
      <w:r w:rsidRPr="00274702">
        <w:rPr>
          <w:rFonts w:ascii="Cambria" w:hAnsi="Cambria" w:eastAsia="Cambria" w:cs="Times New Roman"/>
          <w:sz w:val="22"/>
          <w:szCs w:val="22"/>
        </w:rPr>
        <w:fldChar w:fldCharType="separate"/>
      </w:r>
      <w:r w:rsidRPr="00274702">
        <w:rPr>
          <w:rFonts w:ascii="Cambria" w:hAnsi="Cambria" w:eastAsia="Cambria" w:cs="Times New Roman"/>
          <w:sz w:val="22"/>
          <w:szCs w:val="22"/>
          <w:lang w:val="en-US"/>
        </w:rPr>
        <w:t xml:space="preserve">Isabella Tamine Parra Miranda et al., “A Review on Green Technology Practices at BRICS Countries: Brazil, Russia, India, </w:t>
      </w:r>
    </w:p>
    <w:p w:rsidRPr="00274702" w:rsidR="00274702" w:rsidP="00274702" w:rsidRDefault="00274702">
      <w:pPr>
        <w:spacing w:line="276" w:lineRule="auto"/>
        <w:ind w:left="708"/>
        <w:rPr>
          <w:rFonts w:ascii="Cambria" w:hAnsi="Cambria" w:eastAsia="Cambria" w:cs="Times New Roman"/>
          <w:sz w:val="22"/>
          <w:szCs w:val="22"/>
          <w:lang w:val="en-US"/>
        </w:rPr>
      </w:pPr>
      <w:r w:rsidRPr="00274702">
        <w:rPr>
          <w:rFonts w:ascii="Cambria" w:hAnsi="Cambria" w:eastAsia="Cambria" w:cs="Times New Roman"/>
          <w:sz w:val="22"/>
          <w:szCs w:val="22"/>
          <w:lang w:val="en-US"/>
        </w:rPr>
        <w:t>China, and South Africa,” SAGE Open 11, no. 2 (April 1, 2021): 21582440211013780, https://doi.org/10.1177/21582440211013780.</w:t>
      </w:r>
      <w:r w:rsidRPr="00274702">
        <w:rPr>
          <w:rFonts w:ascii="Cambria" w:hAnsi="Cambria" w:eastAsia="Cambria" w:cs="Times New Roman"/>
          <w:sz w:val="22"/>
          <w:szCs w:val="22"/>
        </w:rPr>
        <w:fldChar w:fldCharType="end"/>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James Hamill, ‘The reality of South Africa’s foreign policy under </w:t>
      </w:r>
      <w:proofErr w:type="spellStart"/>
      <w:r w:rsidRPr="00274702">
        <w:rPr>
          <w:rFonts w:ascii="Cambria" w:hAnsi="Cambria" w:eastAsia="Cambria" w:cs="Times New Roman"/>
          <w:sz w:val="22"/>
          <w:szCs w:val="22"/>
          <w:lang w:val="en-US"/>
        </w:rPr>
        <w:t>Ramaphosa</w:t>
      </w:r>
      <w:proofErr w:type="spellEnd"/>
      <w:r w:rsidRPr="00274702">
        <w:rPr>
          <w:rFonts w:ascii="Cambria" w:hAnsi="Cambria" w:eastAsia="Cambria" w:cs="Times New Roman"/>
          <w:sz w:val="22"/>
          <w:szCs w:val="22"/>
          <w:lang w:val="en-US"/>
        </w:rPr>
        <w:t xml:space="preserve">’, 8 </w:t>
      </w:r>
      <w:proofErr w:type="spellStart"/>
      <w:r w:rsidRPr="00274702">
        <w:rPr>
          <w:rFonts w:ascii="Cambria" w:hAnsi="Cambria" w:eastAsia="Cambria" w:cs="Times New Roman"/>
          <w:sz w:val="22"/>
          <w:szCs w:val="22"/>
          <w:lang w:val="en-US"/>
        </w:rPr>
        <w:t>februari</w:t>
      </w:r>
      <w:proofErr w:type="spellEnd"/>
      <w:r w:rsidRPr="00274702">
        <w:rPr>
          <w:rFonts w:ascii="Cambria" w:hAnsi="Cambria" w:eastAsia="Cambria" w:cs="Times New Roman"/>
          <w:sz w:val="22"/>
          <w:szCs w:val="22"/>
          <w:lang w:val="en-US"/>
        </w:rPr>
        <w:t xml:space="preserve"> 2019 </w:t>
      </w:r>
    </w:p>
    <w:p w:rsidRPr="00274702" w:rsidR="00274702" w:rsidP="00274702" w:rsidRDefault="00274702">
      <w:pPr>
        <w:spacing w:line="276" w:lineRule="auto"/>
        <w:ind w:firstLine="708"/>
        <w:rPr>
          <w:rFonts w:ascii="Cambria" w:hAnsi="Cambria" w:eastAsia="Cambria" w:cs="Times New Roman"/>
          <w:sz w:val="22"/>
          <w:szCs w:val="22"/>
          <w:lang w:val="en-US"/>
        </w:rPr>
      </w:pPr>
      <w:r w:rsidRPr="00274702">
        <w:rPr>
          <w:rFonts w:ascii="Cambria" w:hAnsi="Cambria" w:eastAsia="Cambria" w:cs="Times New Roman"/>
          <w:sz w:val="22"/>
          <w:szCs w:val="22"/>
          <w:lang w:val="en-US"/>
        </w:rPr>
        <w:t>(https://www.iiss.org/blogs/analysis/2019/02/south-africa-foreign-policy-ramaphosa).</w:t>
      </w:r>
    </w:p>
    <w:p w:rsidRPr="00274702" w:rsidR="00274702" w:rsidP="00274702" w:rsidRDefault="00274702">
      <w:pPr>
        <w:spacing w:line="276" w:lineRule="auto"/>
        <w:rPr>
          <w:rFonts w:ascii="Cambria" w:hAnsi="Cambria" w:eastAsia="Cambria" w:cs="Times New Roman"/>
          <w:sz w:val="22"/>
          <w:szCs w:val="22"/>
          <w:lang w:val="en-US"/>
        </w:rPr>
      </w:pPr>
      <w:proofErr w:type="spellStart"/>
      <w:r w:rsidRPr="00274702">
        <w:rPr>
          <w:rFonts w:ascii="Cambria" w:hAnsi="Cambria" w:eastAsia="Cambria" w:cs="Times New Roman"/>
          <w:sz w:val="22"/>
          <w:szCs w:val="22"/>
          <w:lang w:val="en-US"/>
        </w:rPr>
        <w:t>Keukeleire</w:t>
      </w:r>
      <w:proofErr w:type="spellEnd"/>
      <w:r w:rsidRPr="00274702">
        <w:rPr>
          <w:rFonts w:ascii="Cambria" w:hAnsi="Cambria" w:eastAsia="Cambria" w:cs="Times New Roman"/>
          <w:sz w:val="22"/>
          <w:szCs w:val="22"/>
          <w:lang w:val="en-US"/>
        </w:rPr>
        <w:t xml:space="preserve">, Stephan, and Bas </w:t>
      </w:r>
      <w:proofErr w:type="spellStart"/>
      <w:r w:rsidRPr="00274702">
        <w:rPr>
          <w:rFonts w:ascii="Cambria" w:hAnsi="Cambria" w:eastAsia="Cambria" w:cs="Times New Roman"/>
          <w:sz w:val="22"/>
          <w:szCs w:val="22"/>
          <w:lang w:val="en-US"/>
        </w:rPr>
        <w:t>Hooijmaaijers</w:t>
      </w:r>
      <w:proofErr w:type="spellEnd"/>
      <w:r w:rsidRPr="00274702">
        <w:rPr>
          <w:rFonts w:ascii="Cambria" w:hAnsi="Cambria" w:eastAsia="Cambria" w:cs="Times New Roman"/>
          <w:sz w:val="22"/>
          <w:szCs w:val="22"/>
          <w:lang w:val="en-US"/>
        </w:rPr>
        <w:t xml:space="preserve">. “The BRICS and Other Emerging Power Alliances and Multilateral </w:t>
      </w:r>
    </w:p>
    <w:p w:rsidRPr="00274702" w:rsidR="00274702" w:rsidP="00274702" w:rsidRDefault="00274702">
      <w:pPr>
        <w:spacing w:line="276" w:lineRule="auto"/>
        <w:ind w:left="708"/>
        <w:rPr>
          <w:rFonts w:ascii="Cambria" w:hAnsi="Cambria" w:eastAsia="Cambria" w:cs="Times New Roman"/>
          <w:sz w:val="22"/>
          <w:szCs w:val="22"/>
          <w:lang w:val="en-US"/>
        </w:rPr>
      </w:pPr>
      <w:r w:rsidRPr="00274702">
        <w:rPr>
          <w:rFonts w:ascii="Cambria" w:hAnsi="Cambria" w:eastAsia="Cambria" w:cs="Times New Roman"/>
          <w:sz w:val="22"/>
          <w:szCs w:val="22"/>
          <w:lang w:val="en-US"/>
        </w:rPr>
        <w:t>Organizations in the Asia-Pacific and the Global South: Challenges for the European Union and Its View on Multilateralism.” Journal of Common Market Studies 52, no. 3 (2014): 582–99.</w:t>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lang w:val="en-US"/>
        </w:rPr>
        <w:t xml:space="preserve">Miranda, Isabella </w:t>
      </w:r>
      <w:proofErr w:type="spellStart"/>
      <w:r w:rsidRPr="00274702">
        <w:rPr>
          <w:rFonts w:ascii="Cambria" w:hAnsi="Cambria" w:eastAsia="Cambria" w:cs="Times New Roman"/>
          <w:sz w:val="22"/>
          <w:szCs w:val="22"/>
          <w:lang w:val="en-US"/>
        </w:rPr>
        <w:t>Tamine</w:t>
      </w:r>
      <w:proofErr w:type="spellEnd"/>
      <w:r w:rsidRPr="00274702">
        <w:rPr>
          <w:rFonts w:ascii="Cambria" w:hAnsi="Cambria" w:eastAsia="Cambria" w:cs="Times New Roman"/>
          <w:sz w:val="22"/>
          <w:szCs w:val="22"/>
          <w:lang w:val="en-US"/>
        </w:rPr>
        <w:t xml:space="preserve"> Parra, Juliana </w:t>
      </w:r>
      <w:proofErr w:type="spellStart"/>
      <w:r w:rsidRPr="00274702">
        <w:rPr>
          <w:rFonts w:ascii="Cambria" w:hAnsi="Cambria" w:eastAsia="Cambria" w:cs="Times New Roman"/>
          <w:sz w:val="22"/>
          <w:szCs w:val="22"/>
          <w:lang w:val="en-US"/>
        </w:rPr>
        <w:t>Moletta</w:t>
      </w:r>
      <w:proofErr w:type="spellEnd"/>
      <w:r w:rsidRPr="00274702">
        <w:rPr>
          <w:rFonts w:ascii="Cambria" w:hAnsi="Cambria" w:eastAsia="Cambria" w:cs="Times New Roman"/>
          <w:sz w:val="22"/>
          <w:szCs w:val="22"/>
          <w:lang w:val="en-US"/>
        </w:rPr>
        <w:t xml:space="preserve">, Bruno </w:t>
      </w:r>
      <w:proofErr w:type="spellStart"/>
      <w:r w:rsidRPr="00274702">
        <w:rPr>
          <w:rFonts w:ascii="Cambria" w:hAnsi="Cambria" w:eastAsia="Cambria" w:cs="Times New Roman"/>
          <w:sz w:val="22"/>
          <w:szCs w:val="22"/>
          <w:lang w:val="en-US"/>
        </w:rPr>
        <w:t>Pedroso</w:t>
      </w:r>
      <w:proofErr w:type="spellEnd"/>
      <w:r w:rsidRPr="00274702">
        <w:rPr>
          <w:rFonts w:ascii="Cambria" w:hAnsi="Cambria" w:eastAsia="Cambria" w:cs="Times New Roman"/>
          <w:sz w:val="22"/>
          <w:szCs w:val="22"/>
          <w:lang w:val="en-US"/>
        </w:rPr>
        <w:t xml:space="preserve">, Luiz Alberto </w:t>
      </w:r>
      <w:proofErr w:type="spellStart"/>
      <w:r w:rsidRPr="00274702">
        <w:rPr>
          <w:rFonts w:ascii="Cambria" w:hAnsi="Cambria" w:eastAsia="Cambria" w:cs="Times New Roman"/>
          <w:sz w:val="22"/>
          <w:szCs w:val="22"/>
          <w:lang w:val="en-US"/>
        </w:rPr>
        <w:t>Pilatti</w:t>
      </w:r>
      <w:proofErr w:type="spellEnd"/>
      <w:r w:rsidRPr="00274702">
        <w:rPr>
          <w:rFonts w:ascii="Cambria" w:hAnsi="Cambria" w:eastAsia="Cambria" w:cs="Times New Roman"/>
          <w:sz w:val="22"/>
          <w:szCs w:val="22"/>
          <w:lang w:val="en-US"/>
        </w:rPr>
        <w:t xml:space="preserve">, and Claudia Tania </w:t>
      </w:r>
      <w:proofErr w:type="spellStart"/>
      <w:r w:rsidRPr="00274702">
        <w:rPr>
          <w:rFonts w:ascii="Cambria" w:hAnsi="Cambria" w:eastAsia="Cambria" w:cs="Times New Roman"/>
          <w:sz w:val="22"/>
          <w:szCs w:val="22"/>
          <w:lang w:val="en-US"/>
        </w:rPr>
        <w:t>Picinin</w:t>
      </w:r>
      <w:proofErr w:type="spellEnd"/>
      <w:r w:rsidRPr="00274702">
        <w:rPr>
          <w:rFonts w:ascii="Cambria" w:hAnsi="Cambria" w:eastAsia="Cambria" w:cs="Times New Roman"/>
          <w:sz w:val="22"/>
          <w:szCs w:val="22"/>
          <w:lang w:val="en-US"/>
        </w:rPr>
        <w:t xml:space="preserve">. “A </w:t>
      </w:r>
    </w:p>
    <w:p w:rsidRPr="00274702" w:rsidR="00274702" w:rsidP="00274702" w:rsidRDefault="00274702">
      <w:pPr>
        <w:spacing w:line="276" w:lineRule="auto"/>
        <w:ind w:left="708"/>
        <w:rPr>
          <w:rFonts w:ascii="Cambria" w:hAnsi="Cambria" w:eastAsia="Cambria" w:cs="Times New Roman"/>
          <w:sz w:val="22"/>
          <w:szCs w:val="22"/>
          <w:lang w:val="en-US"/>
        </w:rPr>
      </w:pPr>
      <w:r w:rsidRPr="00274702">
        <w:rPr>
          <w:rFonts w:ascii="Cambria" w:hAnsi="Cambria" w:eastAsia="Cambria" w:cs="Times New Roman"/>
          <w:sz w:val="22"/>
          <w:szCs w:val="22"/>
          <w:lang w:val="en-US"/>
        </w:rPr>
        <w:t>Review on Green Technology Practices at BRICS Countries: Brazil, Russia, India, China, and South Africa.” SAGE Open 11, no. 2 (April 1, 2021): 21582440211013780. https://doi.org/10.1177/21582440211013780.</w:t>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rPr>
        <w:fldChar w:fldCharType="begin"/>
      </w:r>
      <w:r w:rsidRPr="00274702">
        <w:rPr>
          <w:rFonts w:ascii="Cambria" w:hAnsi="Cambria" w:eastAsia="Cambria" w:cs="Times New Roman"/>
          <w:sz w:val="22"/>
          <w:szCs w:val="22"/>
          <w:lang w:val="en-US"/>
        </w:rPr>
        <w:instrText xml:space="preserve"> ADDIN ZOTERO_ITEM CSL_CITATION {"citationID":"3wuBD3v9","properties":{"formattedCitation":"Nils Gilman, \\uc0\\u8220{}The New International Economic Order: A Reintroduction,\\uc0\\u8221{} {\\i{}Humanity} 6, no. 1 (2015): 1\\uc0\\u8211{}16.","plainCitation":"Nils Gilman, “The New International Economic Order: A Reintroduction,” Humanity 6, no. 1 (2015): 1–16.","noteIndex":11},"citationItems":[{"id":4660,"uris":["http://zotero.org/users/350098/items/CN5RMA4K"],"uri":["http://zotero.org/users/350098/items/CN5RMA4K"],"itemData":{"id":4660,"type":"article-journal","container-title":"Humanity","issue":"1","page":"1-16","title":"The New International Economic Order: A Reintroduction","volume":"6","author":[{"family":"Gilman","given":"Nils"}],"issued":{"date-parts":[["2015"]]}}}],"schema":"https://github.com/citation-style-language/schema/raw/master/csl-citation.json"} </w:instrText>
      </w:r>
      <w:r w:rsidRPr="00274702">
        <w:rPr>
          <w:rFonts w:ascii="Cambria" w:hAnsi="Cambria" w:eastAsia="Cambria" w:cs="Times New Roman"/>
          <w:sz w:val="22"/>
          <w:szCs w:val="22"/>
        </w:rPr>
        <w:fldChar w:fldCharType="separate"/>
      </w:r>
      <w:r w:rsidRPr="00274702">
        <w:rPr>
          <w:rFonts w:ascii="Cambria" w:hAnsi="Cambria" w:eastAsia="Cambria" w:cs="Times New Roman"/>
          <w:sz w:val="22"/>
          <w:szCs w:val="22"/>
          <w:lang w:val="en-US"/>
        </w:rPr>
        <w:t>Nils Gilman, “The New International Economic Order: A Reintroduction,” Humanity 6, no. 1 (2015): 1–16.</w:t>
      </w:r>
      <w:r w:rsidRPr="00274702">
        <w:rPr>
          <w:rFonts w:ascii="Cambria" w:hAnsi="Cambria" w:eastAsia="Cambria" w:cs="Times New Roman"/>
          <w:sz w:val="22"/>
          <w:szCs w:val="22"/>
        </w:rPr>
        <w:fldChar w:fldCharType="end"/>
      </w:r>
    </w:p>
    <w:p w:rsidRPr="00274702" w:rsidR="00274702" w:rsidP="00274702" w:rsidRDefault="00274702">
      <w:pPr>
        <w:spacing w:line="276" w:lineRule="auto"/>
        <w:ind w:left="708"/>
        <w:rPr>
          <w:rFonts w:ascii="Cambria" w:hAnsi="Cambria" w:eastAsia="Cambria" w:cs="Times New Roman"/>
          <w:sz w:val="22"/>
          <w:szCs w:val="22"/>
          <w:lang w:val="en-US"/>
        </w:rPr>
      </w:pPr>
      <w:r w:rsidRPr="00274702">
        <w:rPr>
          <w:rFonts w:ascii="Cambria" w:hAnsi="Cambria" w:eastAsia="Cambria" w:cs="Times New Roman"/>
          <w:sz w:val="22"/>
          <w:szCs w:val="22"/>
          <w:lang w:val="en-US"/>
        </w:rPr>
        <w:lastRenderedPageBreak/>
        <w:t xml:space="preserve">‘Shell in Nigeria’, Amnesty International, 2021 (https://www.amnesty.nl/wat-we-doen/themas/bedrijven-en-mensenrechten/shell-in-nigeria); </w:t>
      </w:r>
      <w:r w:rsidRPr="00274702">
        <w:rPr>
          <w:rFonts w:ascii="Cambria" w:hAnsi="Cambria" w:eastAsia="Cambria" w:cs="Times New Roman"/>
          <w:sz w:val="22"/>
          <w:szCs w:val="22"/>
        </w:rPr>
        <w:fldChar w:fldCharType="begin"/>
      </w:r>
      <w:r w:rsidRPr="00274702">
        <w:rPr>
          <w:rFonts w:ascii="Cambria" w:hAnsi="Cambria" w:eastAsia="Cambria" w:cs="Times New Roman"/>
          <w:sz w:val="22"/>
          <w:szCs w:val="22"/>
          <w:lang w:val="en-US"/>
        </w:rPr>
        <w:instrText xml:space="preserve"> ADDIN ZOTERO_ITEM CSL_CITATION {"citationID":"IMysDihT","properties":{"formattedCitation":"Olivier van Beemen, {\\i{}Heineken in Africa: A Multinational Unleashed}, Illustrated edition (London: Hurst, 2019).","plainCitation":"Olivier van Beemen, Heineken in Africa: A Multinational Unleashed, Illustrated edition (London: Hurst, 2019).","noteIndex":5},"citationItems":[{"id":6468,"uris":["http://zotero.org/users/350098/items/VHJFEBFG"],"uri":["http://zotero.org/users/350098/items/VHJFEBFG"],"itemData":{"id":6468,"type":"book","abstract":"For Heineken, \"rising Africa\" is already a reality: the profits it extracts there are almost 50 per cent above the global average, and beer costs more in some African countries than it does in Europe. Heineken claims its presence boosts economic development on the continent. But is this true?Investigative journalist Olivier van Beemen has spent years seeking the answer, and his conclusion is damning: Heineken has hardly benefited Africa at all. On the contrary, there are some shocking skeletons in its African closet: tax avoidance, sexual abuse, links to genocide and other human rightsviolations, high-level corruption, crushing competition from indigenous brewers, and collaboration with dictators and pitiless anti-government rebels.Heineken in Africa caused a political and media furor on publication in The Netherlands, and was debated in their Parliament. It is an unmissable exposé of the havoc wreaked by a global giant seeking profit in the developing world.","edition":"Illustrated edition","event-place":"London","ISBN":"978-1-84904-902-3","language":"English","number-of-pages":"256","publisher":"Hurst","publisher-place":"London","source":"Amazon","title":"Heineken in Africa: A Multinational Unleashed","title-short":"Heineken in Africa","author":[{"family":"Beemen","given":"Olivier","dropping-particle":"van"}],"issued":{"date-parts":[["2019",9,1]]}}}],"schema":"https://github.com/citation-style-language/schema/raw/master/csl-citation.json"} </w:instrText>
      </w:r>
      <w:r w:rsidRPr="00274702">
        <w:rPr>
          <w:rFonts w:ascii="Cambria" w:hAnsi="Cambria" w:eastAsia="Cambria" w:cs="Times New Roman"/>
          <w:sz w:val="22"/>
          <w:szCs w:val="22"/>
        </w:rPr>
        <w:fldChar w:fldCharType="separate"/>
      </w:r>
      <w:r w:rsidRPr="00274702">
        <w:rPr>
          <w:rFonts w:ascii="Cambria" w:hAnsi="Cambria" w:eastAsia="Cambria" w:cs="Times New Roman"/>
          <w:sz w:val="22"/>
          <w:szCs w:val="22"/>
          <w:lang w:val="en-US"/>
        </w:rPr>
        <w:t>Olivier van Beemen, Heineken in Africa: A Multinational Unleashed, Illustrated edition (London: Hurst, 2019).</w:t>
      </w:r>
      <w:r w:rsidRPr="00274702">
        <w:rPr>
          <w:rFonts w:ascii="Cambria" w:hAnsi="Cambria" w:eastAsia="Cambria" w:cs="Times New Roman"/>
          <w:sz w:val="22"/>
          <w:szCs w:val="22"/>
        </w:rPr>
        <w:fldChar w:fldCharType="end"/>
      </w:r>
    </w:p>
    <w:p w:rsidRPr="00274702" w:rsidR="00274702" w:rsidP="00274702" w:rsidRDefault="00274702">
      <w:pPr>
        <w:spacing w:line="276" w:lineRule="auto"/>
        <w:rPr>
          <w:rFonts w:ascii="Cambria" w:hAnsi="Cambria" w:eastAsia="Cambria" w:cs="Times New Roman"/>
          <w:sz w:val="22"/>
          <w:szCs w:val="22"/>
          <w:lang w:val="en-US"/>
        </w:rPr>
      </w:pPr>
      <w:r w:rsidRPr="00274702">
        <w:rPr>
          <w:rFonts w:ascii="Cambria" w:hAnsi="Cambria" w:eastAsia="Cambria" w:cs="Times New Roman"/>
          <w:sz w:val="22"/>
          <w:szCs w:val="22"/>
          <w:lang w:val="en-US"/>
        </w:rPr>
        <w:t>‘Trade and Industrial Development’, 2020 (https://au.int/en/trade-and-industrial-development).</w:t>
      </w:r>
    </w:p>
    <w:p w:rsidRPr="00274702" w:rsidR="00274702" w:rsidP="00274702" w:rsidRDefault="00274702">
      <w:pPr>
        <w:spacing w:line="276" w:lineRule="auto"/>
        <w:ind w:left="720" w:hanging="720"/>
        <w:rPr>
          <w:rFonts w:ascii="Cambria" w:hAnsi="Cambria" w:eastAsia="Cambria" w:cs="Times New Roman"/>
          <w:sz w:val="22"/>
          <w:szCs w:val="22"/>
          <w:lang w:val="en-US"/>
        </w:rPr>
      </w:pPr>
    </w:p>
    <w:p w:rsidR="00274702" w:rsidP="00274702" w:rsidRDefault="00274702">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00350F57" w:rsidP="00274702" w:rsidRDefault="00350F57">
      <w:pPr>
        <w:spacing w:line="276" w:lineRule="auto"/>
        <w:rPr>
          <w:rFonts w:ascii="Cambria" w:hAnsi="Cambria" w:eastAsia="Cambria" w:cs="Times New Roman"/>
          <w:sz w:val="22"/>
          <w:szCs w:val="22"/>
          <w:lang w:val="en-US"/>
        </w:rPr>
      </w:pPr>
    </w:p>
    <w:p w:rsidRPr="00274702" w:rsidR="00350F57" w:rsidP="00274702" w:rsidRDefault="00350F57">
      <w:pPr>
        <w:spacing w:line="276" w:lineRule="auto"/>
        <w:rPr>
          <w:rFonts w:ascii="Cambria" w:hAnsi="Cambria" w:eastAsia="Cambria" w:cs="Times New Roman"/>
          <w:sz w:val="22"/>
          <w:szCs w:val="22"/>
          <w:lang w:val="en-US"/>
        </w:rPr>
      </w:pPr>
    </w:p>
    <w:p w:rsidRPr="00C06C8C" w:rsidR="00C06C8C" w:rsidP="00C06C8C" w:rsidRDefault="00C06C8C">
      <w:pPr>
        <w:pStyle w:val="Tekst"/>
        <w:ind w:left="567"/>
      </w:pPr>
      <w:r>
        <w:rPr>
          <w:noProof/>
          <w:lang w:eastAsia="nl-NL"/>
        </w:rPr>
        <w:drawing>
          <wp:anchor distT="0" distB="0" distL="114300" distR="114300" simplePos="0" relativeHeight="251658240" behindDoc="0" locked="0" layoutInCell="1" allowOverlap="1">
            <wp:simplePos x="0" y="0"/>
            <wp:positionH relativeFrom="column">
              <wp:posOffset>-527050</wp:posOffset>
            </wp:positionH>
            <wp:positionV relativeFrom="paragraph">
              <wp:posOffset>1905</wp:posOffset>
            </wp:positionV>
            <wp:extent cx="7538400" cy="2073600"/>
            <wp:effectExtent l="0" t="0" r="5715" b="3175"/>
            <wp:wrapTopAndBottom/>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ooter.jpg"/>
                    <pic:cNvPicPr/>
                  </pic:nvPicPr>
                  <pic:blipFill>
                    <a:blip r:embed="rId17">
                      <a:extLst>
                        <a:ext uri="{28A0092B-C50C-407E-A947-70E740481C1C}">
                          <a14:useLocalDpi xmlns:a14="http://schemas.microsoft.com/office/drawing/2010/main" val="0"/>
                        </a:ext>
                      </a:extLst>
                    </a:blip>
                    <a:stretch>
                      <a:fillRect/>
                    </a:stretch>
                  </pic:blipFill>
                  <pic:spPr>
                    <a:xfrm>
                      <a:off x="0" y="0"/>
                      <a:ext cx="7538400" cy="2073600"/>
                    </a:xfrm>
                    <a:prstGeom prst="rect">
                      <a:avLst/>
                    </a:prstGeom>
                  </pic:spPr>
                </pic:pic>
              </a:graphicData>
            </a:graphic>
            <wp14:sizeRelH relativeFrom="margin">
              <wp14:pctWidth>0</wp14:pctWidth>
            </wp14:sizeRelH>
            <wp14:sizeRelV relativeFrom="margin">
              <wp14:pctHeight>0</wp14:pctHeight>
            </wp14:sizeRelV>
          </wp:anchor>
        </w:drawing>
      </w:r>
    </w:p>
    <w:sectPr w:rsidRPr="00C06C8C" w:rsidR="00C06C8C" w:rsidSect="0047771B">
      <w:headerReference w:type="even" r:id="rId18"/>
      <w:headerReference w:type="default" r:id="rId19"/>
      <w:footerReference w:type="even" r:id="rId20"/>
      <w:footerReference w:type="default" r:id="rId21"/>
      <w:headerReference w:type="first" r:id="rId22"/>
      <w:footerReference w:type="first" r:id="rId23"/>
      <w:pgSz w:w="11900" w:h="16840"/>
      <w:pgMar w:top="3403" w:right="844" w:bottom="0" w:left="850" w:header="107" w:footer="302"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E5E" w:rsidRDefault="006E4E5E" w:rsidP="00C0042B">
      <w:r>
        <w:separator/>
      </w:r>
    </w:p>
  </w:endnote>
  <w:endnote w:type="continuationSeparator" w:id="0">
    <w:p w:rsidR="006E4E5E" w:rsidRDefault="006E4E5E" w:rsidP="00C0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7C7" w:rsidRDefault="006907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2B" w:rsidRDefault="00C0042B" w:rsidP="00C0042B">
    <w:pPr>
      <w:pStyle w:val="Voettekst"/>
      <w:ind w:left="-56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7C7" w:rsidRDefault="006907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E5E" w:rsidRDefault="006E4E5E" w:rsidP="00C0042B">
      <w:r>
        <w:separator/>
      </w:r>
    </w:p>
  </w:footnote>
  <w:footnote w:type="continuationSeparator" w:id="0">
    <w:p w:rsidR="006E4E5E" w:rsidRDefault="006E4E5E" w:rsidP="00C0042B">
      <w:r>
        <w:continuationSeparator/>
      </w:r>
    </w:p>
  </w:footnote>
  <w:footnote w:id="1">
    <w:p w:rsidR="00274702" w:rsidRPr="00343619" w:rsidRDefault="00274702" w:rsidP="00274702">
      <w:pPr>
        <w:pStyle w:val="Voetnoottekst"/>
        <w:rPr>
          <w:sz w:val="18"/>
          <w:szCs w:val="18"/>
        </w:rPr>
      </w:pPr>
      <w:r>
        <w:rPr>
          <w:rStyle w:val="Voetnootmarkering"/>
        </w:rPr>
        <w:footnoteRef/>
      </w:r>
      <w:r>
        <w:t xml:space="preserve"> </w:t>
      </w:r>
      <w:r w:rsidRPr="00674BEA">
        <w:rPr>
          <w:rStyle w:val="Voetnootmarkering"/>
          <w:sz w:val="18"/>
          <w:szCs w:val="18"/>
        </w:rPr>
        <w:footnoteRef/>
      </w:r>
      <w:r w:rsidRPr="00674BEA">
        <w:rPr>
          <w:sz w:val="18"/>
          <w:szCs w:val="18"/>
        </w:rPr>
        <w:t xml:space="preserve"> Europees </w:t>
      </w:r>
      <w:r>
        <w:rPr>
          <w:sz w:val="18"/>
          <w:szCs w:val="18"/>
        </w:rPr>
        <w:t>V</w:t>
      </w:r>
      <w:r w:rsidRPr="00674BEA">
        <w:rPr>
          <w:sz w:val="18"/>
          <w:szCs w:val="18"/>
        </w:rPr>
        <w:t xml:space="preserve">eiligheids- en </w:t>
      </w:r>
      <w:r>
        <w:rPr>
          <w:sz w:val="18"/>
          <w:szCs w:val="18"/>
        </w:rPr>
        <w:t>D</w:t>
      </w:r>
      <w:r w:rsidRPr="00674BEA">
        <w:rPr>
          <w:sz w:val="18"/>
          <w:szCs w:val="18"/>
        </w:rPr>
        <w:t>efensiebeleid</w:t>
      </w:r>
      <w:r>
        <w:rPr>
          <w:sz w:val="18"/>
          <w:szCs w:val="18"/>
        </w:rPr>
        <w:t>, inmiddels Gemeenschappelijk Veiligheids- en Defensiebeleid geheten</w:t>
      </w:r>
    </w:p>
  </w:footnote>
  <w:footnote w:id="2">
    <w:p w:rsidR="00274702" w:rsidRPr="00343619" w:rsidRDefault="00274702" w:rsidP="00274702">
      <w:pPr>
        <w:spacing w:line="276" w:lineRule="auto"/>
        <w:jc w:val="both"/>
        <w:rPr>
          <w:sz w:val="18"/>
        </w:rPr>
      </w:pPr>
      <w:r w:rsidRPr="00343619">
        <w:rPr>
          <w:rStyle w:val="Voetnootmarkering"/>
          <w:sz w:val="18"/>
        </w:rPr>
        <w:footnoteRef/>
      </w:r>
      <w:r w:rsidRPr="00343619">
        <w:rPr>
          <w:sz w:val="18"/>
        </w:rPr>
        <w:t xml:space="preserve"> </w:t>
      </w:r>
      <w:r>
        <w:rPr>
          <w:sz w:val="18"/>
        </w:rPr>
        <w:t>N</w:t>
      </w:r>
      <w:r w:rsidRPr="00343619">
        <w:rPr>
          <w:sz w:val="18"/>
        </w:rPr>
        <w:t>adat tijdens het conflict in voormalig Joegoslavië</w:t>
      </w:r>
      <w:r w:rsidRPr="00F9567E">
        <w:rPr>
          <w:sz w:val="18"/>
        </w:rPr>
        <w:t xml:space="preserve"> </w:t>
      </w:r>
      <w:r w:rsidRPr="00674BEA">
        <w:rPr>
          <w:sz w:val="18"/>
        </w:rPr>
        <w:t>was gebleken dat er een gebrek aan capaciteit en handelingsvermogen bestond</w:t>
      </w:r>
      <w:r w:rsidRPr="00343619">
        <w:rPr>
          <w:sz w:val="18"/>
        </w:rPr>
        <w:t>.</w:t>
      </w:r>
    </w:p>
    <w:p w:rsidR="00274702" w:rsidRDefault="00274702" w:rsidP="00274702">
      <w:pPr>
        <w:pStyle w:val="Voetnoottekst"/>
      </w:pPr>
    </w:p>
  </w:footnote>
  <w:footnote w:id="3">
    <w:p w:rsidR="00274702" w:rsidRPr="00484E07" w:rsidRDefault="00274702" w:rsidP="00274702">
      <w:pPr>
        <w:pStyle w:val="Voetnoottekst"/>
        <w:rPr>
          <w:rFonts w:ascii="Cambria" w:hAnsi="Cambria"/>
          <w:sz w:val="18"/>
          <w:szCs w:val="18"/>
        </w:rPr>
      </w:pPr>
      <w:r w:rsidRPr="00484E07">
        <w:rPr>
          <w:rStyle w:val="Voetnootmarkering"/>
          <w:rFonts w:ascii="Cambria" w:hAnsi="Cambria"/>
          <w:sz w:val="18"/>
          <w:szCs w:val="18"/>
        </w:rPr>
        <w:footnoteRef/>
      </w:r>
      <w:r w:rsidRPr="00484E07">
        <w:rPr>
          <w:rFonts w:ascii="Cambria" w:hAnsi="Cambria"/>
          <w:sz w:val="18"/>
          <w:szCs w:val="18"/>
        </w:rPr>
        <w:t xml:space="preserve"> ‘Herstelplan: meer strategische autonomie voor Europa – Toespraak van voorzitter Charles Michel op het Brussels </w:t>
      </w:r>
      <w:proofErr w:type="spellStart"/>
      <w:r w:rsidRPr="00484E07">
        <w:rPr>
          <w:rFonts w:ascii="Cambria" w:hAnsi="Cambria"/>
          <w:sz w:val="18"/>
          <w:szCs w:val="18"/>
        </w:rPr>
        <w:t>Economic</w:t>
      </w:r>
      <w:proofErr w:type="spellEnd"/>
      <w:r w:rsidRPr="00484E07">
        <w:rPr>
          <w:rFonts w:ascii="Cambria" w:hAnsi="Cambria"/>
          <w:sz w:val="18"/>
          <w:szCs w:val="18"/>
        </w:rPr>
        <w:t xml:space="preserve"> Forum’, 8 September 2020 (https://www.consilium.europa.eu/nl/press/press-releases/2020/09/08/recovery-plan-powering-europe-s-strategic-autonomy-speech-by-president-charles-michel-at-the-brussels-economic-forum/).</w:t>
      </w:r>
    </w:p>
  </w:footnote>
  <w:footnote w:id="4">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‘European Raw Materials Alliance’, 2020 (https://erma.eu/about-us/).</w:t>
      </w:r>
    </w:p>
  </w:footnote>
  <w:footnote w:id="5">
    <w:p w:rsidR="00274702" w:rsidRPr="00484E07" w:rsidRDefault="00274702" w:rsidP="00274702">
      <w:pPr>
        <w:pStyle w:val="Voetnoottekst"/>
        <w:rPr>
          <w:rFonts w:ascii="Cambria" w:hAnsi="Cambria"/>
          <w:sz w:val="18"/>
          <w:szCs w:val="18"/>
        </w:rPr>
      </w:pPr>
      <w:r w:rsidRPr="00484E07">
        <w:rPr>
          <w:rStyle w:val="Voetnootmarkering"/>
          <w:rFonts w:ascii="Cambria" w:hAnsi="Cambria"/>
          <w:sz w:val="18"/>
          <w:szCs w:val="18"/>
        </w:rPr>
        <w:footnoteRef/>
      </w:r>
      <w:r w:rsidRPr="00484E07">
        <w:rPr>
          <w:rFonts w:ascii="Cambria" w:hAnsi="Cambria"/>
          <w:sz w:val="18"/>
          <w:szCs w:val="18"/>
        </w:rPr>
        <w:t xml:space="preserve"> ‘Commissie zet koers uit voor open, duurzaam en assertief EU-handelsbeleid’, 18 februari 2021 (https://ec.europa.eu/commission/presscorner/detail/nl/ip_21_644).</w:t>
      </w:r>
    </w:p>
  </w:footnote>
  <w:footnote w:id="6">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‘Action Plan on Critical Raw Materials’, 3 September 2020 (https://emis.vito.be/sites/emis/files/articles/91/2020/Raw%20materials%20factsheet.pdf).</w:t>
      </w:r>
    </w:p>
  </w:footnote>
  <w:footnote w:id="7">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Charles Dunst, ‘China Is OK With Interfering in Guinea’s Internal Affairs’, 8 September 2021 (https://foreignpolicy.com/2021/09/08/china-guinea-interference-relations-alpha-conde-xi-jinping/).</w:t>
      </w:r>
    </w:p>
  </w:footnote>
  <w:footnote w:id="8">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James Hamill, ‘The reality of South Africa’s foreign policy under </w:t>
      </w:r>
      <w:proofErr w:type="spellStart"/>
      <w:r w:rsidRPr="00484E07">
        <w:rPr>
          <w:rFonts w:ascii="Cambria" w:hAnsi="Cambria"/>
          <w:sz w:val="18"/>
          <w:szCs w:val="18"/>
          <w:lang w:val="en-GB"/>
        </w:rPr>
        <w:t>Ramaphosa</w:t>
      </w:r>
      <w:proofErr w:type="spellEnd"/>
      <w:r w:rsidRPr="00484E07">
        <w:rPr>
          <w:rFonts w:ascii="Cambria" w:hAnsi="Cambria"/>
          <w:sz w:val="18"/>
          <w:szCs w:val="18"/>
          <w:lang w:val="en-GB"/>
        </w:rPr>
        <w:t xml:space="preserve">’, 8 </w:t>
      </w:r>
      <w:proofErr w:type="spellStart"/>
      <w:r w:rsidRPr="00484E07">
        <w:rPr>
          <w:rFonts w:ascii="Cambria" w:hAnsi="Cambria"/>
          <w:sz w:val="18"/>
          <w:szCs w:val="18"/>
          <w:lang w:val="en-GB"/>
        </w:rPr>
        <w:t>februari</w:t>
      </w:r>
      <w:proofErr w:type="spellEnd"/>
      <w:r w:rsidRPr="00484E07">
        <w:rPr>
          <w:rFonts w:ascii="Cambria" w:hAnsi="Cambria"/>
          <w:sz w:val="18"/>
          <w:szCs w:val="18"/>
          <w:lang w:val="en-GB"/>
        </w:rPr>
        <w:t xml:space="preserve"> 2019 (https://www.iiss.org/blogs/analysis/2019/02/south-africa-foreign-policy-ramaphosa).</w:t>
      </w:r>
    </w:p>
  </w:footnote>
  <w:footnote w:id="9">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Chloe Taylor, ‘Brazil’s </w:t>
      </w:r>
      <w:proofErr w:type="spellStart"/>
      <w:r w:rsidRPr="00484E07">
        <w:rPr>
          <w:rFonts w:ascii="Cambria" w:hAnsi="Cambria"/>
          <w:sz w:val="18"/>
          <w:szCs w:val="18"/>
          <w:lang w:val="en-GB"/>
        </w:rPr>
        <w:t>Bolsonaro</w:t>
      </w:r>
      <w:proofErr w:type="spellEnd"/>
      <w:r w:rsidRPr="00484E07">
        <w:rPr>
          <w:rFonts w:ascii="Cambria" w:hAnsi="Cambria"/>
          <w:sz w:val="18"/>
          <w:szCs w:val="18"/>
          <w:lang w:val="en-GB"/>
        </w:rPr>
        <w:t xml:space="preserve"> accuses French president of ‘colonialist </w:t>
      </w:r>
      <w:proofErr w:type="spellStart"/>
      <w:r w:rsidRPr="00484E07">
        <w:rPr>
          <w:rFonts w:ascii="Cambria" w:hAnsi="Cambria"/>
          <w:sz w:val="18"/>
          <w:szCs w:val="18"/>
          <w:lang w:val="en-GB"/>
        </w:rPr>
        <w:t>mindset</w:t>
      </w:r>
      <w:proofErr w:type="spellEnd"/>
      <w:r w:rsidRPr="00484E07">
        <w:rPr>
          <w:rFonts w:ascii="Cambria" w:hAnsi="Cambria"/>
          <w:sz w:val="18"/>
          <w:szCs w:val="18"/>
          <w:lang w:val="en-GB"/>
        </w:rPr>
        <w:t xml:space="preserve">’ after calls for action on Amazon fires’, 23 </w:t>
      </w:r>
      <w:proofErr w:type="spellStart"/>
      <w:r w:rsidRPr="00484E07">
        <w:rPr>
          <w:rFonts w:ascii="Cambria" w:hAnsi="Cambria"/>
          <w:sz w:val="18"/>
          <w:szCs w:val="18"/>
          <w:lang w:val="en-GB"/>
        </w:rPr>
        <w:t>augustus</w:t>
      </w:r>
      <w:proofErr w:type="spellEnd"/>
      <w:r w:rsidRPr="00484E07">
        <w:rPr>
          <w:rFonts w:ascii="Cambria" w:hAnsi="Cambria"/>
          <w:sz w:val="18"/>
          <w:szCs w:val="18"/>
          <w:lang w:val="en-GB"/>
        </w:rPr>
        <w:t xml:space="preserve"> 2019 (https://www.cnbc.com/2019/08/23/brazils-bolsonaro-hits-back-at-frances-macron-over-amazon-fires.html)</w:t>
      </w:r>
    </w:p>
  </w:footnote>
  <w:footnote w:id="10">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Augusta </w:t>
      </w:r>
      <w:proofErr w:type="spellStart"/>
      <w:r w:rsidRPr="00484E07">
        <w:rPr>
          <w:rFonts w:ascii="Cambria" w:hAnsi="Cambria"/>
          <w:sz w:val="18"/>
          <w:szCs w:val="18"/>
          <w:lang w:val="en-GB"/>
        </w:rPr>
        <w:t>Saraiva</w:t>
      </w:r>
      <w:proofErr w:type="spellEnd"/>
      <w:r w:rsidRPr="00484E07">
        <w:rPr>
          <w:rFonts w:ascii="Cambria" w:hAnsi="Cambria"/>
          <w:sz w:val="18"/>
          <w:szCs w:val="18"/>
          <w:lang w:val="en-GB"/>
        </w:rPr>
        <w:t xml:space="preserve">, ‘Toppling Statues Isn’t Enough in Latin America’, 10 </w:t>
      </w:r>
      <w:proofErr w:type="spellStart"/>
      <w:r w:rsidRPr="00484E07">
        <w:rPr>
          <w:rFonts w:ascii="Cambria" w:hAnsi="Cambria"/>
          <w:sz w:val="18"/>
          <w:szCs w:val="18"/>
          <w:lang w:val="en-GB"/>
        </w:rPr>
        <w:t>augustus</w:t>
      </w:r>
      <w:proofErr w:type="spellEnd"/>
      <w:r w:rsidRPr="00484E07">
        <w:rPr>
          <w:rFonts w:ascii="Cambria" w:hAnsi="Cambria"/>
          <w:sz w:val="18"/>
          <w:szCs w:val="18"/>
          <w:lang w:val="en-GB"/>
        </w:rPr>
        <w:t xml:space="preserve"> 2020 (https://foreignpolicy.com/2020/08/10/latin-america-protest-colonial-statues-monuments-indigenous-rights/).</w:t>
      </w:r>
    </w:p>
  </w:footnote>
  <w:footnote w:id="11">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‘Shell in Nigeria’, Amnesty International, 2021 (https://www.amnesty.nl/wat-we-doen/themas/bedrijven-en-mensenrechten/shell-in-nigeria); </w:t>
      </w:r>
      <w:r w:rsidRPr="00484E07">
        <w:rPr>
          <w:rFonts w:ascii="Cambria" w:hAnsi="Cambria"/>
          <w:sz w:val="18"/>
          <w:szCs w:val="18"/>
        </w:rPr>
        <w:fldChar w:fldCharType="begin"/>
      </w:r>
      <w:r w:rsidRPr="00484E07">
        <w:rPr>
          <w:rFonts w:ascii="Cambria" w:hAnsi="Cambria"/>
          <w:sz w:val="18"/>
          <w:szCs w:val="18"/>
          <w:lang w:val="en-GB"/>
        </w:rPr>
        <w:instrText xml:space="preserve"> ADDIN ZOTERO_ITEM CSL_CITATION {"citationID":"IMysDihT","properties":{"formattedCitation":"Olivier van Beemen, {\\i{}Heineken in Africa: A Multinational Unleashed}, Illustrated edition (London: Hurst, 2019).","plainCitation":"Olivier van Beemen, Heineken in Africa: A Multinational Unleashed, Illustrated edition (London: Hurst, 2019).","noteIndex":5},"citationItems":[{"id":6468,"uris":["http://zotero.org/users/350098/items/VHJFEBFG"],"uri":["http://zotero.org/users/350098/items/VHJFEBFG"],"itemData":{"id":6468,"type":"book","abstract":"For Heineken, \"rising Africa\" is already a reality: the profits it extracts there are almost 50 per cent above the global average, and beer costs more in some African countries than it does in Europe. Heineken claims its presence boosts economic development on the continent. But is this true?Investigative journalist Olivier van Beemen has spent years seeking the answer, and his conclusion is damning: Heineken has hardly benefited Africa at all. On the contrary, there are some shocking skeletons in its African closet: tax avoidance, sexual abuse, links to genocide and other human rightsviolations, high-level corruption, crushing competition from indigenous brewers, and collaboration with dictators and pitiless anti-government rebels.Heineken in Africa caused a political and media furor on publication in The Netherlands, and was debated in their Parliament. It is an unmissable exposé of the havoc wreaked by a global giant seeking profit in the developing world.","edition":"Illustrated edition","event-place":"London","ISBN":"978-1-84904-902-3","language":"English","number-of-pages":"256","publisher":"Hurst","publisher-place":"London","source":"Amazon","title":"Heineken in Africa: A Multinational Unleashed","title-short":"Heineken in Africa","author":[{"family":"Beemen","given":"Olivier","dropping-particle":"van"}],"issued":{"date-parts":[["2019",9,1]]}}}],"schema":"https://github.com/citation-style-language/schema/raw/master/csl-citation.json"} </w:instrText>
      </w:r>
      <w:r w:rsidRPr="00484E07">
        <w:rPr>
          <w:rFonts w:ascii="Cambria" w:hAnsi="Cambria"/>
          <w:sz w:val="18"/>
          <w:szCs w:val="18"/>
        </w:rPr>
        <w:fldChar w:fldCharType="separate"/>
      </w:r>
      <w:r w:rsidRPr="00484E07">
        <w:rPr>
          <w:rFonts w:ascii="Cambria" w:hAnsi="Cambria"/>
          <w:sz w:val="18"/>
          <w:szCs w:val="18"/>
          <w:lang w:val="en-GB"/>
        </w:rPr>
        <w:t xml:space="preserve">Olivier van Beemen, </w:t>
      </w:r>
      <w:r w:rsidRPr="00484E07">
        <w:rPr>
          <w:rFonts w:ascii="Cambria" w:hAnsi="Cambria"/>
          <w:i/>
          <w:iCs/>
          <w:sz w:val="18"/>
          <w:szCs w:val="18"/>
          <w:lang w:val="en-GB"/>
        </w:rPr>
        <w:t>Heineken in Africa: A Multinational Unleashed</w:t>
      </w:r>
      <w:r w:rsidRPr="00484E07">
        <w:rPr>
          <w:rFonts w:ascii="Cambria" w:hAnsi="Cambria"/>
          <w:sz w:val="18"/>
          <w:szCs w:val="18"/>
          <w:lang w:val="en-GB"/>
        </w:rPr>
        <w:t>, Illustrated edition (London: Hurst, 2019).</w:t>
      </w:r>
      <w:r w:rsidRPr="00484E07">
        <w:rPr>
          <w:rFonts w:ascii="Cambria" w:hAnsi="Cambria"/>
          <w:sz w:val="18"/>
          <w:szCs w:val="18"/>
        </w:rPr>
        <w:fldChar w:fldCharType="end"/>
      </w:r>
    </w:p>
  </w:footnote>
  <w:footnote w:id="12">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‘Action Plan on Critical Raw Materials’, 3 September 2020 https://emis.vito.be/sites/emis/files/articles/91/2020/Raw%20materials%20factsheet.pdf</w:t>
      </w:r>
    </w:p>
  </w:footnote>
  <w:footnote w:id="13">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w:t>
      </w:r>
      <w:r w:rsidRPr="00484E07">
        <w:rPr>
          <w:rFonts w:ascii="Cambria" w:hAnsi="Cambria"/>
          <w:sz w:val="18"/>
          <w:szCs w:val="18"/>
        </w:rPr>
        <w:fldChar w:fldCharType="begin"/>
      </w:r>
      <w:r w:rsidRPr="00484E07">
        <w:rPr>
          <w:rFonts w:ascii="Cambria" w:hAnsi="Cambria"/>
          <w:sz w:val="18"/>
          <w:szCs w:val="18"/>
          <w:lang w:val="en-GB"/>
        </w:rPr>
        <w:instrText xml:space="preserve"> ADDIN ZOTERO_ITEM CSL_CITATION {"citationID":"3wuBD3v9","properties":{"formattedCitation":"Nils Gilman, \\uc0\\u8220{}The New International Economic Order: A Reintroduction,\\uc0\\u8221{} {\\i{}Humanity} 6, no. 1 (2015): 1\\uc0\\u8211{}16.","plainCitation":"Nils Gilman, “The New International Economic Order: A Reintroduction,” Humanity 6, no. 1 (2015): 1–16.","noteIndex":11},"citationItems":[{"id":4660,"uris":["http://zotero.org/users/350098/items/CN5RMA4K"],"uri":["http://zotero.org/users/350098/items/CN5RMA4K"],"itemData":{"id":4660,"type":"article-journal","container-title":"Humanity","issue":"1","page":"1-16","title":"The New International Economic Order: A Reintroduction","volume":"6","author":[{"family":"Gilman","given":"Nils"}],"issued":{"date-parts":[["2015"]]}}}],"schema":"https://github.com/citation-style-language/schema/raw/master/csl-citation.json"} </w:instrText>
      </w:r>
      <w:r w:rsidRPr="00484E07">
        <w:rPr>
          <w:rFonts w:ascii="Cambria" w:hAnsi="Cambria"/>
          <w:sz w:val="18"/>
          <w:szCs w:val="18"/>
        </w:rPr>
        <w:fldChar w:fldCharType="separate"/>
      </w:r>
      <w:r w:rsidRPr="00484E07">
        <w:rPr>
          <w:rFonts w:ascii="Cambria" w:hAnsi="Cambria" w:cs="Calibri"/>
          <w:sz w:val="18"/>
          <w:szCs w:val="18"/>
          <w:lang w:val="en-GB"/>
        </w:rPr>
        <w:t xml:space="preserve">Nils Gilman, “The New International Economic Order: A Reintroduction,” </w:t>
      </w:r>
      <w:r w:rsidRPr="00484E07">
        <w:rPr>
          <w:rFonts w:ascii="Cambria" w:hAnsi="Cambria" w:cs="Calibri"/>
          <w:i/>
          <w:iCs/>
          <w:sz w:val="18"/>
          <w:szCs w:val="18"/>
          <w:lang w:val="en-GB"/>
        </w:rPr>
        <w:t>Humanity</w:t>
      </w:r>
      <w:r w:rsidRPr="00484E07">
        <w:rPr>
          <w:rFonts w:ascii="Cambria" w:hAnsi="Cambria" w:cs="Calibri"/>
          <w:sz w:val="18"/>
          <w:szCs w:val="18"/>
          <w:lang w:val="en-GB"/>
        </w:rPr>
        <w:t xml:space="preserve"> 6, no. 1 (2015): 1–16.</w:t>
      </w:r>
      <w:r w:rsidRPr="00484E07">
        <w:rPr>
          <w:rFonts w:ascii="Cambria" w:hAnsi="Cambria"/>
          <w:sz w:val="18"/>
          <w:szCs w:val="18"/>
        </w:rPr>
        <w:fldChar w:fldCharType="end"/>
      </w:r>
    </w:p>
  </w:footnote>
  <w:footnote w:id="14">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w:t>
      </w:r>
      <w:r w:rsidRPr="00484E07">
        <w:rPr>
          <w:rFonts w:ascii="Cambria" w:hAnsi="Cambria"/>
          <w:sz w:val="18"/>
          <w:szCs w:val="18"/>
        </w:rPr>
        <w:fldChar w:fldCharType="begin"/>
      </w:r>
      <w:r w:rsidRPr="00484E07">
        <w:rPr>
          <w:rFonts w:ascii="Cambria" w:hAnsi="Cambria"/>
          <w:sz w:val="18"/>
          <w:szCs w:val="18"/>
          <w:lang w:val="en-GB"/>
        </w:rPr>
        <w:instrText xml:space="preserve"> ADDIN ZOTERO_ITEM CSL_CITATION {"citationID":"Quuj2hBg","properties":{"formattedCitation":"Isabella Tamine Parra Miranda et al., \\uc0\\u8220{}A Review on Green Technology Practices at BRICS Countries: Brazil, Russia, India, China, and South Africa,\\uc0\\u8221{} {\\i{}SAGE Open} 11, no. 2 (April 1, 2021): 21582440211013780, https://doi.org/10.1177/21582440211013780.","plainCitation":"Isabella Tamine Parra Miranda et al., “A Review on Green Technology Practices at BRICS Countries: Brazil, Russia, India, China, and South Africa,” SAGE Open 11, no. 2 (April 1, 2021): 21582440211013780, https://doi.org/10.1177/21582440211013780.","noteIndex":12},"citationItems":[{"id":6472,"uris":["http://zotero.org/users/350098/items/86B8ZH75"],"uri":["http://zotero.org/users/350098/items/86B8ZH75"],"itemData":{"id":6472,"type":"article-journal","abstract":"The objective of this study is to identify the main Green Technology practices carried out in the countries Brazil, Russia, India, China, and South Africa (BRICS), through a systematic review without temporal delimitation. BRICS countries were chosen due to the high potential for impact on the environment, as well as the possibility of increasing the theoretical subsidy in discussions related to sustainable practices in these countries. The Methodi Ordinatio methodology was used to select and map the portfolio of relevant articles in the area, which allowed the identification of the main Green Technology practices used in the BRICS countries. The final portfolio was composed of 170 studies. The main Green Technology practices used in the BRICS are related to products, processes, and raw materials; a sustainable agriculture; water treatment and retention; waste management; green energy and energy reduction; carbon and biogas reduction; green buildings; and sustainability and ecocities policies. A greater number of researches on Green Technology and its practices took place in the countries of China and India, which can be explained due to its more sustainable development, greater number of sustainable actions, and growing interest by the country’s local academy. Brazil, Russia, and South Africa did not excel in Green Technology practices. The study provided an overview of the practices used in these countries and that can contribute to guidance for companies that are concerned with sustainability. It is worth mentioning that the political interest in this topic was identified, because there are political actions that encourage Green Technology practices.","container-title":"SAGE Open","DOI":"10.1177/21582440211013780","ISSN":"2158-2440","issue":"2","journalAbbreviation":"SAGE Open","language":"en","note":"publisher: SAGE Publications","page":"21582440211013780","source":"SAGE Journals","title":"A Review on Green Technology Practices at BRICS Countries: Brazil, Russia, India, China, and South Africa","title-short":"A Review on Green Technology Practices at BRICS Countries","volume":"11","author":[{"family":"Miranda","given":"Isabella Tamine Parra"},{"family":"Moletta","given":"Juliana"},{"family":"Pedroso","given":"Bruno"},{"family":"Pilatti","given":"Luiz Alberto"},{"family":"Picinin","given":"Claudia Tania"}],"issued":{"date-parts":[["2021",4,1]]}}}],"schema":"https://github.com/citation-style-language/schema/raw/master/csl-citation.json"} </w:instrText>
      </w:r>
      <w:r w:rsidRPr="00484E07">
        <w:rPr>
          <w:rFonts w:ascii="Cambria" w:hAnsi="Cambria"/>
          <w:sz w:val="18"/>
          <w:szCs w:val="18"/>
        </w:rPr>
        <w:fldChar w:fldCharType="separate"/>
      </w:r>
      <w:r w:rsidRPr="00484E07">
        <w:rPr>
          <w:rFonts w:ascii="Cambria" w:hAnsi="Cambria" w:cs="Calibri"/>
          <w:sz w:val="18"/>
          <w:szCs w:val="18"/>
          <w:lang w:val="en-GB"/>
        </w:rPr>
        <w:t xml:space="preserve">Isabella Tamine Parra Miranda et al., “A Review on Green Technology Practices at BRICS Countries: Brazil, Russia, India, China, and South Africa,” </w:t>
      </w:r>
      <w:r w:rsidRPr="00484E07">
        <w:rPr>
          <w:rFonts w:ascii="Cambria" w:hAnsi="Cambria" w:cs="Calibri"/>
          <w:i/>
          <w:iCs/>
          <w:sz w:val="18"/>
          <w:szCs w:val="18"/>
          <w:lang w:val="en-GB"/>
        </w:rPr>
        <w:t>SAGE Open</w:t>
      </w:r>
      <w:r w:rsidRPr="00484E07">
        <w:rPr>
          <w:rFonts w:ascii="Cambria" w:hAnsi="Cambria" w:cs="Calibri"/>
          <w:sz w:val="18"/>
          <w:szCs w:val="18"/>
          <w:lang w:val="en-GB"/>
        </w:rPr>
        <w:t xml:space="preserve"> 11, no. 2 (April 1, 2021): 21582440211013780, https://doi.org/10.1177/21582440211013780.</w:t>
      </w:r>
      <w:r w:rsidRPr="00484E07">
        <w:rPr>
          <w:rFonts w:ascii="Cambria" w:hAnsi="Cambria"/>
          <w:sz w:val="18"/>
          <w:szCs w:val="18"/>
        </w:rPr>
        <w:fldChar w:fldCharType="end"/>
      </w:r>
    </w:p>
  </w:footnote>
  <w:footnote w:id="15">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‘Trade and Industrial Development’, 2020 (https://au.int/en/trade-and-industrial-development).</w:t>
      </w:r>
    </w:p>
  </w:footnote>
  <w:footnote w:id="16">
    <w:p w:rsidR="00274702" w:rsidRPr="00484E07" w:rsidRDefault="00274702" w:rsidP="00274702">
      <w:pPr>
        <w:pStyle w:val="Voetnoottekst"/>
        <w:rPr>
          <w:rFonts w:ascii="Cambria" w:hAnsi="Cambria"/>
          <w:sz w:val="18"/>
          <w:szCs w:val="18"/>
          <w:lang w:val="en-GB"/>
        </w:rPr>
      </w:pPr>
      <w:r w:rsidRPr="00484E07">
        <w:rPr>
          <w:rStyle w:val="Voetnootmarkering"/>
          <w:rFonts w:ascii="Cambria" w:hAnsi="Cambria"/>
          <w:sz w:val="18"/>
          <w:szCs w:val="18"/>
        </w:rPr>
        <w:footnoteRef/>
      </w:r>
      <w:r w:rsidRPr="00484E07">
        <w:rPr>
          <w:rFonts w:ascii="Cambria" w:hAnsi="Cambria"/>
          <w:sz w:val="18"/>
          <w:szCs w:val="18"/>
          <w:lang w:val="en-GB"/>
        </w:rPr>
        <w:t xml:space="preserve"> ‘Charter of the Organisation of American States (A-41)’ (http://www.oas.org/en/sla/dil/inter_american_treaties_A-41_charter_OAS.asp).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7C7" w:rsidRDefault="006907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2B" w:rsidRDefault="00C0042B" w:rsidP="00C0042B">
    <w:pPr>
      <w:pStyle w:val="Koptekst"/>
      <w:ind w:left="-141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2B" w:rsidRDefault="006907C7" w:rsidP="00B12B0D">
    <w:pPr>
      <w:pStyle w:val="Koptekst"/>
      <w:ind w:left="-850"/>
    </w:pPr>
    <w:r>
      <w:rPr>
        <w:noProof/>
        <w:lang w:eastAsia="nl-NL"/>
      </w:rPr>
      <mc:AlternateContent>
        <mc:Choice Requires="wps">
          <w:drawing>
            <wp:anchor distT="0" distB="0" distL="114300" distR="114300" simplePos="0" relativeHeight="251663360" behindDoc="0" locked="0" layoutInCell="1" allowOverlap="1">
              <wp:simplePos x="0" y="0"/>
              <wp:positionH relativeFrom="margin">
                <wp:posOffset>1207163</wp:posOffset>
              </wp:positionH>
              <wp:positionV relativeFrom="paragraph">
                <wp:posOffset>1017052</wp:posOffset>
              </wp:positionV>
              <wp:extent cx="5266719" cy="279779"/>
              <wp:effectExtent l="0" t="0" r="10160" b="6350"/>
              <wp:wrapNone/>
              <wp:docPr id="60" name="Tekstvak 60"/>
              <wp:cNvGraphicFramePr/>
              <a:graphic xmlns:a="http://schemas.openxmlformats.org/drawingml/2006/main">
                <a:graphicData uri="http://schemas.microsoft.com/office/word/2010/wordprocessingShape">
                  <wps:wsp>
                    <wps:cNvSpPr txBox="1"/>
                    <wps:spPr>
                      <a:xfrm>
                        <a:off x="0" y="0"/>
                        <a:ext cx="5266719" cy="279779"/>
                      </a:xfrm>
                      <a:prstGeom prst="rect">
                        <a:avLst/>
                      </a:prstGeom>
                      <a:noFill/>
                      <a:ln w="6350">
                        <a:noFill/>
                      </a:ln>
                    </wps:spPr>
                    <wps:txbx>
                      <w:txbxContent>
                        <w:p w:rsidR="00813BD3" w:rsidRPr="006907C7" w:rsidRDefault="006907C7" w:rsidP="00813BD3">
                          <w:pPr>
                            <w:pStyle w:val="TitelFactsheet"/>
                            <w:rPr>
                              <w:b/>
                              <w:sz w:val="18"/>
                              <w:szCs w:val="18"/>
                            </w:rPr>
                          </w:pPr>
                          <w:r w:rsidRPr="006907C7">
                            <w:rPr>
                              <w:b/>
                              <w:sz w:val="18"/>
                              <w:szCs w:val="18"/>
                            </w:rPr>
                            <w:t>BUITENLANDS BELEID VAN  DE EU, INCLUSIEF DE MACHTSVERSCHUIVING TUSSEN DE EU, VS EN CHINA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60" o:spid="_x0000_s1026" type="#_x0000_t202" style="position:absolute;left:0;text-align:left;margin-left:95.05pt;margin-top:80.1pt;width:414.7pt;height:2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" filled="f" stroked="f" strokeweight=".5pt">
              <v:textbox inset="0,0,0,0">
                <w:txbxContent>
                  <w:p w:rsidR="00813BD3" w:rsidRPr="006907C7" w:rsidRDefault="006907C7" w:rsidP="00813BD3">
                    <w:pPr>
                      <w:pStyle w:val="TitelFactsheet"/>
                      <w:rPr>
                        <w:b/>
                        <w:sz w:val="18"/>
                        <w:szCs w:val="18"/>
                      </w:rPr>
                    </w:pPr>
                    <w:r w:rsidRPr="006907C7">
                      <w:rPr>
                        <w:b/>
                        <w:sz w:val="18"/>
                        <w:szCs w:val="18"/>
                      </w:rPr>
                      <w:t>BUITENLANDS BELEID VAN  DE EU, INCLUSIEF DE MACHTSVERSCHUIVING TUSSEN DE EU, VS EN CHINA</w:t>
                    </w:r>
                  </w:p>
                </w:txbxContent>
              </v:textbox>
              <w10:wrap anchorx="margin"/>
            </v:shape>
          </w:pict>
        </mc:Fallback>
      </mc:AlternateContent>
    </w:r>
    <w:r w:rsidR="00B55E99">
      <w:rPr>
        <w:noProof/>
        <w:lang w:eastAsia="nl-NL"/>
      </w:rPr>
      <mc:AlternateContent>
        <mc:Choice Requires="wps">
          <w:drawing>
            <wp:anchor distT="0" distB="0" distL="114300" distR="114300" simplePos="0" relativeHeight="251659264" behindDoc="0" locked="0" layoutInCell="1" allowOverlap="1">
              <wp:simplePos x="0" y="0"/>
              <wp:positionH relativeFrom="column">
                <wp:posOffset>1480119</wp:posOffset>
              </wp:positionH>
              <wp:positionV relativeFrom="paragraph">
                <wp:posOffset>1245652</wp:posOffset>
              </wp:positionV>
              <wp:extent cx="4152265" cy="303587"/>
              <wp:effectExtent l="0" t="0" r="635" b="1270"/>
              <wp:wrapNone/>
              <wp:docPr id="5" name="Tekstvak 5"/>
              <wp:cNvGraphicFramePr/>
              <a:graphic xmlns:a="http://schemas.openxmlformats.org/drawingml/2006/main">
                <a:graphicData uri="http://schemas.microsoft.com/office/word/2010/wordprocessingShape">
                  <wps:wsp>
                    <wps:cNvSpPr txBox="1"/>
                    <wps:spPr>
                      <a:xfrm>
                        <a:off x="0" y="0"/>
                        <a:ext cx="4152265" cy="303587"/>
                      </a:xfrm>
                      <a:prstGeom prst="rect">
                        <a:avLst/>
                      </a:prstGeom>
                      <a:solidFill>
                        <a:schemeClr val="lt1"/>
                      </a:solidFill>
                      <a:ln w="6350">
                        <a:noFill/>
                      </a:ln>
                    </wps:spPr>
                    <wps:txbx>
                      <w:txbxContent>
                        <w:p w:rsidR="00274702" w:rsidRPr="00B55E99" w:rsidRDefault="00274702" w:rsidP="00274702">
                          <w:pPr>
                            <w:rPr>
                              <w:rFonts w:ascii="Verdana" w:hAnsi="Verdana"/>
                              <w:color w:val="7F7F7F"/>
                              <w:sz w:val="12"/>
                              <w:szCs w:val="12"/>
                            </w:rPr>
                          </w:pPr>
                          <w:r w:rsidRPr="00B55E99">
                            <w:rPr>
                              <w:rFonts w:ascii="Verdana" w:hAnsi="Verdana"/>
                              <w:color w:val="7F7F7F"/>
                              <w:sz w:val="12"/>
                              <w:szCs w:val="12"/>
                            </w:rPr>
                            <w:t xml:space="preserve">Deze </w:t>
                          </w:r>
                          <w:proofErr w:type="spellStart"/>
                          <w:r w:rsidRPr="00B55E99">
                            <w:rPr>
                              <w:rFonts w:ascii="Verdana" w:hAnsi="Verdana"/>
                              <w:color w:val="7F7F7F"/>
                              <w:sz w:val="12"/>
                              <w:szCs w:val="12"/>
                            </w:rPr>
                            <w:t>factsheet</w:t>
                          </w:r>
                          <w:proofErr w:type="spellEnd"/>
                          <w:r w:rsidRPr="00B55E99">
                            <w:rPr>
                              <w:rFonts w:ascii="Verdana" w:hAnsi="Verdana"/>
                              <w:color w:val="7F7F7F"/>
                              <w:sz w:val="12"/>
                              <w:szCs w:val="12"/>
                            </w:rPr>
                            <w:t xml:space="preserve"> is tot stand gekomen in het kader van de samenwerking tussen de</w:t>
                          </w:r>
                        </w:p>
                        <w:p w:rsidR="00FD2433" w:rsidRPr="00B55E99" w:rsidRDefault="00274702" w:rsidP="00274702">
                          <w:pPr>
                            <w:rPr>
                              <w:rFonts w:ascii="Verdana" w:hAnsi="Verdana"/>
                              <w:color w:val="7F7F7F"/>
                              <w:sz w:val="12"/>
                              <w:szCs w:val="12"/>
                            </w:rPr>
                          </w:pPr>
                          <w:r w:rsidRPr="00B55E99">
                            <w:rPr>
                              <w:rFonts w:ascii="Verdana" w:hAnsi="Verdana"/>
                              <w:color w:val="7F7F7F"/>
                              <w:sz w:val="12"/>
                              <w:szCs w:val="12"/>
                            </w:rPr>
                            <w:t xml:space="preserve">Tweede Kamer, De Jonge </w:t>
                          </w:r>
                          <w:proofErr w:type="spellStart"/>
                          <w:r w:rsidRPr="00B55E99">
                            <w:rPr>
                              <w:rFonts w:ascii="Verdana" w:hAnsi="Verdana"/>
                              <w:color w:val="7F7F7F"/>
                              <w:sz w:val="12"/>
                              <w:szCs w:val="12"/>
                            </w:rPr>
                            <w:t>Akademie</w:t>
                          </w:r>
                          <w:proofErr w:type="spellEnd"/>
                          <w:r w:rsidRPr="00B55E99">
                            <w:rPr>
                              <w:rFonts w:ascii="Verdana" w:hAnsi="Verdana"/>
                              <w:color w:val="7F7F7F"/>
                              <w:sz w:val="12"/>
                              <w:szCs w:val="12"/>
                            </w:rPr>
                            <w:t>, KNAW, NFU, NWO, TNO en VSNU.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5" o:spid="_x0000_s1027" type="#_x0000_t202" style="position:absolute;left:0;text-align:left;margin-left:116.55pt;margin-top:98.1pt;width:326.95pt;height:2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" fillcolor="white [3201]" stroked="f" strokeweight=".5pt">
              <v:textbox>
                <w:txbxContent>
                  <w:p w:rsidR="00274702" w:rsidRPr="00B55E99" w:rsidRDefault="00274702" w:rsidP="00274702">
                    <w:pPr>
                      <w:rPr>
                        <w:rFonts w:ascii="Verdana" w:hAnsi="Verdana"/>
                        <w:color w:val="7F7F7F"/>
                        <w:sz w:val="12"/>
                        <w:szCs w:val="12"/>
                      </w:rPr>
                    </w:pPr>
                    <w:r w:rsidRPr="00B55E99">
                      <w:rPr>
                        <w:rFonts w:ascii="Verdana" w:hAnsi="Verdana"/>
                        <w:color w:val="7F7F7F"/>
                        <w:sz w:val="12"/>
                        <w:szCs w:val="12"/>
                      </w:rPr>
                      <w:t xml:space="preserve">Deze </w:t>
                    </w:r>
                    <w:proofErr w:type="spellStart"/>
                    <w:r w:rsidRPr="00B55E99">
                      <w:rPr>
                        <w:rFonts w:ascii="Verdana" w:hAnsi="Verdana"/>
                        <w:color w:val="7F7F7F"/>
                        <w:sz w:val="12"/>
                        <w:szCs w:val="12"/>
                      </w:rPr>
                      <w:t>factsheet</w:t>
                    </w:r>
                    <w:proofErr w:type="spellEnd"/>
                    <w:r w:rsidRPr="00B55E99">
                      <w:rPr>
                        <w:rFonts w:ascii="Verdana" w:hAnsi="Verdana"/>
                        <w:color w:val="7F7F7F"/>
                        <w:sz w:val="12"/>
                        <w:szCs w:val="12"/>
                      </w:rPr>
                      <w:t xml:space="preserve"> is tot stand gekomen in het kader van de samenwerking tussen de</w:t>
                    </w:r>
                  </w:p>
                  <w:p w:rsidR="00FD2433" w:rsidRPr="00B55E99" w:rsidRDefault="00274702" w:rsidP="00274702">
                    <w:pPr>
                      <w:rPr>
                        <w:rFonts w:ascii="Verdana" w:hAnsi="Verdana"/>
                        <w:color w:val="7F7F7F"/>
                        <w:sz w:val="12"/>
                        <w:szCs w:val="12"/>
                      </w:rPr>
                    </w:pPr>
                    <w:r w:rsidRPr="00B55E99">
                      <w:rPr>
                        <w:rFonts w:ascii="Verdana" w:hAnsi="Verdana"/>
                        <w:color w:val="7F7F7F"/>
                        <w:sz w:val="12"/>
                        <w:szCs w:val="12"/>
                      </w:rPr>
                      <w:t xml:space="preserve">Tweede Kamer, De Jonge </w:t>
                    </w:r>
                    <w:proofErr w:type="spellStart"/>
                    <w:r w:rsidRPr="00B55E99">
                      <w:rPr>
                        <w:rFonts w:ascii="Verdana" w:hAnsi="Verdana"/>
                        <w:color w:val="7F7F7F"/>
                        <w:sz w:val="12"/>
                        <w:szCs w:val="12"/>
                      </w:rPr>
                      <w:t>Akademie</w:t>
                    </w:r>
                    <w:proofErr w:type="spellEnd"/>
                    <w:r w:rsidRPr="00B55E99">
                      <w:rPr>
                        <w:rFonts w:ascii="Verdana" w:hAnsi="Verdana"/>
                        <w:color w:val="7F7F7F"/>
                        <w:sz w:val="12"/>
                        <w:szCs w:val="12"/>
                      </w:rPr>
                      <w:t>, KNAW, NFU, NWO, TNO en VSNU.</w:t>
                    </w:r>
                  </w:p>
                </w:txbxContent>
              </v:textbox>
            </v:shape>
          </w:pict>
        </mc:Fallback>
      </mc:AlternateContent>
    </w:r>
    <w:r w:rsidR="00047AB1">
      <w:rPr>
        <w:noProof/>
        <w:lang w:eastAsia="nl-NL"/>
      </w:rPr>
      <mc:AlternateContent>
        <mc:Choice Requires="wps">
          <w:drawing>
            <wp:anchor distT="0" distB="0" distL="114300" distR="114300" simplePos="0" relativeHeight="251662336" behindDoc="0" locked="0" layoutInCell="1" allowOverlap="1" wp14:anchorId="5170C8D9" wp14:editId="6ED60445">
              <wp:simplePos x="0" y="0"/>
              <wp:positionH relativeFrom="margin">
                <wp:align>right</wp:align>
              </wp:positionH>
              <wp:positionV relativeFrom="paragraph">
                <wp:posOffset>1556139</wp:posOffset>
              </wp:positionV>
              <wp:extent cx="5478998" cy="456858"/>
              <wp:effectExtent l="0" t="0" r="7620" b="635"/>
              <wp:wrapNone/>
              <wp:docPr id="22" name="Tekstvak 22"/>
              <wp:cNvGraphicFramePr/>
              <a:graphic xmlns:a="http://schemas.openxmlformats.org/drawingml/2006/main">
                <a:graphicData uri="http://schemas.microsoft.com/office/word/2010/wordprocessingShape">
                  <wps:wsp>
                    <wps:cNvSpPr txBox="1"/>
                    <wps:spPr>
                      <a:xfrm>
                        <a:off x="0" y="0"/>
                        <a:ext cx="5478998" cy="456858"/>
                      </a:xfrm>
                      <a:prstGeom prst="rect">
                        <a:avLst/>
                      </a:prstGeom>
                      <a:solidFill>
                        <a:schemeClr val="lt1"/>
                      </a:solidFill>
                      <a:ln w="6350">
                        <a:noFill/>
                      </a:ln>
                    </wps:spPr>
                    <wps:txbx>
                      <w:txbxContent>
                        <w:p w:rsidR="0047771B" w:rsidRPr="00B55E99" w:rsidRDefault="00047AB1" w:rsidP="00047AB1">
                          <w:pPr>
                            <w:rPr>
                              <w:rFonts w:ascii="Verdana" w:hAnsi="Verdana"/>
                              <w:color w:val="54AEC4"/>
                              <w:sz w:val="12"/>
                              <w:szCs w:val="12"/>
                            </w:rPr>
                          </w:pPr>
                          <w:r w:rsidRPr="00B55E99">
                            <w:rPr>
                              <w:rFonts w:ascii="Verdana" w:hAnsi="Verdana"/>
                              <w:color w:val="54AEC4"/>
                              <w:sz w:val="12"/>
                              <w:szCs w:val="12"/>
                            </w:rPr>
                            <w:t>Open Strategische Autonomie van prof. dr. Wolfgang Wagner (VU) en dr. Paul van Hooft (HCSS)</w:t>
                          </w:r>
                          <w:r w:rsidR="00B55E99" w:rsidRPr="00B55E99">
                            <w:rPr>
                              <w:rFonts w:ascii="Verdana" w:hAnsi="Verdana"/>
                              <w:color w:val="54AEC4"/>
                              <w:sz w:val="12"/>
                              <w:szCs w:val="12"/>
                            </w:rPr>
                            <w:t xml:space="preserve">; </w:t>
                          </w:r>
                          <w:proofErr w:type="spellStart"/>
                          <w:r w:rsidRPr="00B55E99">
                            <w:rPr>
                              <w:rFonts w:ascii="Verdana" w:hAnsi="Verdana"/>
                              <w:color w:val="54AEC4"/>
                              <w:sz w:val="12"/>
                              <w:szCs w:val="12"/>
                            </w:rPr>
                            <w:t>factsheet</w:t>
                          </w:r>
                          <w:proofErr w:type="spellEnd"/>
                          <w:r w:rsidRPr="00B55E99">
                            <w:rPr>
                              <w:rFonts w:ascii="Verdana" w:hAnsi="Verdana"/>
                              <w:color w:val="54AEC4"/>
                              <w:sz w:val="12"/>
                              <w:szCs w:val="12"/>
                            </w:rPr>
                            <w:t xml:space="preserve"> Sancties van prof. dr. Wolfgang Wagner (VU) en dr. </w:t>
                          </w:r>
                          <w:proofErr w:type="spellStart"/>
                          <w:r w:rsidRPr="00B55E99">
                            <w:rPr>
                              <w:rFonts w:ascii="Verdana" w:hAnsi="Verdana"/>
                              <w:color w:val="54AEC4"/>
                              <w:sz w:val="12"/>
                              <w:szCs w:val="12"/>
                            </w:rPr>
                            <w:t>Michal</w:t>
                          </w:r>
                          <w:proofErr w:type="spellEnd"/>
                          <w:r w:rsidRPr="00B55E99">
                            <w:rPr>
                              <w:rFonts w:ascii="Verdana" w:hAnsi="Verdana"/>
                              <w:color w:val="54AEC4"/>
                              <w:sz w:val="12"/>
                              <w:szCs w:val="12"/>
                            </w:rPr>
                            <w:t xml:space="preserve"> </w:t>
                          </w:r>
                          <w:proofErr w:type="spellStart"/>
                          <w:r w:rsidRPr="00B55E99">
                            <w:rPr>
                              <w:rFonts w:ascii="Verdana" w:hAnsi="Verdana"/>
                              <w:color w:val="54AEC4"/>
                              <w:sz w:val="12"/>
                              <w:szCs w:val="12"/>
                            </w:rPr>
                            <w:t>Onderco</w:t>
                          </w:r>
                          <w:proofErr w:type="spellEnd"/>
                          <w:r w:rsidRPr="00B55E99">
                            <w:rPr>
                              <w:rFonts w:ascii="Verdana" w:hAnsi="Verdana"/>
                              <w:color w:val="54AEC4"/>
                              <w:sz w:val="12"/>
                              <w:szCs w:val="12"/>
                            </w:rPr>
                            <w:t xml:space="preserve"> (EUR)</w:t>
                          </w:r>
                          <w:r w:rsidR="00B55E99" w:rsidRPr="00B55E99">
                            <w:rPr>
                              <w:rFonts w:ascii="Verdana" w:hAnsi="Verdana"/>
                              <w:color w:val="54AEC4"/>
                              <w:sz w:val="12"/>
                              <w:szCs w:val="12"/>
                            </w:rPr>
                            <w:t xml:space="preserve">; </w:t>
                          </w:r>
                          <w:proofErr w:type="spellStart"/>
                          <w:r w:rsidRPr="00B55E99">
                            <w:rPr>
                              <w:rFonts w:ascii="Verdana" w:hAnsi="Verdana"/>
                              <w:color w:val="54AEC4"/>
                              <w:sz w:val="12"/>
                              <w:szCs w:val="12"/>
                            </w:rPr>
                            <w:t>factsheet</w:t>
                          </w:r>
                          <w:proofErr w:type="spellEnd"/>
                          <w:r w:rsidRPr="00B55E99">
                            <w:rPr>
                              <w:rFonts w:ascii="Verdana" w:hAnsi="Verdana"/>
                              <w:color w:val="54AEC4"/>
                              <w:sz w:val="12"/>
                              <w:szCs w:val="12"/>
                            </w:rPr>
                            <w:t xml:space="preserve"> Industriepolitiek van prof. dr.</w:t>
                          </w:r>
                          <w:r w:rsidR="00B55E99" w:rsidRPr="00B55E99">
                            <w:rPr>
                              <w:rFonts w:ascii="Verdana" w:hAnsi="Verdana"/>
                              <w:color w:val="54AEC4"/>
                              <w:sz w:val="12"/>
                              <w:szCs w:val="12"/>
                            </w:rPr>
                            <w:t xml:space="preserve"> Hans Schenk MBA (UU, emeritus);</w:t>
                          </w:r>
                          <w:r w:rsidRPr="00B55E99">
                            <w:rPr>
                              <w:rFonts w:ascii="Verdana" w:hAnsi="Verdana"/>
                              <w:color w:val="54AEC4"/>
                              <w:sz w:val="12"/>
                              <w:szCs w:val="12"/>
                            </w:rPr>
                            <w:t xml:space="preserve"> </w:t>
                          </w:r>
                          <w:proofErr w:type="spellStart"/>
                          <w:r w:rsidRPr="00B55E99">
                            <w:rPr>
                              <w:rFonts w:ascii="Verdana" w:hAnsi="Verdana"/>
                              <w:color w:val="54AEC4"/>
                              <w:sz w:val="12"/>
                              <w:szCs w:val="12"/>
                            </w:rPr>
                            <w:t>factsheet</w:t>
                          </w:r>
                          <w:proofErr w:type="spellEnd"/>
                          <w:r w:rsidRPr="00B55E99">
                            <w:rPr>
                              <w:rFonts w:ascii="Verdana" w:hAnsi="Verdana"/>
                              <w:color w:val="54AEC4"/>
                              <w:sz w:val="12"/>
                              <w:szCs w:val="12"/>
                            </w:rPr>
                            <w:t xml:space="preserve"> Open strategische autonomie t.a.v. Afrika en Latijns-Amerika van dr. Frank </w:t>
                          </w:r>
                          <w:proofErr w:type="spellStart"/>
                          <w:r w:rsidRPr="00B55E99">
                            <w:rPr>
                              <w:rFonts w:ascii="Verdana" w:hAnsi="Verdana"/>
                              <w:color w:val="54AEC4"/>
                              <w:sz w:val="12"/>
                              <w:szCs w:val="12"/>
                            </w:rPr>
                            <w:t>erits</w:t>
                          </w:r>
                          <w:proofErr w:type="spellEnd"/>
                          <w:r w:rsidRPr="00B55E99">
                            <w:rPr>
                              <w:rFonts w:ascii="Verdana" w:hAnsi="Verdana"/>
                              <w:color w:val="54AEC4"/>
                              <w:sz w:val="12"/>
                              <w:szCs w:val="12"/>
                            </w:rPr>
                            <w:t xml:space="preserve"> (UU)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0C8D9" id="Tekstvak 22" o:spid="_x0000_s1028" type="#_x0000_t202" style="position:absolute;left:0;text-align:left;margin-left:380.2pt;margin-top:122.55pt;width:431.4pt;height:35.9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" fillcolor="white [3201]" stroked="f" strokeweight=".5pt">
              <v:textbox>
                <w:txbxContent>
                  <w:p w:rsidR="0047771B" w:rsidRPr="00B55E99" w:rsidRDefault="00047AB1" w:rsidP="00047AB1">
                    <w:pPr>
                      <w:rPr>
                        <w:rFonts w:ascii="Verdana" w:hAnsi="Verdana"/>
                        <w:color w:val="54AEC4"/>
                        <w:sz w:val="12"/>
                        <w:szCs w:val="12"/>
                      </w:rPr>
                    </w:pPr>
                    <w:r w:rsidRPr="00B55E99">
                      <w:rPr>
                        <w:rFonts w:ascii="Verdana" w:hAnsi="Verdana"/>
                        <w:color w:val="54AEC4"/>
                        <w:sz w:val="12"/>
                        <w:szCs w:val="12"/>
                      </w:rPr>
                      <w:t>Open Strategische Autonomie van prof. dr. Wolfgang Wagner (VU) en dr. Paul van Hooft (HCSS)</w:t>
                    </w:r>
                    <w:r w:rsidR="00B55E99" w:rsidRPr="00B55E99">
                      <w:rPr>
                        <w:rFonts w:ascii="Verdana" w:hAnsi="Verdana"/>
                        <w:color w:val="54AEC4"/>
                        <w:sz w:val="12"/>
                        <w:szCs w:val="12"/>
                      </w:rPr>
                      <w:t xml:space="preserve">; </w:t>
                    </w:r>
                    <w:proofErr w:type="spellStart"/>
                    <w:r w:rsidRPr="00B55E99">
                      <w:rPr>
                        <w:rFonts w:ascii="Verdana" w:hAnsi="Verdana"/>
                        <w:color w:val="54AEC4"/>
                        <w:sz w:val="12"/>
                        <w:szCs w:val="12"/>
                      </w:rPr>
                      <w:t>factsheet</w:t>
                    </w:r>
                    <w:proofErr w:type="spellEnd"/>
                    <w:r w:rsidRPr="00B55E99">
                      <w:rPr>
                        <w:rFonts w:ascii="Verdana" w:hAnsi="Verdana"/>
                        <w:color w:val="54AEC4"/>
                        <w:sz w:val="12"/>
                        <w:szCs w:val="12"/>
                      </w:rPr>
                      <w:t xml:space="preserve"> Sancties van prof. dr. Wolfgang Wagner (VU) en dr. </w:t>
                    </w:r>
                    <w:proofErr w:type="spellStart"/>
                    <w:r w:rsidRPr="00B55E99">
                      <w:rPr>
                        <w:rFonts w:ascii="Verdana" w:hAnsi="Verdana"/>
                        <w:color w:val="54AEC4"/>
                        <w:sz w:val="12"/>
                        <w:szCs w:val="12"/>
                      </w:rPr>
                      <w:t>Michal</w:t>
                    </w:r>
                    <w:proofErr w:type="spellEnd"/>
                    <w:r w:rsidRPr="00B55E99">
                      <w:rPr>
                        <w:rFonts w:ascii="Verdana" w:hAnsi="Verdana"/>
                        <w:color w:val="54AEC4"/>
                        <w:sz w:val="12"/>
                        <w:szCs w:val="12"/>
                      </w:rPr>
                      <w:t xml:space="preserve"> </w:t>
                    </w:r>
                    <w:proofErr w:type="spellStart"/>
                    <w:r w:rsidRPr="00B55E99">
                      <w:rPr>
                        <w:rFonts w:ascii="Verdana" w:hAnsi="Verdana"/>
                        <w:color w:val="54AEC4"/>
                        <w:sz w:val="12"/>
                        <w:szCs w:val="12"/>
                      </w:rPr>
                      <w:t>Onderco</w:t>
                    </w:r>
                    <w:proofErr w:type="spellEnd"/>
                    <w:r w:rsidRPr="00B55E99">
                      <w:rPr>
                        <w:rFonts w:ascii="Verdana" w:hAnsi="Verdana"/>
                        <w:color w:val="54AEC4"/>
                        <w:sz w:val="12"/>
                        <w:szCs w:val="12"/>
                      </w:rPr>
                      <w:t xml:space="preserve"> (EUR)</w:t>
                    </w:r>
                    <w:r w:rsidR="00B55E99" w:rsidRPr="00B55E99">
                      <w:rPr>
                        <w:rFonts w:ascii="Verdana" w:hAnsi="Verdana"/>
                        <w:color w:val="54AEC4"/>
                        <w:sz w:val="12"/>
                        <w:szCs w:val="12"/>
                      </w:rPr>
                      <w:t xml:space="preserve">; </w:t>
                    </w:r>
                    <w:proofErr w:type="spellStart"/>
                    <w:r w:rsidRPr="00B55E99">
                      <w:rPr>
                        <w:rFonts w:ascii="Verdana" w:hAnsi="Verdana"/>
                        <w:color w:val="54AEC4"/>
                        <w:sz w:val="12"/>
                        <w:szCs w:val="12"/>
                      </w:rPr>
                      <w:t>factsheet</w:t>
                    </w:r>
                    <w:proofErr w:type="spellEnd"/>
                    <w:r w:rsidRPr="00B55E99">
                      <w:rPr>
                        <w:rFonts w:ascii="Verdana" w:hAnsi="Verdana"/>
                        <w:color w:val="54AEC4"/>
                        <w:sz w:val="12"/>
                        <w:szCs w:val="12"/>
                      </w:rPr>
                      <w:t xml:space="preserve"> Industriepolitiek van prof. dr.</w:t>
                    </w:r>
                    <w:r w:rsidR="00B55E99" w:rsidRPr="00B55E99">
                      <w:rPr>
                        <w:rFonts w:ascii="Verdana" w:hAnsi="Verdana"/>
                        <w:color w:val="54AEC4"/>
                        <w:sz w:val="12"/>
                        <w:szCs w:val="12"/>
                      </w:rPr>
                      <w:t xml:space="preserve"> Hans Schenk MBA (UU, emeritus);</w:t>
                    </w:r>
                    <w:r w:rsidRPr="00B55E99">
                      <w:rPr>
                        <w:rFonts w:ascii="Verdana" w:hAnsi="Verdana"/>
                        <w:color w:val="54AEC4"/>
                        <w:sz w:val="12"/>
                        <w:szCs w:val="12"/>
                      </w:rPr>
                      <w:t xml:space="preserve"> </w:t>
                    </w:r>
                    <w:proofErr w:type="spellStart"/>
                    <w:r w:rsidRPr="00B55E99">
                      <w:rPr>
                        <w:rFonts w:ascii="Verdana" w:hAnsi="Verdana"/>
                        <w:color w:val="54AEC4"/>
                        <w:sz w:val="12"/>
                        <w:szCs w:val="12"/>
                      </w:rPr>
                      <w:t>factsheet</w:t>
                    </w:r>
                    <w:proofErr w:type="spellEnd"/>
                    <w:r w:rsidRPr="00B55E99">
                      <w:rPr>
                        <w:rFonts w:ascii="Verdana" w:hAnsi="Verdana"/>
                        <w:color w:val="54AEC4"/>
                        <w:sz w:val="12"/>
                        <w:szCs w:val="12"/>
                      </w:rPr>
                      <w:t xml:space="preserve"> Open strategische autonomie t.a.v. Afrika en Latijns-Amerika van dr. Frank </w:t>
                    </w:r>
                    <w:proofErr w:type="spellStart"/>
                    <w:r w:rsidRPr="00B55E99">
                      <w:rPr>
                        <w:rFonts w:ascii="Verdana" w:hAnsi="Verdana"/>
                        <w:color w:val="54AEC4"/>
                        <w:sz w:val="12"/>
                        <w:szCs w:val="12"/>
                      </w:rPr>
                      <w:t>erits</w:t>
                    </w:r>
                    <w:proofErr w:type="spellEnd"/>
                    <w:r w:rsidRPr="00B55E99">
                      <w:rPr>
                        <w:rFonts w:ascii="Verdana" w:hAnsi="Verdana"/>
                        <w:color w:val="54AEC4"/>
                        <w:sz w:val="12"/>
                        <w:szCs w:val="12"/>
                      </w:rPr>
                      <w:t xml:space="preserve"> (UU)</w:t>
                    </w:r>
                  </w:p>
                </w:txbxContent>
              </v:textbox>
              <w10:wrap anchorx="margin"/>
            </v:shape>
          </w:pict>
        </mc:Fallback>
      </mc:AlternateContent>
    </w:r>
    <w:r w:rsidR="00530489">
      <w:rPr>
        <w:noProof/>
        <w:lang w:eastAsia="nl-NL"/>
      </w:rPr>
      <mc:AlternateContent>
        <mc:Choice Requires="wps">
          <w:drawing>
            <wp:anchor distT="0" distB="0" distL="114300" distR="114300" simplePos="0" relativeHeight="251661312" behindDoc="0" locked="0" layoutInCell="1" allowOverlap="1" wp14:anchorId="2B57616A" wp14:editId="5240DC80">
              <wp:simplePos x="0" y="0"/>
              <wp:positionH relativeFrom="margin">
                <wp:posOffset>40280</wp:posOffset>
              </wp:positionH>
              <wp:positionV relativeFrom="paragraph">
                <wp:posOffset>1685792</wp:posOffset>
              </wp:positionV>
              <wp:extent cx="1057701" cy="276225"/>
              <wp:effectExtent l="0" t="0" r="9525" b="9525"/>
              <wp:wrapNone/>
              <wp:docPr id="7" name="Tekstvak 7"/>
              <wp:cNvGraphicFramePr/>
              <a:graphic xmlns:a="http://schemas.openxmlformats.org/drawingml/2006/main">
                <a:graphicData uri="http://schemas.microsoft.com/office/word/2010/wordprocessingShape">
                  <wps:wsp>
                    <wps:cNvSpPr txBox="1"/>
                    <wps:spPr>
                      <a:xfrm>
                        <a:off x="0" y="0"/>
                        <a:ext cx="1057701" cy="276225"/>
                      </a:xfrm>
                      <a:prstGeom prst="rect">
                        <a:avLst/>
                      </a:prstGeom>
                      <a:solidFill>
                        <a:schemeClr val="lt1"/>
                      </a:solidFill>
                      <a:ln w="6350">
                        <a:noFill/>
                      </a:ln>
                    </wps:spPr>
                    <wps:txbx>
                      <w:txbxContent>
                        <w:p w:rsidR="0047771B" w:rsidRPr="0047771B" w:rsidRDefault="00530489" w:rsidP="0047771B">
                          <w:pPr>
                            <w:rPr>
                              <w:rFonts w:ascii="Verdana" w:hAnsi="Verdana"/>
                              <w:color w:val="54AEC4"/>
                              <w:sz w:val="14"/>
                              <w:szCs w:val="14"/>
                            </w:rPr>
                          </w:pPr>
                          <w:r>
                            <w:rPr>
                              <w:rFonts w:ascii="Verdana" w:hAnsi="Verdana"/>
                              <w:color w:val="54AEC4"/>
                              <w:sz w:val="14"/>
                              <w:szCs w:val="14"/>
                            </w:rPr>
                            <w:t>11 oktober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7616A" id="Tekstvak 7" o:spid="_x0000_s1029" type="#_x0000_t202" style="position:absolute;left:0;text-align:left;margin-left:3.15pt;margin-top:132.75pt;width:83.3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" fillcolor="white [3201]" stroked="f" strokeweight=".5pt">
              <v:textbox>
                <w:txbxContent>
                  <w:p w:rsidR="0047771B" w:rsidRPr="0047771B" w:rsidRDefault="00530489" w:rsidP="0047771B">
                    <w:pPr>
                      <w:rPr>
                        <w:rFonts w:ascii="Verdana" w:hAnsi="Verdana"/>
                        <w:color w:val="54AEC4"/>
                        <w:sz w:val="14"/>
                        <w:szCs w:val="14"/>
                      </w:rPr>
                    </w:pPr>
                    <w:r>
                      <w:rPr>
                        <w:rFonts w:ascii="Verdana" w:hAnsi="Verdana"/>
                        <w:color w:val="54AEC4"/>
                        <w:sz w:val="14"/>
                        <w:szCs w:val="14"/>
                      </w:rPr>
                      <w:t>11 oktober 2021</w:t>
                    </w:r>
                  </w:p>
                </w:txbxContent>
              </v:textbox>
              <w10:wrap anchorx="margin"/>
            </v:shape>
          </w:pict>
        </mc:Fallback>
      </mc:AlternateContent>
    </w:r>
    <w:r w:rsidR="00377215">
      <w:rPr>
        <w:noProof/>
        <w:lang w:eastAsia="nl-NL"/>
      </w:rPr>
      <w:drawing>
        <wp:inline distT="0" distB="0" distL="0" distR="0">
          <wp:extent cx="7538400" cy="1674000"/>
          <wp:effectExtent l="0" t="0" r="5715" b="2540"/>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actsheet pw.jpg"/>
                  <pic:cNvPicPr/>
                </pic:nvPicPr>
                <pic:blipFill>
                  <a:blip r:embed="rId1">
                    <a:extLst>
                      <a:ext uri="{28A0092B-C50C-407E-A947-70E740481C1C}">
                        <a14:useLocalDpi xmlns:a14="http://schemas.microsoft.com/office/drawing/2010/main" val="0"/>
                      </a:ext>
                    </a:extLst>
                  </a:blip>
                  <a:stretch>
                    <a:fillRect/>
                  </a:stretch>
                </pic:blipFill>
                <pic:spPr>
                  <a:xfrm>
                    <a:off x="0" y="0"/>
                    <a:ext cx="7538400" cy="167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4F0F"/>
    <w:multiLevelType w:val="hybridMultilevel"/>
    <w:tmpl w:val="63622242"/>
    <w:lvl w:ilvl="0" w:tplc="FA4825A2">
      <w:numFmt w:val="bullet"/>
      <w:lvlText w:val="-"/>
      <w:lvlJc w:val="left"/>
      <w:pPr>
        <w:ind w:left="360" w:hanging="360"/>
      </w:pPr>
      <w:rPr>
        <w:rFonts w:ascii="Verdana" w:eastAsia="Calibri"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3375D0"/>
    <w:multiLevelType w:val="hybridMultilevel"/>
    <w:tmpl w:val="19B49504"/>
    <w:lvl w:ilvl="0" w:tplc="1108DF20">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91D2E00"/>
    <w:multiLevelType w:val="hybridMultilevel"/>
    <w:tmpl w:val="02D023A8"/>
    <w:lvl w:ilvl="0" w:tplc="1108DF20">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1D905907"/>
    <w:multiLevelType w:val="hybridMultilevel"/>
    <w:tmpl w:val="3DB0FC54"/>
    <w:lvl w:ilvl="0" w:tplc="1108DF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6533458"/>
    <w:multiLevelType w:val="hybridMultilevel"/>
    <w:tmpl w:val="90BAAAFA"/>
    <w:lvl w:ilvl="0" w:tplc="1108DF20">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6F73E79"/>
    <w:multiLevelType w:val="hybridMultilevel"/>
    <w:tmpl w:val="D7C41A86"/>
    <w:lvl w:ilvl="0" w:tplc="0C043AC6">
      <w:start w:val="1"/>
      <w:numFmt w:val="bullet"/>
      <w:pStyle w:val="inspring"/>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6" w15:restartNumberingAfterBreak="0">
    <w:nsid w:val="507D12D5"/>
    <w:multiLevelType w:val="hybridMultilevel"/>
    <w:tmpl w:val="6D8638D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2D7281B"/>
    <w:multiLevelType w:val="hybridMultilevel"/>
    <w:tmpl w:val="59EAC04C"/>
    <w:lvl w:ilvl="0" w:tplc="0809000F">
      <w:start w:val="1"/>
      <w:numFmt w:val="decimal"/>
      <w:lvlText w:val="%1."/>
      <w:lvlJc w:val="left"/>
      <w:pPr>
        <w:ind w:left="360" w:hanging="360"/>
      </w:pPr>
      <w:rPr>
        <w:rFonts w:hint="default"/>
      </w:rPr>
    </w:lvl>
    <w:lvl w:ilvl="1" w:tplc="1108DF20">
      <w:numFmt w:val="bullet"/>
      <w:lvlText w:val="-"/>
      <w:lvlJc w:val="left"/>
      <w:pPr>
        <w:ind w:left="360" w:hanging="360"/>
      </w:pPr>
      <w:rPr>
        <w:rFonts w:ascii="Calibri" w:eastAsiaTheme="minorHAnsi" w:hAnsi="Calibri" w:cs="Calibr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62630B"/>
    <w:multiLevelType w:val="hybridMultilevel"/>
    <w:tmpl w:val="F39A1E1E"/>
    <w:lvl w:ilvl="0" w:tplc="1108DF20">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6A382148"/>
    <w:multiLevelType w:val="multilevel"/>
    <w:tmpl w:val="F880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F81BBF"/>
    <w:multiLevelType w:val="hybridMultilevel"/>
    <w:tmpl w:val="46DCE88C"/>
    <w:lvl w:ilvl="0" w:tplc="1108DF20">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C081CA2"/>
    <w:multiLevelType w:val="hybridMultilevel"/>
    <w:tmpl w:val="426447C4"/>
    <w:lvl w:ilvl="0" w:tplc="1108DF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11"/>
  </w:num>
  <w:num w:numId="6">
    <w:abstractNumId w:val="4"/>
  </w:num>
  <w:num w:numId="7">
    <w:abstractNumId w:val="10"/>
  </w:num>
  <w:num w:numId="8">
    <w:abstractNumId w:val="8"/>
  </w:num>
  <w:num w:numId="9">
    <w:abstractNumId w:val="2"/>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2B"/>
    <w:rsid w:val="00047AB1"/>
    <w:rsid w:val="00077609"/>
    <w:rsid w:val="00115BE6"/>
    <w:rsid w:val="00133055"/>
    <w:rsid w:val="001E5255"/>
    <w:rsid w:val="00274702"/>
    <w:rsid w:val="002F676A"/>
    <w:rsid w:val="00325809"/>
    <w:rsid w:val="00350F57"/>
    <w:rsid w:val="00377215"/>
    <w:rsid w:val="004043FF"/>
    <w:rsid w:val="0042333E"/>
    <w:rsid w:val="0047771B"/>
    <w:rsid w:val="00530489"/>
    <w:rsid w:val="0057318C"/>
    <w:rsid w:val="006907C7"/>
    <w:rsid w:val="006E4E5E"/>
    <w:rsid w:val="006F14DB"/>
    <w:rsid w:val="007E65EB"/>
    <w:rsid w:val="00813BD3"/>
    <w:rsid w:val="00B12B0D"/>
    <w:rsid w:val="00B55E99"/>
    <w:rsid w:val="00C0042B"/>
    <w:rsid w:val="00C06C8C"/>
    <w:rsid w:val="00E44ACC"/>
    <w:rsid w:val="00FD2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F7794EF-D53D-8647-BBA6-61015348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042B"/>
    <w:pPr>
      <w:tabs>
        <w:tab w:val="center" w:pos="4536"/>
        <w:tab w:val="right" w:pos="9072"/>
      </w:tabs>
    </w:pPr>
  </w:style>
  <w:style w:type="character" w:customStyle="1" w:styleId="KoptekstChar">
    <w:name w:val="Koptekst Char"/>
    <w:basedOn w:val="Standaardalinea-lettertype"/>
    <w:link w:val="Koptekst"/>
    <w:uiPriority w:val="99"/>
    <w:rsid w:val="00C0042B"/>
  </w:style>
  <w:style w:type="paragraph" w:styleId="Voettekst">
    <w:name w:val="footer"/>
    <w:basedOn w:val="Standaard"/>
    <w:link w:val="VoettekstChar"/>
    <w:uiPriority w:val="99"/>
    <w:unhideWhenUsed/>
    <w:rsid w:val="00C0042B"/>
    <w:pPr>
      <w:tabs>
        <w:tab w:val="center" w:pos="4536"/>
        <w:tab w:val="right" w:pos="9072"/>
      </w:tabs>
    </w:pPr>
  </w:style>
  <w:style w:type="character" w:customStyle="1" w:styleId="VoettekstChar">
    <w:name w:val="Voettekst Char"/>
    <w:basedOn w:val="Standaardalinea-lettertype"/>
    <w:link w:val="Voettekst"/>
    <w:uiPriority w:val="99"/>
    <w:rsid w:val="00C0042B"/>
  </w:style>
  <w:style w:type="paragraph" w:customStyle="1" w:styleId="Introtekst">
    <w:name w:val="Introtekst"/>
    <w:basedOn w:val="Standaard"/>
    <w:link w:val="IntrotekstChar"/>
    <w:rsid w:val="0042333E"/>
    <w:pPr>
      <w:spacing w:line="276" w:lineRule="auto"/>
    </w:pPr>
    <w:rPr>
      <w:rFonts w:ascii="Verdana" w:hAnsi="Verdana"/>
      <w:sz w:val="16"/>
      <w:szCs w:val="15"/>
    </w:rPr>
  </w:style>
  <w:style w:type="table" w:styleId="Tabelraster">
    <w:name w:val="Table Grid"/>
    <w:basedOn w:val="Standaardtabel"/>
    <w:uiPriority w:val="39"/>
    <w:rsid w:val="00B12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1">
    <w:name w:val="Stijl1"/>
    <w:basedOn w:val="Introtekst"/>
    <w:rsid w:val="0042333E"/>
    <w:rPr>
      <w:sz w:val="15"/>
    </w:rPr>
  </w:style>
  <w:style w:type="character" w:styleId="Subtielebenadrukking">
    <w:name w:val="Subtle Emphasis"/>
    <w:basedOn w:val="Standaardalinea-lettertype"/>
    <w:uiPriority w:val="19"/>
    <w:rsid w:val="00FD2433"/>
    <w:rPr>
      <w:i/>
      <w:iCs/>
      <w:color w:val="404040" w:themeColor="text1" w:themeTint="BF"/>
    </w:rPr>
  </w:style>
  <w:style w:type="paragraph" w:customStyle="1" w:styleId="Kop">
    <w:name w:val="Kop"/>
    <w:basedOn w:val="Introtekst"/>
    <w:link w:val="KopChar"/>
    <w:qFormat/>
    <w:rsid w:val="006F14DB"/>
    <w:pPr>
      <w:spacing w:before="400"/>
      <w:ind w:left="1247" w:right="567"/>
    </w:pPr>
    <w:rPr>
      <w:b/>
      <w:color w:val="121469"/>
      <w:sz w:val="32"/>
      <w:szCs w:val="32"/>
    </w:rPr>
  </w:style>
  <w:style w:type="paragraph" w:customStyle="1" w:styleId="Tekst">
    <w:name w:val="Tekst"/>
    <w:basedOn w:val="Introtekst"/>
    <w:link w:val="TekstChar"/>
    <w:qFormat/>
    <w:rsid w:val="00813BD3"/>
    <w:pPr>
      <w:ind w:left="1247" w:right="851"/>
    </w:pPr>
  </w:style>
  <w:style w:type="character" w:customStyle="1" w:styleId="IntrotekstChar">
    <w:name w:val="Introtekst Char"/>
    <w:basedOn w:val="Standaardalinea-lettertype"/>
    <w:link w:val="Introtekst"/>
    <w:rsid w:val="0047771B"/>
    <w:rPr>
      <w:rFonts w:ascii="Verdana" w:hAnsi="Verdana"/>
      <w:sz w:val="16"/>
      <w:szCs w:val="15"/>
    </w:rPr>
  </w:style>
  <w:style w:type="character" w:customStyle="1" w:styleId="KopChar">
    <w:name w:val="Kop Char"/>
    <w:basedOn w:val="IntrotekstChar"/>
    <w:link w:val="Kop"/>
    <w:rsid w:val="006F14DB"/>
    <w:rPr>
      <w:rFonts w:ascii="Verdana" w:hAnsi="Verdana"/>
      <w:b/>
      <w:color w:val="121469"/>
      <w:sz w:val="32"/>
      <w:szCs w:val="32"/>
    </w:rPr>
  </w:style>
  <w:style w:type="paragraph" w:customStyle="1" w:styleId="Tussenkopje">
    <w:name w:val="Tussenkopje"/>
    <w:basedOn w:val="Introtekst"/>
    <w:link w:val="TussenkopjeChar"/>
    <w:qFormat/>
    <w:rsid w:val="00813BD3"/>
    <w:pPr>
      <w:spacing w:before="240" w:after="120"/>
      <w:ind w:left="1247" w:right="851"/>
    </w:pPr>
    <w:rPr>
      <w:b/>
      <w:color w:val="121469"/>
    </w:rPr>
  </w:style>
  <w:style w:type="character" w:customStyle="1" w:styleId="TekstChar">
    <w:name w:val="Tekst Char"/>
    <w:basedOn w:val="IntrotekstChar"/>
    <w:link w:val="Tekst"/>
    <w:rsid w:val="00813BD3"/>
    <w:rPr>
      <w:rFonts w:ascii="Verdana" w:hAnsi="Verdana"/>
      <w:sz w:val="16"/>
      <w:szCs w:val="15"/>
    </w:rPr>
  </w:style>
  <w:style w:type="paragraph" w:customStyle="1" w:styleId="TitelFactsheet">
    <w:name w:val="Titel Factsheet"/>
    <w:basedOn w:val="Standaard"/>
    <w:link w:val="TitelFactsheetChar"/>
    <w:qFormat/>
    <w:rsid w:val="00813BD3"/>
    <w:rPr>
      <w:color w:val="FFFFFF" w:themeColor="background1"/>
    </w:rPr>
  </w:style>
  <w:style w:type="character" w:customStyle="1" w:styleId="TussenkopjeChar">
    <w:name w:val="Tussenkopje Char"/>
    <w:basedOn w:val="IntrotekstChar"/>
    <w:link w:val="Tussenkopje"/>
    <w:rsid w:val="00813BD3"/>
    <w:rPr>
      <w:rFonts w:ascii="Verdana" w:hAnsi="Verdana"/>
      <w:b/>
      <w:color w:val="121469"/>
      <w:sz w:val="16"/>
      <w:szCs w:val="15"/>
    </w:rPr>
  </w:style>
  <w:style w:type="paragraph" w:customStyle="1" w:styleId="tekstinspring">
    <w:name w:val="tekst inspring"/>
    <w:basedOn w:val="Tekst"/>
    <w:link w:val="tekstinspringChar"/>
    <w:rsid w:val="00813BD3"/>
    <w:pPr>
      <w:ind w:left="1276"/>
    </w:pPr>
  </w:style>
  <w:style w:type="character" w:customStyle="1" w:styleId="TitelFactsheetChar">
    <w:name w:val="Titel Factsheet Char"/>
    <w:basedOn w:val="Standaardalinea-lettertype"/>
    <w:link w:val="TitelFactsheet"/>
    <w:rsid w:val="00813BD3"/>
    <w:rPr>
      <w:color w:val="FFFFFF" w:themeColor="background1"/>
    </w:rPr>
  </w:style>
  <w:style w:type="paragraph" w:customStyle="1" w:styleId="inspring">
    <w:name w:val="inspring"/>
    <w:basedOn w:val="tekstinspring"/>
    <w:link w:val="inspringChar"/>
    <w:qFormat/>
    <w:rsid w:val="006F14DB"/>
    <w:pPr>
      <w:numPr>
        <w:numId w:val="1"/>
      </w:numPr>
      <w:ind w:left="1560" w:hanging="284"/>
    </w:pPr>
  </w:style>
  <w:style w:type="character" w:customStyle="1" w:styleId="tekstinspringChar">
    <w:name w:val="tekst inspring Char"/>
    <w:basedOn w:val="TekstChar"/>
    <w:link w:val="tekstinspring"/>
    <w:rsid w:val="00813BD3"/>
    <w:rPr>
      <w:rFonts w:ascii="Verdana" w:hAnsi="Verdana"/>
      <w:sz w:val="16"/>
      <w:szCs w:val="15"/>
    </w:rPr>
  </w:style>
  <w:style w:type="character" w:customStyle="1" w:styleId="inspringChar">
    <w:name w:val="inspring Char"/>
    <w:basedOn w:val="tekstinspringChar"/>
    <w:link w:val="inspring"/>
    <w:rsid w:val="006F14DB"/>
    <w:rPr>
      <w:rFonts w:ascii="Verdana" w:hAnsi="Verdana"/>
      <w:sz w:val="16"/>
      <w:szCs w:val="15"/>
    </w:rPr>
  </w:style>
  <w:style w:type="paragraph" w:styleId="Voetnoottekst">
    <w:name w:val="footnote text"/>
    <w:basedOn w:val="Standaard"/>
    <w:link w:val="VoetnoottekstChar"/>
    <w:uiPriority w:val="99"/>
    <w:unhideWhenUsed/>
    <w:rsid w:val="00274702"/>
    <w:rPr>
      <w:rFonts w:ascii="Times New Roman" w:eastAsia="Times New Roman" w:hAnsi="Times New Roman" w:cs="Times New Roman"/>
      <w:sz w:val="20"/>
      <w:szCs w:val="20"/>
      <w:lang w:eastAsia="en-GB"/>
    </w:rPr>
  </w:style>
  <w:style w:type="character" w:customStyle="1" w:styleId="VoetnoottekstChar">
    <w:name w:val="Voetnoottekst Char"/>
    <w:basedOn w:val="Standaardalinea-lettertype"/>
    <w:link w:val="Voetnoottekst"/>
    <w:uiPriority w:val="99"/>
    <w:rsid w:val="00274702"/>
    <w:rPr>
      <w:rFonts w:ascii="Times New Roman" w:eastAsia="Times New Roman" w:hAnsi="Times New Roman" w:cs="Times New Roman"/>
      <w:sz w:val="20"/>
      <w:szCs w:val="20"/>
      <w:lang w:eastAsia="en-GB"/>
    </w:rPr>
  </w:style>
  <w:style w:type="character" w:styleId="Voetnootmarkering">
    <w:name w:val="footnote reference"/>
    <w:basedOn w:val="Standaardalinea-lettertype"/>
    <w:uiPriority w:val="99"/>
    <w:semiHidden/>
    <w:unhideWhenUsed/>
    <w:rsid w:val="00274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sanctionsdatabase.com/" TargetMode="External" Id="rId8" /><Relationship Type="http://schemas.openxmlformats.org/officeDocument/2006/relationships/hyperlink" Target="https://www.cnbc.com/2019/08/23/brazils-bolsonaro-hits-back-at-frances-macron-over-amazon-fires.html"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foreignpolicy.com/2021/09/08/china-guinea-interference-relations-alpha-conde-xi-jinping/" TargetMode="External" Id="rId12" /><Relationship Type="http://schemas.openxmlformats.org/officeDocument/2006/relationships/image" Target="media/image1.jp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consilium.europa.eu/nl/press/press-" TargetMode="External"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hyperlink" Target="https://foreignpolicy.com/2020/08/10/latin-america-protest-colonial-statues-monuments-indigenous-rights/"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ec.europa.eu/commission/presscorner/detail/nl/ip_21_644" TargetMode="External" Id="rId15" /><Relationship Type="http://schemas.openxmlformats.org/officeDocument/2006/relationships/footer" Target="footer3.xml" Id="rId23" /><Relationship Type="http://schemas.openxmlformats.org/officeDocument/2006/relationships/hyperlink" Target="https://emis.vito.be/sites/emis/files/articles/91/2020/Raw%20materials%20factsheet.pdf" TargetMode="External"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hyperlink" Target="https://www.reuters.com/world/africa/toppled-conde-failed-live-up-pledges-guinea-2021-09-06" TargetMode="External" Id="rId9" /><Relationship Type="http://schemas.openxmlformats.org/officeDocument/2006/relationships/hyperlink" Target="https://erma.eu/about-us/" TargetMode="External" Id="rId14" /><Relationship Type="http://schemas.openxmlformats.org/officeDocument/2006/relationships/header" Target="header3.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10757</ap:Words>
  <ap:Characters>59165</ap:Characters>
  <ap:DocSecurity>4</ap:DocSecurity>
  <ap:Lines>493</ap:Lines>
  <ap:Paragraphs>139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2021-10-29T11:39:00.0000000Z</dcterms:created>
  <dcterms:modified xsi:type="dcterms:W3CDTF">2021-10-29T11:39:00.0000000Z</dcterms:modified>
  <version/>
  <category/>
</coreProperties>
</file>