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="003F75A1" w:rsidTr="00242D63" w14:paraId="0BD3E3EB" w14:textId="77777777">
        <w:tc>
          <w:tcPr>
            <w:tcW w:w="3614" w:type="dxa"/>
            <w:tcBorders>
              <w:bottom w:val="single" w:color="auto" w:sz="4" w:space="0"/>
            </w:tcBorders>
          </w:tcPr>
          <w:p w:rsidR="003F75A1" w:rsidRDefault="003F75A1" w14:paraId="708E4EF8" w14:textId="77777777">
            <w:pPr>
              <w:rPr>
                <w:b/>
              </w:rPr>
            </w:pPr>
            <w:r>
              <w:rPr>
                <w:b/>
              </w:rPr>
              <w:t>Tweede Kamer der Staten-Generaal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="003F75A1" w:rsidRDefault="003F75A1" w14:paraId="1E786553" w14:textId="77777777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3F75A1" w:rsidTr="00242D63" w14:paraId="7CF1141B" w14:textId="77777777">
        <w:tc>
          <w:tcPr>
            <w:tcW w:w="3614" w:type="dxa"/>
          </w:tcPr>
          <w:p w:rsidR="003F75A1" w:rsidRDefault="003F75A1" w14:paraId="5ADB5BC7" w14:textId="77777777"/>
        </w:tc>
        <w:tc>
          <w:tcPr>
            <w:tcW w:w="5596" w:type="dxa"/>
          </w:tcPr>
          <w:p w:rsidR="003F75A1" w:rsidRDefault="003F75A1" w14:paraId="2C5CBDFB" w14:textId="77777777"/>
        </w:tc>
      </w:tr>
      <w:tr w:rsidR="003F75A1" w:rsidTr="00242D63" w14:paraId="48769B59" w14:textId="77777777">
        <w:tc>
          <w:tcPr>
            <w:tcW w:w="3614" w:type="dxa"/>
            <w:tcBorders>
              <w:bottom w:val="single" w:color="auto" w:sz="4" w:space="0"/>
            </w:tcBorders>
          </w:tcPr>
          <w:p w:rsidR="003F75A1" w:rsidP="00475B57" w:rsidRDefault="003F75A1" w14:paraId="479D4C6A" w14:textId="38F50DBC">
            <w:r>
              <w:t>Vergaderjaar 20</w:t>
            </w:r>
            <w:r w:rsidR="004456C1">
              <w:t>21</w:t>
            </w:r>
            <w:r>
              <w:t>-20</w:t>
            </w:r>
            <w:r w:rsidR="004456C1">
              <w:t>22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="003F75A1" w:rsidRDefault="003F75A1" w14:paraId="78895B0B" w14:textId="77777777"/>
        </w:tc>
      </w:tr>
      <w:tr w:rsidR="003F75A1" w:rsidTr="00242D63" w14:paraId="25CC5B6D" w14:textId="77777777">
        <w:tc>
          <w:tcPr>
            <w:tcW w:w="3614" w:type="dxa"/>
          </w:tcPr>
          <w:p w:rsidR="003F75A1" w:rsidRDefault="003F75A1" w14:paraId="093283F8" w14:textId="77777777"/>
        </w:tc>
        <w:tc>
          <w:tcPr>
            <w:tcW w:w="5596" w:type="dxa"/>
          </w:tcPr>
          <w:p w:rsidR="003F75A1" w:rsidRDefault="003F75A1" w14:paraId="71FD8460" w14:textId="77777777"/>
        </w:tc>
      </w:tr>
      <w:tr w:rsidR="003F75A1" w:rsidTr="00242D63" w14:paraId="1A3F24A5" w14:textId="77777777">
        <w:tc>
          <w:tcPr>
            <w:tcW w:w="3614" w:type="dxa"/>
          </w:tcPr>
          <w:p w:rsidRPr="00434731" w:rsidR="003F75A1" w:rsidP="00B357FD" w:rsidRDefault="004456C1" w14:paraId="2BDC2483" w14:textId="4FACDBCE">
            <w:pPr>
              <w:rPr>
                <w:b/>
              </w:rPr>
            </w:pPr>
            <w:r>
              <w:rPr>
                <w:b/>
              </w:rPr>
              <w:t>35 925</w:t>
            </w:r>
          </w:p>
        </w:tc>
        <w:tc>
          <w:tcPr>
            <w:tcW w:w="5596" w:type="dxa"/>
          </w:tcPr>
          <w:p w:rsidRPr="000A62D1" w:rsidR="003F75A1" w:rsidP="000A62D1" w:rsidRDefault="00AB3DD8" w14:paraId="37718D1B" w14:textId="77777777">
            <w:pPr>
              <w:rPr>
                <w:b/>
              </w:rPr>
            </w:pPr>
            <w:r w:rsidRPr="00AB3DD8">
              <w:rPr>
                <w:b/>
              </w:rPr>
              <w:t>Nota over de toestand van ’s Rijks Financiën</w:t>
            </w:r>
          </w:p>
        </w:tc>
      </w:tr>
      <w:tr w:rsidR="003F75A1" w:rsidTr="00242D63" w14:paraId="3C059510" w14:textId="77777777">
        <w:tc>
          <w:tcPr>
            <w:tcW w:w="3614" w:type="dxa"/>
          </w:tcPr>
          <w:p w:rsidR="003F75A1" w:rsidRDefault="003F75A1" w14:paraId="036D8DA2" w14:textId="77777777"/>
        </w:tc>
        <w:tc>
          <w:tcPr>
            <w:tcW w:w="5596" w:type="dxa"/>
          </w:tcPr>
          <w:p w:rsidR="003F75A1" w:rsidRDefault="003F75A1" w14:paraId="1CDF4277" w14:textId="77777777"/>
        </w:tc>
      </w:tr>
      <w:tr w:rsidR="003F75A1" w:rsidTr="00242D63" w14:paraId="2F9DF2D0" w14:textId="77777777">
        <w:tc>
          <w:tcPr>
            <w:tcW w:w="3614" w:type="dxa"/>
          </w:tcPr>
          <w:p w:rsidR="003F75A1" w:rsidRDefault="003F75A1" w14:paraId="3D346BBE" w14:textId="77777777"/>
        </w:tc>
        <w:tc>
          <w:tcPr>
            <w:tcW w:w="5596" w:type="dxa"/>
          </w:tcPr>
          <w:p w:rsidR="003F75A1" w:rsidRDefault="003F75A1" w14:paraId="1F162534" w14:textId="77777777"/>
        </w:tc>
      </w:tr>
      <w:tr w:rsidR="003F75A1" w:rsidTr="00242D63" w14:paraId="7174C1C3" w14:textId="77777777">
        <w:tc>
          <w:tcPr>
            <w:tcW w:w="3614" w:type="dxa"/>
          </w:tcPr>
          <w:p w:rsidR="003F75A1" w:rsidRDefault="003F75A1" w14:paraId="5978F4DF" w14:textId="77777777"/>
        </w:tc>
        <w:tc>
          <w:tcPr>
            <w:tcW w:w="5596" w:type="dxa"/>
          </w:tcPr>
          <w:p w:rsidR="003F75A1" w:rsidRDefault="003F75A1" w14:paraId="1056EAA7" w14:textId="77777777"/>
        </w:tc>
      </w:tr>
      <w:tr w:rsidR="003F75A1" w:rsidTr="00242D63" w14:paraId="064F2F68" w14:textId="77777777">
        <w:tc>
          <w:tcPr>
            <w:tcW w:w="3614" w:type="dxa"/>
          </w:tcPr>
          <w:p w:rsidR="003F75A1" w:rsidRDefault="003F75A1" w14:paraId="273A3F6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5596" w:type="dxa"/>
          </w:tcPr>
          <w:p w:rsidR="003F75A1" w:rsidP="000A62D1" w:rsidRDefault="000A62D1" w14:paraId="009F9CCE" w14:textId="77777777">
            <w:pPr>
              <w:pStyle w:val="Kop1"/>
            </w:pPr>
            <w:r>
              <w:t>LIJST VAN VRAGEN EN ANTWOORDEN</w:t>
            </w:r>
          </w:p>
        </w:tc>
      </w:tr>
      <w:tr w:rsidR="003F75A1" w:rsidTr="00242D63" w14:paraId="6BBEA8F4" w14:textId="77777777">
        <w:tc>
          <w:tcPr>
            <w:tcW w:w="3614" w:type="dxa"/>
          </w:tcPr>
          <w:p w:rsidR="003F75A1" w:rsidRDefault="003F75A1" w14:paraId="26DA4E79" w14:textId="77777777"/>
        </w:tc>
        <w:tc>
          <w:tcPr>
            <w:tcW w:w="5596" w:type="dxa"/>
          </w:tcPr>
          <w:p w:rsidR="003F75A1" w:rsidP="00475B57" w:rsidRDefault="005174AE" w14:paraId="200144F2" w14:textId="41E178DB">
            <w:pPr>
              <w:pStyle w:val="Kop1"/>
              <w:rPr>
                <w:b w:val="0"/>
              </w:rPr>
            </w:pPr>
            <w:r>
              <w:rPr>
                <w:b w:val="0"/>
              </w:rPr>
              <w:t>Vastgestel</w:t>
            </w:r>
            <w:r w:rsidR="00EF7652">
              <w:rPr>
                <w:b w:val="0"/>
              </w:rPr>
              <w:t>d</w:t>
            </w:r>
            <w:r>
              <w:rPr>
                <w:b w:val="0"/>
              </w:rPr>
              <w:t xml:space="preserve"> </w:t>
            </w:r>
            <w:r w:rsidR="004456C1">
              <w:rPr>
                <w:b w:val="0"/>
              </w:rPr>
              <w:t>…</w:t>
            </w:r>
            <w:r>
              <w:rPr>
                <w:b w:val="0"/>
              </w:rPr>
              <w:t xml:space="preserve"> </w:t>
            </w:r>
            <w:r w:rsidR="00434731">
              <w:rPr>
                <w:b w:val="0"/>
              </w:rPr>
              <w:t>september</w:t>
            </w:r>
            <w:r w:rsidR="00845B84">
              <w:rPr>
                <w:b w:val="0"/>
              </w:rPr>
              <w:t xml:space="preserve"> 20</w:t>
            </w:r>
            <w:r w:rsidR="00475B57">
              <w:rPr>
                <w:b w:val="0"/>
              </w:rPr>
              <w:t>21</w:t>
            </w:r>
          </w:p>
        </w:tc>
      </w:tr>
      <w:tr w:rsidR="003F75A1" w:rsidTr="00242D63" w14:paraId="2F09F5E6" w14:textId="77777777">
        <w:tc>
          <w:tcPr>
            <w:tcW w:w="3614" w:type="dxa"/>
          </w:tcPr>
          <w:p w:rsidR="003F75A1" w:rsidRDefault="003F75A1" w14:paraId="0C648135" w14:textId="77777777"/>
        </w:tc>
        <w:tc>
          <w:tcPr>
            <w:tcW w:w="5596" w:type="dxa"/>
          </w:tcPr>
          <w:p w:rsidR="003F75A1" w:rsidRDefault="003F75A1" w14:paraId="06BD80FC" w14:textId="77777777">
            <w:pPr>
              <w:pStyle w:val="Kop1"/>
            </w:pPr>
          </w:p>
        </w:tc>
      </w:tr>
      <w:tr w:rsidR="003F75A1" w:rsidTr="00242D63" w14:paraId="691421F6" w14:textId="77777777">
        <w:tc>
          <w:tcPr>
            <w:tcW w:w="3614" w:type="dxa"/>
          </w:tcPr>
          <w:p w:rsidR="003F75A1" w:rsidRDefault="003F75A1" w14:paraId="2C2B54CB" w14:textId="77777777"/>
        </w:tc>
        <w:tc>
          <w:tcPr>
            <w:tcW w:w="5596" w:type="dxa"/>
          </w:tcPr>
          <w:p w:rsidRPr="00024FBB" w:rsidR="00A66BD2" w:rsidP="00A66BD2" w:rsidRDefault="003B7B12" w14:paraId="1560BA3A" w14:textId="39B7EC83">
            <w:pPr>
              <w:pStyle w:val="Kop1"/>
              <w:rPr>
                <w:b w:val="0"/>
              </w:rPr>
            </w:pPr>
            <w:r w:rsidRPr="00024FBB">
              <w:rPr>
                <w:b w:val="0"/>
              </w:rPr>
              <w:t xml:space="preserve">De vaste commissie voor Financiën </w:t>
            </w:r>
            <w:r w:rsidRPr="00024FBB" w:rsidR="001D2E14">
              <w:rPr>
                <w:b w:val="0"/>
              </w:rPr>
              <w:t>heeft</w:t>
            </w:r>
            <w:r w:rsidRPr="00024FBB" w:rsidR="00125895">
              <w:rPr>
                <w:b w:val="0"/>
              </w:rPr>
              <w:t xml:space="preserve"> een aantal vra</w:t>
            </w:r>
            <w:r w:rsidR="004A5B65">
              <w:rPr>
                <w:b w:val="0"/>
              </w:rPr>
              <w:t>gen voorgelegd aan de m</w:t>
            </w:r>
            <w:r w:rsidRPr="00024FBB" w:rsidR="00125895">
              <w:rPr>
                <w:b w:val="0"/>
              </w:rPr>
              <w:t>inister van Financiën</w:t>
            </w:r>
            <w:r w:rsidRPr="00024FBB" w:rsidR="001D2E14">
              <w:rPr>
                <w:b w:val="0"/>
              </w:rPr>
              <w:t xml:space="preserve"> </w:t>
            </w:r>
            <w:r w:rsidRPr="00024FBB" w:rsidR="005276F5">
              <w:rPr>
                <w:b w:val="0"/>
              </w:rPr>
              <w:t>over</w:t>
            </w:r>
            <w:r w:rsidR="004A5B65">
              <w:rPr>
                <w:b w:val="0"/>
              </w:rPr>
              <w:t xml:space="preserve"> zijn brief van </w:t>
            </w:r>
            <w:r w:rsidR="004456C1">
              <w:rPr>
                <w:b w:val="0"/>
              </w:rPr>
              <w:t>21</w:t>
            </w:r>
            <w:r w:rsidR="00242D63">
              <w:rPr>
                <w:b w:val="0"/>
              </w:rPr>
              <w:t xml:space="preserve"> september 20</w:t>
            </w:r>
            <w:r w:rsidR="00475B57">
              <w:rPr>
                <w:b w:val="0"/>
              </w:rPr>
              <w:t>21</w:t>
            </w:r>
            <w:r w:rsidR="004A5B65">
              <w:rPr>
                <w:b w:val="0"/>
              </w:rPr>
              <w:t xml:space="preserve"> inzake</w:t>
            </w:r>
            <w:r w:rsidRPr="00024FBB" w:rsidR="005276F5">
              <w:rPr>
                <w:b w:val="0"/>
              </w:rPr>
              <w:t xml:space="preserve"> </w:t>
            </w:r>
            <w:r w:rsidRPr="00024FBB" w:rsidR="00F86352">
              <w:rPr>
                <w:b w:val="0"/>
              </w:rPr>
              <w:t xml:space="preserve">het Bijlagenboek </w:t>
            </w:r>
            <w:r w:rsidRPr="00024FBB" w:rsidR="00434731">
              <w:rPr>
                <w:b w:val="0"/>
              </w:rPr>
              <w:t>bij de</w:t>
            </w:r>
            <w:r w:rsidR="004A5B65">
              <w:rPr>
                <w:b w:val="0"/>
              </w:rPr>
              <w:t xml:space="preserve"> Nota over de toestand van ’s Rijks </w:t>
            </w:r>
            <w:r w:rsidR="0073332A">
              <w:rPr>
                <w:b w:val="0"/>
              </w:rPr>
              <w:t>F</w:t>
            </w:r>
            <w:r w:rsidR="004A5B65">
              <w:rPr>
                <w:b w:val="0"/>
              </w:rPr>
              <w:t>inanciën (</w:t>
            </w:r>
            <w:r w:rsidR="00242D63">
              <w:rPr>
                <w:b w:val="0"/>
              </w:rPr>
              <w:t>Miljoenennota 20</w:t>
            </w:r>
            <w:r w:rsidR="004456C1">
              <w:rPr>
                <w:b w:val="0"/>
              </w:rPr>
              <w:t>22</w:t>
            </w:r>
            <w:r w:rsidR="004A5B65">
              <w:rPr>
                <w:b w:val="0"/>
              </w:rPr>
              <w:t>)</w:t>
            </w:r>
            <w:r w:rsidR="004456C1">
              <w:rPr>
                <w:b w:val="0"/>
              </w:rPr>
              <w:t xml:space="preserve"> </w:t>
            </w:r>
            <w:r w:rsidRPr="00024FBB" w:rsidR="00F86352">
              <w:rPr>
                <w:b w:val="0"/>
              </w:rPr>
              <w:t>(</w:t>
            </w:r>
            <w:r w:rsidRPr="00024FBB" w:rsidR="00125895">
              <w:rPr>
                <w:b w:val="0"/>
              </w:rPr>
              <w:t>Kamerstuk</w:t>
            </w:r>
            <w:r w:rsidR="004456C1">
              <w:rPr>
                <w:b w:val="0"/>
              </w:rPr>
              <w:t xml:space="preserve"> 35925</w:t>
            </w:r>
            <w:r w:rsidRPr="00024FBB" w:rsidR="00434731">
              <w:rPr>
                <w:b w:val="0"/>
              </w:rPr>
              <w:t xml:space="preserve">, nr. </w:t>
            </w:r>
            <w:r w:rsidR="004456C1">
              <w:rPr>
                <w:b w:val="0"/>
              </w:rPr>
              <w:t>2</w:t>
            </w:r>
            <w:r w:rsidRPr="00024FBB" w:rsidR="00125895">
              <w:rPr>
                <w:b w:val="0"/>
              </w:rPr>
              <w:t>)</w:t>
            </w:r>
            <w:r w:rsidRPr="00024FBB" w:rsidR="00213461">
              <w:rPr>
                <w:b w:val="0"/>
              </w:rPr>
              <w:t xml:space="preserve">. </w:t>
            </w:r>
          </w:p>
          <w:p w:rsidRPr="00024FBB" w:rsidR="00845B84" w:rsidP="00254507" w:rsidRDefault="00845B84" w14:paraId="3AD50BAD" w14:textId="77777777"/>
          <w:p w:rsidRPr="001D2E14" w:rsidR="003F75A1" w:rsidP="00AD3AAF" w:rsidRDefault="00125895" w14:paraId="1A2DC610" w14:textId="09791182">
            <w:r w:rsidRPr="00024FBB">
              <w:t xml:space="preserve">De </w:t>
            </w:r>
            <w:r w:rsidR="004A5B65">
              <w:t>m</w:t>
            </w:r>
            <w:r w:rsidRPr="00024FBB" w:rsidR="00D65738">
              <w:t>inister heeft d</w:t>
            </w:r>
            <w:r w:rsidRPr="00024FBB">
              <w:t>eze vragen beantwoor</w:t>
            </w:r>
            <w:r w:rsidRPr="00024FBB" w:rsidR="005174AE">
              <w:t>d bij brie</w:t>
            </w:r>
            <w:r w:rsidR="00242D63">
              <w:t xml:space="preserve">f van … </w:t>
            </w:r>
            <w:bookmarkStart w:name="_GoBack" w:id="0"/>
            <w:bookmarkEnd w:id="0"/>
            <w:r w:rsidRPr="00024FBB">
              <w:t>Vragen en antwoorden zijn hierna afgedrukt.</w:t>
            </w:r>
          </w:p>
        </w:tc>
      </w:tr>
      <w:tr w:rsidR="003B7B12" w:rsidTr="00242D63" w14:paraId="1960B83C" w14:textId="77777777">
        <w:tc>
          <w:tcPr>
            <w:tcW w:w="3614" w:type="dxa"/>
          </w:tcPr>
          <w:p w:rsidR="003B7B12" w:rsidRDefault="003B7B12" w14:paraId="4467C584" w14:textId="77777777"/>
        </w:tc>
        <w:tc>
          <w:tcPr>
            <w:tcW w:w="5596" w:type="dxa"/>
          </w:tcPr>
          <w:p w:rsidR="003B7B12" w:rsidRDefault="003B7B12" w14:paraId="5C11290D" w14:textId="77777777">
            <w:pPr>
              <w:pStyle w:val="Kop1"/>
              <w:rPr>
                <w:b w:val="0"/>
              </w:rPr>
            </w:pPr>
          </w:p>
        </w:tc>
      </w:tr>
      <w:tr w:rsidR="003F75A1" w:rsidTr="00242D63" w14:paraId="07A1151B" w14:textId="77777777">
        <w:tc>
          <w:tcPr>
            <w:tcW w:w="3614" w:type="dxa"/>
          </w:tcPr>
          <w:p w:rsidR="003F75A1" w:rsidRDefault="003F75A1" w14:paraId="2E88877A" w14:textId="77777777"/>
        </w:tc>
        <w:tc>
          <w:tcPr>
            <w:tcW w:w="5596" w:type="dxa"/>
          </w:tcPr>
          <w:p w:rsidR="003F75A1" w:rsidRDefault="003F75A1" w14:paraId="46C21735" w14:textId="77777777">
            <w:pPr>
              <w:pStyle w:val="Kop1"/>
              <w:rPr>
                <w:b w:val="0"/>
              </w:rPr>
            </w:pPr>
            <w:r>
              <w:rPr>
                <w:b w:val="0"/>
              </w:rPr>
              <w:t>De voorzitter van de commissie,</w:t>
            </w:r>
          </w:p>
          <w:p w:rsidR="003F75A1" w:rsidP="00B357FD" w:rsidRDefault="00A71A55" w14:paraId="1F011576" w14:textId="77777777">
            <w:r>
              <w:t>Tielen</w:t>
            </w:r>
          </w:p>
        </w:tc>
      </w:tr>
      <w:tr w:rsidR="003F75A1" w:rsidTr="00242D63" w14:paraId="361D4C60" w14:textId="77777777">
        <w:tc>
          <w:tcPr>
            <w:tcW w:w="3614" w:type="dxa"/>
          </w:tcPr>
          <w:p w:rsidR="003F75A1" w:rsidRDefault="003F75A1" w14:paraId="49B359FD" w14:textId="77777777"/>
        </w:tc>
        <w:tc>
          <w:tcPr>
            <w:tcW w:w="5596" w:type="dxa"/>
          </w:tcPr>
          <w:p w:rsidR="003F75A1" w:rsidRDefault="003F75A1" w14:paraId="00902D0F" w14:textId="77777777">
            <w:pPr>
              <w:pStyle w:val="Kop1"/>
              <w:rPr>
                <w:b w:val="0"/>
              </w:rPr>
            </w:pPr>
          </w:p>
        </w:tc>
      </w:tr>
      <w:tr w:rsidR="003F75A1" w:rsidTr="00242D63" w14:paraId="691E3AC5" w14:textId="77777777">
        <w:tc>
          <w:tcPr>
            <w:tcW w:w="3614" w:type="dxa"/>
          </w:tcPr>
          <w:p w:rsidR="003F75A1" w:rsidRDefault="003F75A1" w14:paraId="1D07D3FF" w14:textId="77777777"/>
        </w:tc>
        <w:tc>
          <w:tcPr>
            <w:tcW w:w="5596" w:type="dxa"/>
          </w:tcPr>
          <w:p w:rsidR="003F75A1" w:rsidRDefault="003F75A1" w14:paraId="505CA9C3" w14:textId="173617EC">
            <w:pPr>
              <w:pStyle w:val="Kop1"/>
              <w:rPr>
                <w:b w:val="0"/>
              </w:rPr>
            </w:pPr>
            <w:r>
              <w:rPr>
                <w:b w:val="0"/>
              </w:rPr>
              <w:t xml:space="preserve">De </w:t>
            </w:r>
            <w:r w:rsidR="004456C1">
              <w:rPr>
                <w:b w:val="0"/>
              </w:rPr>
              <w:t>adjunct-</w:t>
            </w:r>
            <w:r>
              <w:rPr>
                <w:b w:val="0"/>
              </w:rPr>
              <w:t>griffier van de commissie,</w:t>
            </w:r>
          </w:p>
          <w:p w:rsidR="003F75A1" w:rsidRDefault="004456C1" w14:paraId="0DE98CAA" w14:textId="198583C0">
            <w:r>
              <w:t>Schukkink</w:t>
            </w:r>
          </w:p>
          <w:p w:rsidR="00CC0C72" w:rsidRDefault="00CC0C72" w14:paraId="53C5FBAC" w14:textId="77777777"/>
          <w:p w:rsidR="00CC0C72" w:rsidRDefault="00CC0C72" w14:paraId="6D54CBE0" w14:textId="77777777"/>
        </w:tc>
      </w:tr>
    </w:tbl>
    <w:p w:rsidR="00452941" w:rsidP="00CF30F1" w:rsidRDefault="00452941" w14:paraId="47C19512" w14:textId="5711D4C3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850"/>
        <w:gridCol w:w="992"/>
        <w:gridCol w:w="567"/>
      </w:tblGrid>
      <w:tr w:rsidRPr="002F0EAA" w:rsidR="002F0EAA" w:rsidTr="0026713C" w14:paraId="1515C618" w14:textId="77777777">
        <w:trPr>
          <w:cantSplit/>
          <w:tblHeader/>
        </w:trPr>
        <w:tc>
          <w:tcPr>
            <w:tcW w:w="851" w:type="dxa"/>
          </w:tcPr>
          <w:p w:rsidRPr="002F0EAA" w:rsidR="002F0EAA" w:rsidP="00424EBA" w:rsidRDefault="002F0EAA" w14:paraId="0CA99EF2" w14:textId="77777777">
            <w:pPr>
              <w:rPr>
                <w:b/>
              </w:rPr>
            </w:pPr>
            <w:r w:rsidRPr="002F0EAA">
              <w:rPr>
                <w:b/>
              </w:rPr>
              <w:t>Nr</w:t>
            </w:r>
          </w:p>
        </w:tc>
        <w:tc>
          <w:tcPr>
            <w:tcW w:w="6237" w:type="dxa"/>
          </w:tcPr>
          <w:p w:rsidRPr="002F0EAA" w:rsidR="002F0EAA" w:rsidP="00424EBA" w:rsidRDefault="002F0EAA" w14:paraId="62436CF9" w14:textId="77777777">
            <w:pPr>
              <w:rPr>
                <w:b/>
              </w:rPr>
            </w:pPr>
            <w:r w:rsidRPr="002F0EAA">
              <w:rPr>
                <w:b/>
              </w:rPr>
              <w:t>Vraag</w:t>
            </w:r>
          </w:p>
        </w:tc>
        <w:tc>
          <w:tcPr>
            <w:tcW w:w="850" w:type="dxa"/>
          </w:tcPr>
          <w:p w:rsidRPr="002F0EAA" w:rsidR="002F0EAA" w:rsidP="00424EBA" w:rsidRDefault="002F0EAA" w14:paraId="4FB87C19" w14:textId="77777777">
            <w:pPr>
              <w:jc w:val="right"/>
              <w:rPr>
                <w:b/>
              </w:rPr>
            </w:pPr>
            <w:r w:rsidRPr="002F0EAA">
              <w:rPr>
                <w:b/>
              </w:rPr>
              <w:t>Bijlage</w:t>
            </w:r>
          </w:p>
        </w:tc>
        <w:tc>
          <w:tcPr>
            <w:tcW w:w="992" w:type="dxa"/>
          </w:tcPr>
          <w:p w:rsidRPr="002F0EAA" w:rsidR="002F0EAA" w:rsidP="00424EBA" w:rsidRDefault="002F0EAA" w14:paraId="737DBDA5" w14:textId="77777777">
            <w:pPr>
              <w:jc w:val="right"/>
              <w:rPr>
                <w:b/>
              </w:rPr>
            </w:pPr>
            <w:r w:rsidRPr="002F0EAA">
              <w:rPr>
                <w:b/>
              </w:rPr>
              <w:t>Blz. (van)</w:t>
            </w:r>
          </w:p>
        </w:tc>
        <w:tc>
          <w:tcPr>
            <w:tcW w:w="567" w:type="dxa"/>
          </w:tcPr>
          <w:p w:rsidRPr="002F0EAA" w:rsidR="002F0EAA" w:rsidP="00424EBA" w:rsidRDefault="002F0EAA" w14:paraId="39E158BB" w14:textId="77777777">
            <w:pPr>
              <w:jc w:val="center"/>
              <w:rPr>
                <w:b/>
              </w:rPr>
            </w:pPr>
            <w:r w:rsidRPr="002F0EAA">
              <w:rPr>
                <w:b/>
              </w:rPr>
              <w:t>t/m</w:t>
            </w:r>
          </w:p>
        </w:tc>
      </w:tr>
      <w:tr w:rsidR="002F0EAA" w:rsidTr="0026713C" w14:paraId="684F2668" w14:textId="77777777">
        <w:tc>
          <w:tcPr>
            <w:tcW w:w="851" w:type="dxa"/>
          </w:tcPr>
          <w:p w:rsidR="002F0EAA" w:rsidP="0026713C" w:rsidRDefault="002F0EAA" w14:paraId="7F5D371E" w14:textId="62E02296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A13865" w:rsidRDefault="002F0EAA" w14:paraId="36188724" w14:textId="1AF48CA5">
            <w:r>
              <w:t>Kunt u een overzicht maken van alle begrotingsregels waar het demissionaire kabinet eerder aan vasthield maar</w:t>
            </w:r>
            <w:r w:rsidR="00A13865">
              <w:t xml:space="preserve"> die deze keer zijn geschonden, zoals extra uitgaven betalen via de lastenkant of vanuit de staatsschuld? </w:t>
            </w:r>
          </w:p>
        </w:tc>
        <w:tc>
          <w:tcPr>
            <w:tcW w:w="850" w:type="dxa"/>
          </w:tcPr>
          <w:p w:rsidR="002F0EAA" w:rsidP="00424EBA" w:rsidRDefault="002F0EAA" w14:paraId="660532B0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7076762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0B9EDB49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21DB1934" w14:textId="77777777">
        <w:tc>
          <w:tcPr>
            <w:tcW w:w="851" w:type="dxa"/>
          </w:tcPr>
          <w:p w:rsidR="002F0EAA" w:rsidP="0026713C" w:rsidRDefault="002F0EAA" w14:paraId="3F814809" w14:textId="4B9BB992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26713C" w:rsidRDefault="002F0EAA" w14:paraId="5DB55C75" w14:textId="0F66E8ED">
            <w:r>
              <w:t xml:space="preserve">Waarom heeft </w:t>
            </w:r>
            <w:r w:rsidR="00A13865">
              <w:t>u</w:t>
            </w:r>
            <w:r>
              <w:t xml:space="preserve"> jarenlang amendementen en moties ontraden waarin extra uitgaven werden betaald ui</w:t>
            </w:r>
            <w:r w:rsidR="00A13865">
              <w:t>t een lastenverhoging terwijl u</w:t>
            </w:r>
            <w:r>
              <w:t xml:space="preserve"> dat nu zelf ook doet met het </w:t>
            </w:r>
            <w:r w:rsidR="0026713C">
              <w:t xml:space="preserve">geld voor de </w:t>
            </w:r>
            <w:r w:rsidRPr="00A13865" w:rsidR="00A13865">
              <w:t>Baangerelateerde Investeringskorting</w:t>
            </w:r>
            <w:r w:rsidR="00A13865">
              <w:t xml:space="preserve"> (BIK)</w:t>
            </w:r>
            <w:r>
              <w:t>?</w:t>
            </w:r>
          </w:p>
        </w:tc>
        <w:tc>
          <w:tcPr>
            <w:tcW w:w="850" w:type="dxa"/>
          </w:tcPr>
          <w:p w:rsidR="002F0EAA" w:rsidP="00424EBA" w:rsidRDefault="002F0EAA" w14:paraId="11A8D085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145433E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7D5786CB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66F9A2E9" w14:textId="77777777">
        <w:tc>
          <w:tcPr>
            <w:tcW w:w="851" w:type="dxa"/>
          </w:tcPr>
          <w:p w:rsidR="002F0EAA" w:rsidP="0026713C" w:rsidRDefault="002F0EAA" w14:paraId="5D92B713" w14:textId="0B3009AE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1C71A9" w:rsidRDefault="002F0EAA" w14:paraId="60862C8A" w14:textId="5AE0998A">
            <w:r>
              <w:t xml:space="preserve">Waarom </w:t>
            </w:r>
            <w:r w:rsidR="001C71A9">
              <w:t>verwijst</w:t>
            </w:r>
            <w:r>
              <w:t xml:space="preserve"> </w:t>
            </w:r>
            <w:r w:rsidR="001C71A9">
              <w:t xml:space="preserve">u </w:t>
            </w:r>
            <w:r>
              <w:t xml:space="preserve">nog </w:t>
            </w:r>
            <w:r w:rsidR="00A13865">
              <w:t>vaak naar het kabinet</w:t>
            </w:r>
            <w:r>
              <w:t xml:space="preserve"> terwijl er al meer dan een half jaar sprake i</w:t>
            </w:r>
            <w:r w:rsidR="00A13865">
              <w:t>s van een demissionair kabinet</w:t>
            </w:r>
            <w:r>
              <w:t>? Kunt u dit in al uw communicatie aanpassen?</w:t>
            </w:r>
          </w:p>
        </w:tc>
        <w:tc>
          <w:tcPr>
            <w:tcW w:w="850" w:type="dxa"/>
          </w:tcPr>
          <w:p w:rsidR="002F0EAA" w:rsidP="00424EBA" w:rsidRDefault="002F0EAA" w14:paraId="1667A5C4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214F1EC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735D8D10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21181A94" w14:textId="77777777">
        <w:tc>
          <w:tcPr>
            <w:tcW w:w="851" w:type="dxa"/>
          </w:tcPr>
          <w:p w:rsidRPr="0026713C" w:rsidR="002F0EAA" w:rsidP="0026713C" w:rsidRDefault="002F0EAA" w14:paraId="11EBA77A" w14:textId="4CF00697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Pr="0026713C" w:rsidR="002F0EAA" w:rsidP="0026713C" w:rsidRDefault="0026713C" w14:paraId="1884BD34" w14:textId="6D8F6F59">
            <w:r w:rsidRPr="0026713C">
              <w:t xml:space="preserve">Wat </w:t>
            </w:r>
            <w:r w:rsidRPr="0026713C" w:rsidR="00A13865">
              <w:t xml:space="preserve">staat </w:t>
            </w:r>
            <w:r w:rsidRPr="0026713C">
              <w:t>er</w:t>
            </w:r>
            <w:r w:rsidRPr="0026713C" w:rsidR="00A13865">
              <w:t xml:space="preserve"> </w:t>
            </w:r>
            <w:r w:rsidRPr="0026713C" w:rsidR="002F0EAA">
              <w:t>tegenover</w:t>
            </w:r>
            <w:r w:rsidRPr="0026713C">
              <w:t xml:space="preserve"> de wereldwijd hoge schuld als percentage van het bruto binnenlands product (BBP)</w:t>
            </w:r>
            <w:r w:rsidRPr="0026713C" w:rsidR="002F0EAA">
              <w:t>? Deze schuld moet toch ook iemands bezit zijn? Klopt het dat de wereldwij</w:t>
            </w:r>
            <w:r w:rsidRPr="0026713C">
              <w:t>d</w:t>
            </w:r>
            <w:r w:rsidRPr="0026713C" w:rsidR="002F0EAA">
              <w:t>e balans van schulden en bezit gelijk is aan nul? Zo nee, waarom niet?</w:t>
            </w:r>
          </w:p>
        </w:tc>
        <w:tc>
          <w:tcPr>
            <w:tcW w:w="850" w:type="dxa"/>
          </w:tcPr>
          <w:p w:rsidR="002F0EAA" w:rsidP="00424EBA" w:rsidRDefault="002F0EAA" w14:paraId="375B2B1D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3F91CC5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57598A36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7B784D6B" w14:textId="77777777">
        <w:tc>
          <w:tcPr>
            <w:tcW w:w="851" w:type="dxa"/>
          </w:tcPr>
          <w:p w:rsidR="002F0EAA" w:rsidP="0026713C" w:rsidRDefault="002F0EAA" w14:paraId="34C054E4" w14:textId="2F39B968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1C71A9" w:rsidRDefault="002F0EAA" w14:paraId="51858059" w14:textId="470F7246">
            <w:r>
              <w:t>Hoeveel geld levert het op om de verlenging van de hoge s</w:t>
            </w:r>
            <w:r w:rsidR="001C71A9">
              <w:t xml:space="preserve">chijf in de winstbelasting van </w:t>
            </w:r>
            <w:r>
              <w:t>245</w:t>
            </w:r>
            <w:r w:rsidR="001C71A9">
              <w:t xml:space="preserve"> duizend euro naar </w:t>
            </w:r>
            <w:r>
              <w:t>395</w:t>
            </w:r>
            <w:r w:rsidR="001C71A9">
              <w:t xml:space="preserve"> duizend euro per 1 januari 2022</w:t>
            </w:r>
            <w:r>
              <w:t xml:space="preserve"> tegen te houden?</w:t>
            </w:r>
          </w:p>
        </w:tc>
        <w:tc>
          <w:tcPr>
            <w:tcW w:w="850" w:type="dxa"/>
          </w:tcPr>
          <w:p w:rsidR="002F0EAA" w:rsidP="00424EBA" w:rsidRDefault="002F0EAA" w14:paraId="0999C827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6BA0304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7B68B86E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3A82ECDF" w14:textId="77777777">
        <w:tc>
          <w:tcPr>
            <w:tcW w:w="851" w:type="dxa"/>
          </w:tcPr>
          <w:p w:rsidR="002F0EAA" w:rsidP="0026713C" w:rsidRDefault="002F0EAA" w14:paraId="513EECA5" w14:textId="548A897F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2A3E2A" w:rsidRDefault="002F0EAA" w14:paraId="760949A2" w14:textId="6F8D9802">
            <w:r>
              <w:t>Hoe komt het dat het verkorten van de eerste schijf in de vennootschapsbela</w:t>
            </w:r>
            <w:r w:rsidR="00A13865">
              <w:t xml:space="preserve">sting </w:t>
            </w:r>
            <w:r>
              <w:t>36 miljoen</w:t>
            </w:r>
            <w:r w:rsidR="00A13865">
              <w:t xml:space="preserve"> euro</w:t>
            </w:r>
            <w:r w:rsidR="002A3E2A">
              <w:t xml:space="preserve"> oplevert per </w:t>
            </w:r>
            <w:r>
              <w:t>10</w:t>
            </w:r>
            <w:r w:rsidR="002A3E2A">
              <w:t xml:space="preserve"> duizend euro</w:t>
            </w:r>
            <w:r>
              <w:t xml:space="preserve"> (fiscale sleuteltab</w:t>
            </w:r>
            <w:r w:rsidR="00A13865">
              <w:t xml:space="preserve">el 2022) terwijl dit eerst nog </w:t>
            </w:r>
            <w:r>
              <w:t xml:space="preserve">51 miljoen </w:t>
            </w:r>
            <w:r w:rsidR="00A13865">
              <w:t xml:space="preserve">euro </w:t>
            </w:r>
            <w:r w:rsidR="002A3E2A">
              <w:t xml:space="preserve">opleverde per </w:t>
            </w:r>
            <w:r>
              <w:t>10</w:t>
            </w:r>
            <w:r w:rsidR="002A3E2A">
              <w:t xml:space="preserve"> duizend euro</w:t>
            </w:r>
            <w:r>
              <w:t xml:space="preserve"> (fiscale sleuteltabel 2021)?</w:t>
            </w:r>
          </w:p>
        </w:tc>
        <w:tc>
          <w:tcPr>
            <w:tcW w:w="850" w:type="dxa"/>
          </w:tcPr>
          <w:p w:rsidR="002F0EAA" w:rsidP="00424EBA" w:rsidRDefault="002F0EAA" w14:paraId="5D5AC7EE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7EB4EDD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7E1659E0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240D1C95" w14:textId="77777777">
        <w:tc>
          <w:tcPr>
            <w:tcW w:w="851" w:type="dxa"/>
          </w:tcPr>
          <w:p w:rsidR="002F0EAA" w:rsidP="0026713C" w:rsidRDefault="002F0EAA" w14:paraId="4BC602A6" w14:textId="61C9A83F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2A3E2A" w:rsidRDefault="002F0EAA" w14:paraId="066079C4" w14:textId="3A192A73">
            <w:r>
              <w:t>Klopt</w:t>
            </w:r>
            <w:r w:rsidR="002A3E2A">
              <w:t xml:space="preserve"> het nog steeds dat alleen de zes</w:t>
            </w:r>
            <w:r w:rsidR="00A13865">
              <w:t xml:space="preserve"> procent</w:t>
            </w:r>
            <w:r>
              <w:t xml:space="preserve"> meest winstgevende bedrijven profiteren van het verlengen van de hoge s</w:t>
            </w:r>
            <w:r w:rsidR="002A3E2A">
              <w:t xml:space="preserve">chijf in de </w:t>
            </w:r>
            <w:r w:rsidR="002A3E2A">
              <w:lastRenderedPageBreak/>
              <w:t xml:space="preserve">winstbelasting van </w:t>
            </w:r>
            <w:r>
              <w:t>245</w:t>
            </w:r>
            <w:r w:rsidR="002A3E2A">
              <w:t xml:space="preserve"> duizend euro naar </w:t>
            </w:r>
            <w:r>
              <w:t>395</w:t>
            </w:r>
            <w:r w:rsidR="002A3E2A">
              <w:t xml:space="preserve"> duizend euro</w:t>
            </w:r>
            <w:r>
              <w:t xml:space="preserve"> per 1 januari 2022? Zo nee, om welk percentage gaat het dan?</w:t>
            </w:r>
          </w:p>
        </w:tc>
        <w:tc>
          <w:tcPr>
            <w:tcW w:w="850" w:type="dxa"/>
          </w:tcPr>
          <w:p w:rsidR="002F0EAA" w:rsidP="00424EBA" w:rsidRDefault="002F0EAA" w14:paraId="3E2C176A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3C8B14B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3EA6E788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1C008AC6" w14:textId="77777777">
        <w:tc>
          <w:tcPr>
            <w:tcW w:w="851" w:type="dxa"/>
          </w:tcPr>
          <w:p w:rsidR="002F0EAA" w:rsidP="0026713C" w:rsidRDefault="002F0EAA" w14:paraId="3EA54B4E" w14:textId="34723949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1C71A9" w:rsidRDefault="002F0EAA" w14:paraId="6646C4FA" w14:textId="4495DFBF">
            <w:r>
              <w:t xml:space="preserve">Waarom </w:t>
            </w:r>
            <w:r w:rsidR="001C71A9">
              <w:t>noemt u</w:t>
            </w:r>
            <w:r>
              <w:t xml:space="preserve"> het Volkshuisvestingfonds een fonds terwijl het dat niet is</w:t>
            </w:r>
            <w:r w:rsidR="00A2683A">
              <w:t xml:space="preserve"> in de zin van de comptabiliteitswet 2016</w:t>
            </w:r>
            <w:r>
              <w:t>?</w:t>
            </w:r>
          </w:p>
        </w:tc>
        <w:tc>
          <w:tcPr>
            <w:tcW w:w="850" w:type="dxa"/>
          </w:tcPr>
          <w:p w:rsidR="002F0EAA" w:rsidP="00424EBA" w:rsidRDefault="002F0EAA" w14:paraId="43FF9C43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401A9054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561FC620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0B20ECD3" w14:textId="77777777">
        <w:tc>
          <w:tcPr>
            <w:tcW w:w="851" w:type="dxa"/>
          </w:tcPr>
          <w:p w:rsidR="002F0EAA" w:rsidP="0026713C" w:rsidRDefault="002F0EAA" w14:paraId="5BD89CE7" w14:textId="1D0C819C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1C71A9" w:rsidRDefault="001C71A9" w14:paraId="200834FE" w14:textId="1B63C039">
            <w:r>
              <w:t xml:space="preserve">Kunt u een totale uitsplitsing </w:t>
            </w:r>
            <w:r w:rsidR="002F0EAA">
              <w:t>ma</w:t>
            </w:r>
            <w:r>
              <w:t>ken</w:t>
            </w:r>
            <w:r w:rsidR="002F0EAA">
              <w:t xml:space="preserve"> van de extra middelen voor ondermijning die zijn toegevoegd bij deze begroting?</w:t>
            </w:r>
          </w:p>
        </w:tc>
        <w:tc>
          <w:tcPr>
            <w:tcW w:w="850" w:type="dxa"/>
          </w:tcPr>
          <w:p w:rsidR="002F0EAA" w:rsidP="00424EBA" w:rsidRDefault="002F0EAA" w14:paraId="75E5BD67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099FFD0D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59BB8D19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264CBFBF" w14:textId="77777777">
        <w:tc>
          <w:tcPr>
            <w:tcW w:w="851" w:type="dxa"/>
          </w:tcPr>
          <w:p w:rsidR="002F0EAA" w:rsidP="0026713C" w:rsidRDefault="002F0EAA" w14:paraId="092A0DFB" w14:textId="03D4FA38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1C71A9" w:rsidRDefault="001C71A9" w14:paraId="2D6719EC" w14:textId="2D4C2CDB">
            <w:r>
              <w:t>Kunt u</w:t>
            </w:r>
            <w:r w:rsidR="002F0EAA">
              <w:t xml:space="preserve"> </w:t>
            </w:r>
            <w:r>
              <w:t xml:space="preserve">een cijfermatige onderbouwing </w:t>
            </w:r>
            <w:r w:rsidR="002F0EAA">
              <w:t>geven van de budgettaire effecten per maatregel die ertoe moeten leiden dat de kosten in de sociale advocatuur op termijn met 90 miljoen</w:t>
            </w:r>
            <w:r>
              <w:t xml:space="preserve"> euro</w:t>
            </w:r>
            <w:r w:rsidR="002F0EAA">
              <w:t xml:space="preserve"> afnemen?</w:t>
            </w:r>
          </w:p>
        </w:tc>
        <w:tc>
          <w:tcPr>
            <w:tcW w:w="850" w:type="dxa"/>
          </w:tcPr>
          <w:p w:rsidR="002F0EAA" w:rsidP="00424EBA" w:rsidRDefault="002F0EAA" w14:paraId="675A2E00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09A3A9D8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66B76FE6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0FF01E7D" w14:textId="77777777">
        <w:tc>
          <w:tcPr>
            <w:tcW w:w="851" w:type="dxa"/>
          </w:tcPr>
          <w:p w:rsidR="002F0EAA" w:rsidP="0026713C" w:rsidRDefault="002F0EAA" w14:paraId="6964B928" w14:textId="1C8FE0D5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1C71A9" w:rsidRDefault="001C71A9" w14:paraId="58202B44" w14:textId="645DD407">
            <w:r>
              <w:t>Kunt u in een tabel weer</w:t>
            </w:r>
            <w:r w:rsidR="002F0EAA">
              <w:t>geven welke budgettaire reeks er nu in de boeken is opgenomen voor de opschalingskorting (voor de gehele duur) en de reeks die is opgenomen in de boeken van het C</w:t>
            </w:r>
            <w:r>
              <w:t>entraal Planbureau (C</w:t>
            </w:r>
            <w:r w:rsidR="002F0EAA">
              <w:t>PB</w:t>
            </w:r>
            <w:r>
              <w:t>)</w:t>
            </w:r>
            <w:r w:rsidR="002F0EAA">
              <w:t>?</w:t>
            </w:r>
          </w:p>
        </w:tc>
        <w:tc>
          <w:tcPr>
            <w:tcW w:w="850" w:type="dxa"/>
          </w:tcPr>
          <w:p w:rsidR="002F0EAA" w:rsidP="00424EBA" w:rsidRDefault="002F0EAA" w14:paraId="6528B395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657E39D6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367DB75C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60E9AD40" w14:textId="77777777">
        <w:tc>
          <w:tcPr>
            <w:tcW w:w="851" w:type="dxa"/>
          </w:tcPr>
          <w:p w:rsidR="002F0EAA" w:rsidP="0026713C" w:rsidRDefault="002F0EAA" w14:paraId="09CE61A1" w14:textId="56B0FE7B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424EBA" w:rsidRDefault="002F0EAA" w14:paraId="4D840427" w14:textId="77777777">
            <w:r>
              <w:t>Is er een reden aan te wijzen voor het feit dat de raming van de accijnsontvangsten in 2022 naar boven wordt bijgesteld?</w:t>
            </w:r>
          </w:p>
        </w:tc>
        <w:tc>
          <w:tcPr>
            <w:tcW w:w="850" w:type="dxa"/>
          </w:tcPr>
          <w:p w:rsidR="002F0EAA" w:rsidP="00424EBA" w:rsidRDefault="002F0EAA" w14:paraId="5CA01B84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054C7E82" w14:textId="77777777">
            <w:pPr>
              <w:jc w:val="right"/>
            </w:pPr>
            <w:r>
              <w:t>58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629DF5C0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6D234B63" w14:textId="77777777">
        <w:tc>
          <w:tcPr>
            <w:tcW w:w="851" w:type="dxa"/>
          </w:tcPr>
          <w:p w:rsidR="002F0EAA" w:rsidP="0026713C" w:rsidRDefault="002F0EAA" w14:paraId="7FA85CAB" w14:textId="5F1F89E0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Pr="006D0821" w:rsidR="002F0EAA" w:rsidP="006D0821" w:rsidRDefault="002F0EAA" w14:paraId="78F805F4" w14:textId="0222ED04">
            <w:r w:rsidRPr="006D0821">
              <w:t>Worden accijnsontvangsten alleen geraamd op basis van de geraamde consumptie of worden ook beleidsmatige ontwikkelingen zoals een daling of stijging van de accijns meegenomen?</w:t>
            </w:r>
            <w:r w:rsidRPr="006D0821" w:rsidR="006D0821">
              <w:t xml:space="preserve"> </w:t>
            </w:r>
            <w:r w:rsidR="006D0821">
              <w:t xml:space="preserve">Is het immers niet </w:t>
            </w:r>
            <w:r w:rsidRPr="006D0821" w:rsidR="006D0821">
              <w:t>voorstelbaar dat een stijging van de alcoholaccijns ondanks de gedragseffecten ook invloed heeft op de totale accijnsontvangsten</w:t>
            </w:r>
            <w:r w:rsidR="006D0821">
              <w:t>?</w:t>
            </w:r>
          </w:p>
        </w:tc>
        <w:tc>
          <w:tcPr>
            <w:tcW w:w="850" w:type="dxa"/>
          </w:tcPr>
          <w:p w:rsidR="002F0EAA" w:rsidP="00424EBA" w:rsidRDefault="002F0EAA" w14:paraId="5E0948F7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25411827" w14:textId="77777777">
            <w:pPr>
              <w:jc w:val="right"/>
            </w:pPr>
            <w:r>
              <w:t>68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4D4863A3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73AF634E" w14:textId="77777777">
        <w:tc>
          <w:tcPr>
            <w:tcW w:w="851" w:type="dxa"/>
          </w:tcPr>
          <w:p w:rsidR="002F0EAA" w:rsidP="0026713C" w:rsidRDefault="002F0EAA" w14:paraId="7E1019BC" w14:textId="57F9445E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424EBA" w:rsidRDefault="002F0EAA" w14:paraId="4AB83C67" w14:textId="77777777">
            <w:r>
              <w:t>In hoeverre houden de ramingsmodellen van de ontvangsten van accijnzen rekening met een stijging dan wel daling van accijnsprijzen?</w:t>
            </w:r>
          </w:p>
        </w:tc>
        <w:tc>
          <w:tcPr>
            <w:tcW w:w="850" w:type="dxa"/>
          </w:tcPr>
          <w:p w:rsidR="002F0EAA" w:rsidP="00424EBA" w:rsidRDefault="002F0EAA" w14:paraId="18F2260B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1CAA39AF" w14:textId="77777777">
            <w:pPr>
              <w:jc w:val="right"/>
            </w:pPr>
            <w:r>
              <w:t>68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49739F34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0D3BA7C4" w14:textId="77777777">
        <w:tc>
          <w:tcPr>
            <w:tcW w:w="851" w:type="dxa"/>
          </w:tcPr>
          <w:p w:rsidR="002F0EAA" w:rsidP="0026713C" w:rsidRDefault="002F0EAA" w14:paraId="2A81AA3D" w14:textId="10C0BCDE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Pr="001C71A9" w:rsidR="002F0EAA" w:rsidP="001C71A9" w:rsidRDefault="002F0EAA" w14:paraId="4B6CA639" w14:textId="4B7F83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Op welke gronden verwacht</w:t>
            </w:r>
            <w:r w:rsidRPr="001C71A9" w:rsid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u een herstel</w:t>
            </w:r>
            <w:r w:rsidRP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voor de</w:t>
            </w:r>
            <w:r w:rsidRPr="001C71A9" w:rsid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belasting op personenauto’s en motorrijwielen</w:t>
            </w:r>
            <w:r w:rsidRP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Pr="001C71A9" w:rsid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(</w:t>
            </w:r>
            <w:r w:rsidRP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bpm-posten</w:t>
            </w:r>
            <w:r w:rsidRPr="001C71A9" w:rsid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)</w:t>
            </w:r>
            <w:r w:rsidRPr="001C71A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in 2021 die verband houden met de verkoop van nieuwe conventionele auto’s?</w:t>
            </w:r>
          </w:p>
        </w:tc>
        <w:tc>
          <w:tcPr>
            <w:tcW w:w="850" w:type="dxa"/>
          </w:tcPr>
          <w:p w:rsidR="002F0EAA" w:rsidP="00424EBA" w:rsidRDefault="002F0EAA" w14:paraId="2231BE29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6959027C" w14:textId="77777777">
            <w:pPr>
              <w:jc w:val="right"/>
            </w:pPr>
            <w:r>
              <w:t>94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16C135DA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597E70B9" w14:textId="77777777">
        <w:tc>
          <w:tcPr>
            <w:tcW w:w="851" w:type="dxa"/>
          </w:tcPr>
          <w:p w:rsidR="002F0EAA" w:rsidP="0026713C" w:rsidRDefault="002F0EAA" w14:paraId="449FCD30" w14:textId="4D1A47A5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1C71A9" w:rsidRDefault="002F0EAA" w14:paraId="418F931D" w14:textId="14CD6D22">
            <w:r>
              <w:t xml:space="preserve">In hoeverre </w:t>
            </w:r>
            <w:r w:rsidR="001C71A9">
              <w:t>houdt u</w:t>
            </w:r>
            <w:r>
              <w:t xml:space="preserve"> bij de raming van de bpm-posten in 2021 die verband houden met de verkoop van nieuwe conventionele auto’s</w:t>
            </w:r>
            <w:r w:rsidR="00F20899">
              <w:t>, rekening</w:t>
            </w:r>
            <w:r>
              <w:t xml:space="preserve"> met de verdere inzet op en stimulering van elektrisch vervoer?</w:t>
            </w:r>
          </w:p>
        </w:tc>
        <w:tc>
          <w:tcPr>
            <w:tcW w:w="850" w:type="dxa"/>
          </w:tcPr>
          <w:p w:rsidR="002F0EAA" w:rsidP="00424EBA" w:rsidRDefault="002F0EAA" w14:paraId="3C0B8FDC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229AB9F9" w14:textId="77777777">
            <w:pPr>
              <w:jc w:val="right"/>
            </w:pPr>
            <w:r>
              <w:t>94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24DD5123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17EEC82D" w14:textId="77777777">
        <w:tc>
          <w:tcPr>
            <w:tcW w:w="851" w:type="dxa"/>
          </w:tcPr>
          <w:p w:rsidR="002F0EAA" w:rsidP="0026713C" w:rsidRDefault="002F0EAA" w14:paraId="62B74E35" w14:textId="043B6B39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424EBA" w:rsidRDefault="00F20899" w14:paraId="2D4041C3" w14:textId="37126417">
            <w:r>
              <w:t>Wat houdt het bedrag van ruim 5 miljard euro op de aanvullende post algemeen in en hoe kan het worden uitgesplitst?</w:t>
            </w:r>
          </w:p>
        </w:tc>
        <w:tc>
          <w:tcPr>
            <w:tcW w:w="850" w:type="dxa"/>
          </w:tcPr>
          <w:p w:rsidR="002F0EAA" w:rsidP="00424EBA" w:rsidRDefault="002F0EAA" w14:paraId="1527AF02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2E71990C" w14:textId="77777777">
            <w:pPr>
              <w:jc w:val="right"/>
            </w:pPr>
            <w:r>
              <w:t>221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57093979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5D0E3C5B" w14:textId="77777777">
        <w:tc>
          <w:tcPr>
            <w:tcW w:w="851" w:type="dxa"/>
          </w:tcPr>
          <w:p w:rsidR="002F0EAA" w:rsidP="0026713C" w:rsidRDefault="002F0EAA" w14:paraId="3E822B6F" w14:textId="768D1ADB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F20899" w:rsidRDefault="00F20899" w14:paraId="22C906EF" w14:textId="68652E4A">
            <w:r>
              <w:t xml:space="preserve">Van de </w:t>
            </w:r>
            <w:r w:rsidR="002F0EAA">
              <w:t xml:space="preserve">400 miljoen </w:t>
            </w:r>
            <w:r>
              <w:t xml:space="preserve">euro </w:t>
            </w:r>
            <w:r w:rsidR="002F0EAA">
              <w:t xml:space="preserve">die </w:t>
            </w:r>
            <w:r>
              <w:t>u</w:t>
            </w:r>
            <w:r w:rsidR="002F0EAA">
              <w:t xml:space="preserve"> wil</w:t>
            </w:r>
            <w:r>
              <w:t>t</w:t>
            </w:r>
            <w:r w:rsidR="002F0EAA">
              <w:t xml:space="preserve"> in</w:t>
            </w:r>
            <w:r>
              <w:t xml:space="preserve">vesteren in ondermijning staat </w:t>
            </w:r>
            <w:r w:rsidR="002F0EAA">
              <w:t>370 miljoen</w:t>
            </w:r>
            <w:r>
              <w:t xml:space="preserve"> euro</w:t>
            </w:r>
            <w:r w:rsidR="002F0EAA">
              <w:t xml:space="preserve"> genoemd op de begroting van </w:t>
            </w:r>
            <w:r>
              <w:t>de minister van Justitie en Veiligheid, w</w:t>
            </w:r>
            <w:r w:rsidR="002F0EAA">
              <w:t>aar is het overige verantwoord?</w:t>
            </w:r>
          </w:p>
        </w:tc>
        <w:tc>
          <w:tcPr>
            <w:tcW w:w="850" w:type="dxa"/>
          </w:tcPr>
          <w:p w:rsidR="002F0EAA" w:rsidP="00424EBA" w:rsidRDefault="002F0EAA" w14:paraId="151BCEDA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66DB345F" w14:textId="77777777">
            <w:pPr>
              <w:jc w:val="right"/>
            </w:pPr>
            <w:r>
              <w:t>248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0274FCAD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4792B3B0" w14:textId="77777777">
        <w:tc>
          <w:tcPr>
            <w:tcW w:w="851" w:type="dxa"/>
          </w:tcPr>
          <w:p w:rsidR="002F0EAA" w:rsidP="006D0821" w:rsidRDefault="002F0EAA" w14:paraId="062E6228" w14:textId="59EB3462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424EBA" w:rsidRDefault="002F0EAA" w14:paraId="3C783CA6" w14:textId="77777777">
            <w:r>
              <w:t>Waarom zijn klimaatmiddelen op de aanvullende post geplaatst, en niet onder begrotingshoofdstukken? Wanneer krijgt de Kamer duidelijkheid over de besluitvorming over de klimaatmiddelen op de aanvullende post?</w:t>
            </w:r>
          </w:p>
        </w:tc>
        <w:tc>
          <w:tcPr>
            <w:tcW w:w="850" w:type="dxa"/>
          </w:tcPr>
          <w:p w:rsidR="002F0EAA" w:rsidP="00424EBA" w:rsidRDefault="002F0EAA" w14:paraId="6BBB74E8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1180E8DD" w14:textId="77777777">
            <w:pPr>
              <w:jc w:val="right"/>
            </w:pPr>
            <w:r>
              <w:t>294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19720E13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05321767" w14:textId="77777777">
        <w:tc>
          <w:tcPr>
            <w:tcW w:w="851" w:type="dxa"/>
          </w:tcPr>
          <w:p w:rsidR="002F0EAA" w:rsidP="006D0821" w:rsidRDefault="002F0EAA" w14:paraId="62043709" w14:textId="68D9A8BF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F20899" w:rsidRDefault="00F20899" w14:paraId="56C034C7" w14:textId="6F3AF6E7">
            <w:r>
              <w:t>Kunt u</w:t>
            </w:r>
            <w:r w:rsidR="002F0EAA">
              <w:t xml:space="preserve"> een uitsplitsing </w:t>
            </w:r>
            <w:r>
              <w:t>geven naar de middelen crisisdienstverlening</w:t>
            </w:r>
            <w:r w:rsidR="002F0EAA">
              <w:t>?</w:t>
            </w:r>
          </w:p>
        </w:tc>
        <w:tc>
          <w:tcPr>
            <w:tcW w:w="850" w:type="dxa"/>
          </w:tcPr>
          <w:p w:rsidR="002F0EAA" w:rsidP="00424EBA" w:rsidRDefault="002F0EAA" w14:paraId="26B58E56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1E223D21" w14:textId="77777777">
            <w:pPr>
              <w:jc w:val="right"/>
            </w:pPr>
            <w:r>
              <w:t>325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228FE432" w14:textId="77777777">
            <w:pPr>
              <w:jc w:val="right"/>
            </w:pPr>
            <w:r>
              <w:t xml:space="preserve"> </w:t>
            </w:r>
          </w:p>
        </w:tc>
      </w:tr>
      <w:tr w:rsidR="002F0EAA" w:rsidTr="0026713C" w14:paraId="694D5A45" w14:textId="77777777">
        <w:tc>
          <w:tcPr>
            <w:tcW w:w="851" w:type="dxa"/>
          </w:tcPr>
          <w:p w:rsidR="002F0EAA" w:rsidP="006D0821" w:rsidRDefault="002F0EAA" w14:paraId="6DB87799" w14:textId="300B085F">
            <w:pPr>
              <w:pStyle w:val="Lijstalinea"/>
              <w:numPr>
                <w:ilvl w:val="0"/>
                <w:numId w:val="10"/>
              </w:numPr>
            </w:pPr>
          </w:p>
        </w:tc>
        <w:tc>
          <w:tcPr>
            <w:tcW w:w="6237" w:type="dxa"/>
          </w:tcPr>
          <w:p w:rsidR="002F0EAA" w:rsidP="00F20899" w:rsidRDefault="002F0EAA" w14:paraId="58D116BA" w14:textId="23AA2E97">
            <w:r>
              <w:t xml:space="preserve">Wat gebeurt er </w:t>
            </w:r>
            <w:r w:rsidR="00F20899">
              <w:t xml:space="preserve">met de vrijgekomen middelen van de </w:t>
            </w:r>
            <w:r w:rsidRPr="00F20899" w:rsidR="00F20899">
              <w:t>Noodmaatregel Overbrugging Werkgelegenheid (NOW)</w:t>
            </w:r>
            <w:r>
              <w:t>?</w:t>
            </w:r>
          </w:p>
        </w:tc>
        <w:tc>
          <w:tcPr>
            <w:tcW w:w="850" w:type="dxa"/>
          </w:tcPr>
          <w:p w:rsidR="002F0EAA" w:rsidP="00424EBA" w:rsidRDefault="002F0EAA" w14:paraId="6861B802" w14:textId="77777777">
            <w:pPr>
              <w:jc w:val="right"/>
            </w:pPr>
          </w:p>
        </w:tc>
        <w:tc>
          <w:tcPr>
            <w:tcW w:w="992" w:type="dxa"/>
          </w:tcPr>
          <w:p w:rsidR="002F0EAA" w:rsidP="00424EBA" w:rsidRDefault="002F0EAA" w14:paraId="07DD07C9" w14:textId="77777777">
            <w:pPr>
              <w:jc w:val="right"/>
            </w:pPr>
            <w:r>
              <w:t>325</w:t>
            </w:r>
          </w:p>
        </w:tc>
        <w:tc>
          <w:tcPr>
            <w:tcW w:w="567" w:type="dxa"/>
            <w:tcBorders>
              <w:left w:val="nil"/>
            </w:tcBorders>
          </w:tcPr>
          <w:p w:rsidR="002F0EAA" w:rsidP="00424EBA" w:rsidRDefault="002F0EAA" w14:paraId="45806271" w14:textId="77777777">
            <w:pPr>
              <w:jc w:val="right"/>
            </w:pPr>
            <w:r>
              <w:t xml:space="preserve"> </w:t>
            </w:r>
          </w:p>
        </w:tc>
      </w:tr>
    </w:tbl>
    <w:p w:rsidR="002F0EAA" w:rsidP="00CF30F1" w:rsidRDefault="002F0EAA" w14:paraId="621C2F07" w14:textId="77777777"/>
    <w:sectPr w:rsidR="002F0EAA">
      <w:footerReference w:type="even" r:id="rId10"/>
      <w:footerReference w:type="default" r:id="rId11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D36E2" w14:textId="77777777" w:rsidR="00BF671F" w:rsidRDefault="00BF671F">
      <w:r>
        <w:separator/>
      </w:r>
    </w:p>
  </w:endnote>
  <w:endnote w:type="continuationSeparator" w:id="0">
    <w:p w14:paraId="0C2F2BE9" w14:textId="77777777" w:rsidR="00BF671F" w:rsidRDefault="00BF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Pro">
    <w:altName w:val="Univer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EFB6" w14:textId="77777777" w:rsidR="00D04BE9" w:rsidRDefault="00D04BE9" w:rsidP="007F229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26F0ED5" w14:textId="77777777" w:rsidR="00D04BE9" w:rsidRDefault="00D04BE9" w:rsidP="007F22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FEF6F" w14:textId="1F441521" w:rsidR="00D04BE9" w:rsidRDefault="00D04BE9" w:rsidP="007F229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D3AAF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5416EC9" w14:textId="77777777" w:rsidR="00D04BE9" w:rsidRDefault="00D04BE9" w:rsidP="007F22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3D96E" w14:textId="77777777" w:rsidR="00BF671F" w:rsidRDefault="00BF671F">
      <w:r>
        <w:separator/>
      </w:r>
    </w:p>
  </w:footnote>
  <w:footnote w:type="continuationSeparator" w:id="0">
    <w:p w14:paraId="57F92494" w14:textId="77777777" w:rsidR="00BF671F" w:rsidRDefault="00BF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6DF"/>
    <w:multiLevelType w:val="hybridMultilevel"/>
    <w:tmpl w:val="7A42A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257E"/>
    <w:multiLevelType w:val="hybridMultilevel"/>
    <w:tmpl w:val="94B69EEA"/>
    <w:lvl w:ilvl="0" w:tplc="0413000F">
      <w:start w:val="1"/>
      <w:numFmt w:val="decimal"/>
      <w:lvlText w:val="%1."/>
      <w:lvlJc w:val="left"/>
      <w:pPr>
        <w:ind w:left="928" w:hanging="360"/>
      </w:p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DE7E5F"/>
    <w:multiLevelType w:val="hybridMultilevel"/>
    <w:tmpl w:val="93E07C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159C4"/>
    <w:multiLevelType w:val="hybridMultilevel"/>
    <w:tmpl w:val="013CCE1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E0E3A"/>
    <w:multiLevelType w:val="hybridMultilevel"/>
    <w:tmpl w:val="12FA51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395"/>
    <w:multiLevelType w:val="hybridMultilevel"/>
    <w:tmpl w:val="C20E41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10233"/>
    <w:multiLevelType w:val="hybridMultilevel"/>
    <w:tmpl w:val="063EF21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B37A7"/>
    <w:multiLevelType w:val="hybridMultilevel"/>
    <w:tmpl w:val="94B69EEA"/>
    <w:lvl w:ilvl="0" w:tplc="0413000F">
      <w:start w:val="1"/>
      <w:numFmt w:val="decimal"/>
      <w:lvlText w:val="%1."/>
      <w:lvlJc w:val="left"/>
      <w:pPr>
        <w:ind w:left="928" w:hanging="360"/>
      </w:p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467723A"/>
    <w:multiLevelType w:val="hybridMultilevel"/>
    <w:tmpl w:val="D4EAD30E"/>
    <w:lvl w:ilvl="0" w:tplc="F1C2547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36333"/>
    <w:multiLevelType w:val="hybridMultilevel"/>
    <w:tmpl w:val="94B69EEA"/>
    <w:lvl w:ilvl="0" w:tplc="0413000F">
      <w:start w:val="1"/>
      <w:numFmt w:val="decimal"/>
      <w:lvlText w:val="%1."/>
      <w:lvlJc w:val="left"/>
      <w:pPr>
        <w:ind w:left="928" w:hanging="360"/>
      </w:p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A1"/>
    <w:rsid w:val="00006272"/>
    <w:rsid w:val="000176FB"/>
    <w:rsid w:val="00024FBB"/>
    <w:rsid w:val="000465F5"/>
    <w:rsid w:val="000560FD"/>
    <w:rsid w:val="00064B14"/>
    <w:rsid w:val="0009622A"/>
    <w:rsid w:val="000A62D1"/>
    <w:rsid w:val="000C1ABB"/>
    <w:rsid w:val="000C57EE"/>
    <w:rsid w:val="000D6047"/>
    <w:rsid w:val="000E3EBA"/>
    <w:rsid w:val="0011586D"/>
    <w:rsid w:val="00122207"/>
    <w:rsid w:val="00125895"/>
    <w:rsid w:val="00144A2F"/>
    <w:rsid w:val="001541EE"/>
    <w:rsid w:val="00156524"/>
    <w:rsid w:val="00166E4E"/>
    <w:rsid w:val="001B0AFA"/>
    <w:rsid w:val="001B1EE2"/>
    <w:rsid w:val="001B2321"/>
    <w:rsid w:val="001B2C53"/>
    <w:rsid w:val="001C19C4"/>
    <w:rsid w:val="001C301E"/>
    <w:rsid w:val="001C4E8F"/>
    <w:rsid w:val="001C71A9"/>
    <w:rsid w:val="001D2E14"/>
    <w:rsid w:val="001D7750"/>
    <w:rsid w:val="001F36FE"/>
    <w:rsid w:val="00211E58"/>
    <w:rsid w:val="00213461"/>
    <w:rsid w:val="00235ED2"/>
    <w:rsid w:val="00242D63"/>
    <w:rsid w:val="002470B3"/>
    <w:rsid w:val="00254507"/>
    <w:rsid w:val="00261FFE"/>
    <w:rsid w:val="0026299A"/>
    <w:rsid w:val="0026713C"/>
    <w:rsid w:val="00274B3E"/>
    <w:rsid w:val="00276DAC"/>
    <w:rsid w:val="00291665"/>
    <w:rsid w:val="002A32BD"/>
    <w:rsid w:val="002A3E2A"/>
    <w:rsid w:val="002C0B49"/>
    <w:rsid w:val="002E7442"/>
    <w:rsid w:val="002F0EAA"/>
    <w:rsid w:val="002F171C"/>
    <w:rsid w:val="003029E7"/>
    <w:rsid w:val="00312087"/>
    <w:rsid w:val="0038610D"/>
    <w:rsid w:val="003B5EA8"/>
    <w:rsid w:val="003B7B12"/>
    <w:rsid w:val="003D72A7"/>
    <w:rsid w:val="003F3574"/>
    <w:rsid w:val="003F75A1"/>
    <w:rsid w:val="00434731"/>
    <w:rsid w:val="00441D7E"/>
    <w:rsid w:val="004456C1"/>
    <w:rsid w:val="00452941"/>
    <w:rsid w:val="00475B57"/>
    <w:rsid w:val="004978A8"/>
    <w:rsid w:val="004A5B65"/>
    <w:rsid w:val="004D50D1"/>
    <w:rsid w:val="004E18F3"/>
    <w:rsid w:val="004E3668"/>
    <w:rsid w:val="00500D77"/>
    <w:rsid w:val="005174AE"/>
    <w:rsid w:val="005276F5"/>
    <w:rsid w:val="005C4CBD"/>
    <w:rsid w:val="005D093A"/>
    <w:rsid w:val="005D1366"/>
    <w:rsid w:val="005E4519"/>
    <w:rsid w:val="005F4497"/>
    <w:rsid w:val="0064230D"/>
    <w:rsid w:val="0064732F"/>
    <w:rsid w:val="0065357C"/>
    <w:rsid w:val="006550C7"/>
    <w:rsid w:val="0066485D"/>
    <w:rsid w:val="00666E9C"/>
    <w:rsid w:val="0068364D"/>
    <w:rsid w:val="00694B04"/>
    <w:rsid w:val="006A602D"/>
    <w:rsid w:val="006D0821"/>
    <w:rsid w:val="006E72F7"/>
    <w:rsid w:val="006F4B79"/>
    <w:rsid w:val="006F605D"/>
    <w:rsid w:val="00712842"/>
    <w:rsid w:val="0073332A"/>
    <w:rsid w:val="00740D3E"/>
    <w:rsid w:val="00754326"/>
    <w:rsid w:val="007575EC"/>
    <w:rsid w:val="007C25C5"/>
    <w:rsid w:val="007C3403"/>
    <w:rsid w:val="007E32B8"/>
    <w:rsid w:val="007E7900"/>
    <w:rsid w:val="007F2292"/>
    <w:rsid w:val="007F7B87"/>
    <w:rsid w:val="008371AD"/>
    <w:rsid w:val="00845B84"/>
    <w:rsid w:val="00882BC2"/>
    <w:rsid w:val="00885506"/>
    <w:rsid w:val="0089555B"/>
    <w:rsid w:val="008B7AF4"/>
    <w:rsid w:val="008E2E5B"/>
    <w:rsid w:val="00926A32"/>
    <w:rsid w:val="0095700B"/>
    <w:rsid w:val="00961EC4"/>
    <w:rsid w:val="009836BB"/>
    <w:rsid w:val="00996B8B"/>
    <w:rsid w:val="009A39C1"/>
    <w:rsid w:val="009A7064"/>
    <w:rsid w:val="009C65A5"/>
    <w:rsid w:val="009D45A2"/>
    <w:rsid w:val="009E78A5"/>
    <w:rsid w:val="00A13865"/>
    <w:rsid w:val="00A25791"/>
    <w:rsid w:val="00A2683A"/>
    <w:rsid w:val="00A66BD2"/>
    <w:rsid w:val="00A67E54"/>
    <w:rsid w:val="00A71A55"/>
    <w:rsid w:val="00AA2258"/>
    <w:rsid w:val="00AB3DD8"/>
    <w:rsid w:val="00AB5C0D"/>
    <w:rsid w:val="00AC2A45"/>
    <w:rsid w:val="00AD3AAF"/>
    <w:rsid w:val="00AD4A11"/>
    <w:rsid w:val="00AE7D20"/>
    <w:rsid w:val="00B210CB"/>
    <w:rsid w:val="00B357FD"/>
    <w:rsid w:val="00B404F2"/>
    <w:rsid w:val="00B8133F"/>
    <w:rsid w:val="00B84358"/>
    <w:rsid w:val="00BA1870"/>
    <w:rsid w:val="00BC047D"/>
    <w:rsid w:val="00BC5832"/>
    <w:rsid w:val="00BC6255"/>
    <w:rsid w:val="00BD31E5"/>
    <w:rsid w:val="00BD5526"/>
    <w:rsid w:val="00BF671F"/>
    <w:rsid w:val="00C34216"/>
    <w:rsid w:val="00C570B2"/>
    <w:rsid w:val="00C677B8"/>
    <w:rsid w:val="00CC0C72"/>
    <w:rsid w:val="00CC65AD"/>
    <w:rsid w:val="00CF30F1"/>
    <w:rsid w:val="00D04BE9"/>
    <w:rsid w:val="00D11015"/>
    <w:rsid w:val="00D16F55"/>
    <w:rsid w:val="00D35133"/>
    <w:rsid w:val="00D41DED"/>
    <w:rsid w:val="00D6246E"/>
    <w:rsid w:val="00D65738"/>
    <w:rsid w:val="00DC04C1"/>
    <w:rsid w:val="00DE1DBD"/>
    <w:rsid w:val="00DE2210"/>
    <w:rsid w:val="00DE5CA0"/>
    <w:rsid w:val="00E50CBF"/>
    <w:rsid w:val="00E511FC"/>
    <w:rsid w:val="00E817CF"/>
    <w:rsid w:val="00E9422A"/>
    <w:rsid w:val="00EA7534"/>
    <w:rsid w:val="00EC17DC"/>
    <w:rsid w:val="00EC6107"/>
    <w:rsid w:val="00ED0BF5"/>
    <w:rsid w:val="00EF2AFB"/>
    <w:rsid w:val="00EF7652"/>
    <w:rsid w:val="00F10C4D"/>
    <w:rsid w:val="00F20899"/>
    <w:rsid w:val="00F44FB8"/>
    <w:rsid w:val="00F50E99"/>
    <w:rsid w:val="00F521A0"/>
    <w:rsid w:val="00F62B4D"/>
    <w:rsid w:val="00F62FBC"/>
    <w:rsid w:val="00F76275"/>
    <w:rsid w:val="00F86352"/>
    <w:rsid w:val="00F90F27"/>
    <w:rsid w:val="00FA6332"/>
    <w:rsid w:val="00FB5634"/>
    <w:rsid w:val="00FC3035"/>
    <w:rsid w:val="00FC4A31"/>
    <w:rsid w:val="00FD124D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F886B"/>
  <w15:chartTrackingRefBased/>
  <w15:docId w15:val="{6B81AECD-9D93-42B3-B101-F8BCBE67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2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F229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F2292"/>
  </w:style>
  <w:style w:type="paragraph" w:styleId="Koptekst">
    <w:name w:val="header"/>
    <w:basedOn w:val="Standaard"/>
    <w:link w:val="KoptekstChar"/>
    <w:uiPriority w:val="99"/>
    <w:unhideWhenUsed/>
    <w:rsid w:val="00156524"/>
    <w:pPr>
      <w:tabs>
        <w:tab w:val="center" w:pos="4513"/>
        <w:tab w:val="right" w:pos="902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56524"/>
  </w:style>
  <w:style w:type="character" w:customStyle="1" w:styleId="VoettekstChar">
    <w:name w:val="Voettekst Char"/>
    <w:link w:val="Voettekst"/>
    <w:uiPriority w:val="99"/>
    <w:rsid w:val="00156524"/>
    <w:rPr>
      <w:sz w:val="22"/>
    </w:rPr>
  </w:style>
  <w:style w:type="character" w:styleId="Verwijzingopmerking">
    <w:name w:val="annotation reference"/>
    <w:rsid w:val="001B1EE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EE2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B1EE2"/>
  </w:style>
  <w:style w:type="paragraph" w:styleId="Onderwerpvanopmerking">
    <w:name w:val="annotation subject"/>
    <w:basedOn w:val="Tekstopmerking"/>
    <w:next w:val="Tekstopmerking"/>
    <w:link w:val="OnderwerpvanopmerkingChar"/>
    <w:rsid w:val="001B1EE2"/>
    <w:rPr>
      <w:b/>
      <w:bCs/>
    </w:rPr>
  </w:style>
  <w:style w:type="character" w:customStyle="1" w:styleId="OnderwerpvanopmerkingChar">
    <w:name w:val="Onderwerp van opmerking Char"/>
    <w:link w:val="Onderwerpvanopmerking"/>
    <w:rsid w:val="001B1EE2"/>
    <w:rPr>
      <w:b/>
      <w:bCs/>
    </w:rPr>
  </w:style>
  <w:style w:type="paragraph" w:styleId="Ballontekst">
    <w:name w:val="Balloon Text"/>
    <w:basedOn w:val="Standaard"/>
    <w:link w:val="BallontekstChar"/>
    <w:rsid w:val="001B1E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B1EE2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254507"/>
    <w:rPr>
      <w:b/>
      <w:sz w:val="22"/>
    </w:rPr>
  </w:style>
  <w:style w:type="character" w:styleId="Nadruk">
    <w:name w:val="Emphasis"/>
    <w:basedOn w:val="Standaardalinea-lettertype"/>
    <w:uiPriority w:val="20"/>
    <w:qFormat/>
    <w:rsid w:val="00A13865"/>
    <w:rPr>
      <w:i/>
      <w:iCs/>
    </w:rPr>
  </w:style>
  <w:style w:type="paragraph" w:customStyle="1" w:styleId="Default">
    <w:name w:val="Default"/>
    <w:rsid w:val="001C71A9"/>
    <w:pPr>
      <w:autoSpaceDE w:val="0"/>
      <w:autoSpaceDN w:val="0"/>
      <w:adjustRightInd w:val="0"/>
    </w:pPr>
    <w:rPr>
      <w:rFonts w:ascii="Univers LT Pro" w:hAnsi="Univers LT Pro" w:cs="Univers LT Pro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6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713</ap:Words>
  <ap:Characters>3924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Tweede Kamer der Staten-Generaal</vt:lpstr>
    </vt:vector>
  </ap:TitlesOfParts>
  <ap:LinksUpToDate>false</ap:LinksUpToDate>
  <ap:CharactersWithSpaces>4628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1899-12-31T23:00:00.0000000Z</lastPrinted>
  <dcterms:created xsi:type="dcterms:W3CDTF">2021-09-20T09:39:00.0000000Z</dcterms:created>
  <dcterms:modified xsi:type="dcterms:W3CDTF">2021-09-27T15:46:00.0000000Z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0x01010026E01B0BEF88304AA3AE3E5D8A7C37D7</vt:lpwstr>
  </property>
</Properties>
</file>