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5B8A" w:rsidRDefault="00BC5B8A" w14:paraId="62F78607" w14:textId="03B57941">
      <w:pPr>
        <w:rPr>
          <w:b/>
          <w:bCs/>
          <w:lang w:val="nl-NL"/>
        </w:rPr>
      </w:pPr>
    </w:p>
    <w:p w:rsidRPr="0000064B" w:rsidR="00E3443A" w:rsidRDefault="003C305A" w14:paraId="172B6B16" w14:textId="374BA437">
      <w:pPr>
        <w:rPr>
          <w:b/>
          <w:bCs/>
          <w:sz w:val="28"/>
          <w:szCs w:val="28"/>
          <w:lang w:val="nl-NL"/>
        </w:rPr>
      </w:pPr>
      <w:r w:rsidRPr="0000064B">
        <w:rPr>
          <w:b/>
          <w:bCs/>
          <w:sz w:val="28"/>
          <w:szCs w:val="28"/>
          <w:lang w:val="nl-NL"/>
        </w:rPr>
        <w:t xml:space="preserve">Position paper voor het Rondetafelgesprek van de Commissie Buitenlandse Handel en Ontwikkelingssamenwerking over IMVO op 29 september 2021 </w:t>
      </w:r>
    </w:p>
    <w:p w:rsidRPr="00FB2CEA" w:rsidR="008D43C0" w:rsidRDefault="00AB1C38" w14:paraId="71DCE047" w14:textId="45937977">
      <w:pPr>
        <w:rPr>
          <w:b/>
          <w:bCs/>
          <w:lang w:val="nl-NL"/>
        </w:rPr>
      </w:pPr>
      <w:r w:rsidRPr="008171D0">
        <w:rPr>
          <w:i/>
          <w:iCs/>
          <w:lang w:val="nl-NL"/>
        </w:rPr>
        <w:t xml:space="preserve">Inbreng Peter Ras, </w:t>
      </w:r>
      <w:r w:rsidR="00E3443A">
        <w:rPr>
          <w:i/>
          <w:iCs/>
          <w:lang w:val="nl-NL"/>
        </w:rPr>
        <w:t xml:space="preserve">Sr. </w:t>
      </w:r>
      <w:r w:rsidRPr="008171D0">
        <w:rPr>
          <w:i/>
          <w:iCs/>
          <w:lang w:val="nl-NL"/>
        </w:rPr>
        <w:t>Beleidscoördinator Internationale Samenwerking Oxfam Novib</w:t>
      </w:r>
    </w:p>
    <w:p w:rsidR="0000064B" w:rsidRDefault="0000064B" w14:paraId="6AA9EA17" w14:textId="77777777">
      <w:pPr>
        <w:rPr>
          <w:b/>
          <w:bCs/>
          <w:color w:val="70AD47" w:themeColor="accent6"/>
          <w:u w:val="single"/>
          <w:lang w:val="nl-NL"/>
        </w:rPr>
      </w:pPr>
    </w:p>
    <w:p w:rsidRPr="00044805" w:rsidR="005624C4" w:rsidRDefault="005624C4" w14:paraId="678834C1" w14:textId="5B9E8039">
      <w:pPr>
        <w:rPr>
          <w:b/>
          <w:bCs/>
          <w:color w:val="70AD47" w:themeColor="accent6"/>
          <w:u w:val="single"/>
          <w:lang w:val="nl-NL"/>
        </w:rPr>
      </w:pPr>
      <w:r w:rsidRPr="00044805">
        <w:rPr>
          <w:b/>
          <w:bCs/>
          <w:color w:val="70AD47" w:themeColor="accent6"/>
          <w:u w:val="single"/>
          <w:lang w:val="nl-NL"/>
        </w:rPr>
        <w:t>Inleiding</w:t>
      </w:r>
    </w:p>
    <w:p w:rsidRPr="00FB2CEA" w:rsidR="00FB2CEA" w:rsidRDefault="005624C4" w14:paraId="5BE10498" w14:textId="4EAEA04D">
      <w:pPr>
        <w:rPr>
          <w:lang w:val="nl-NL"/>
        </w:rPr>
      </w:pPr>
      <w:r w:rsidRPr="005624C4">
        <w:rPr>
          <w:lang w:val="nl-NL"/>
        </w:rPr>
        <w:t xml:space="preserve">Oxfam Novib </w:t>
      </w:r>
      <w:r w:rsidR="00DD1600">
        <w:rPr>
          <w:lang w:val="nl-NL"/>
        </w:rPr>
        <w:t xml:space="preserve">draagt op meerdere manieren </w:t>
      </w:r>
      <w:r w:rsidR="00E3567E">
        <w:rPr>
          <w:lang w:val="nl-NL"/>
        </w:rPr>
        <w:t xml:space="preserve">bij </w:t>
      </w:r>
      <w:r w:rsidR="00DD1600">
        <w:rPr>
          <w:lang w:val="nl-NL"/>
        </w:rPr>
        <w:t xml:space="preserve">aan vooruitgang op </w:t>
      </w:r>
      <w:r w:rsidR="00AD73DF">
        <w:rPr>
          <w:lang w:val="nl-NL"/>
        </w:rPr>
        <w:t>IMVO</w:t>
      </w:r>
      <w:r w:rsidR="0006615F">
        <w:rPr>
          <w:lang w:val="nl-NL"/>
        </w:rPr>
        <w:t xml:space="preserve">, variërend van </w:t>
      </w:r>
      <w:r w:rsidR="00EA7655">
        <w:rPr>
          <w:lang w:val="nl-NL"/>
        </w:rPr>
        <w:t xml:space="preserve">kritische campagnes zoals de Eerlijke Geldwijzer </w:t>
      </w:r>
      <w:r w:rsidR="006E6A94">
        <w:rPr>
          <w:lang w:val="nl-NL"/>
        </w:rPr>
        <w:t>en</w:t>
      </w:r>
      <w:r w:rsidR="00EA7655">
        <w:rPr>
          <w:lang w:val="nl-NL"/>
        </w:rPr>
        <w:t xml:space="preserve"> de Behind the Barcodes campagne tot </w:t>
      </w:r>
      <w:r w:rsidR="0006615F">
        <w:rPr>
          <w:lang w:val="nl-NL"/>
        </w:rPr>
        <w:t>samenwerking met bedrijven</w:t>
      </w:r>
      <w:r w:rsidR="00707242">
        <w:rPr>
          <w:lang w:val="nl-NL"/>
        </w:rPr>
        <w:t>. I</w:t>
      </w:r>
      <w:r w:rsidR="006E6A94">
        <w:rPr>
          <w:lang w:val="nl-NL"/>
        </w:rPr>
        <w:t>nclusief</w:t>
      </w:r>
      <w:r w:rsidR="00EA7655">
        <w:rPr>
          <w:lang w:val="nl-NL"/>
        </w:rPr>
        <w:t xml:space="preserve"> binnen </w:t>
      </w:r>
      <w:r w:rsidRPr="005624C4">
        <w:rPr>
          <w:lang w:val="nl-NL"/>
        </w:rPr>
        <w:t>d</w:t>
      </w:r>
      <w:r w:rsidR="00695099">
        <w:rPr>
          <w:lang w:val="nl-NL"/>
        </w:rPr>
        <w:t>iverse</w:t>
      </w:r>
      <w:r w:rsidRPr="005624C4">
        <w:rPr>
          <w:lang w:val="nl-NL"/>
        </w:rPr>
        <w:t xml:space="preserve"> IMVO-convenanten. Oxfam Novib deelt de belangrijke conclusies van de evaluatie van het convenantenbeleid van het </w:t>
      </w:r>
      <w:hyperlink w:history="1" r:id="rId7">
        <w:r w:rsidRPr="00036C8D">
          <w:rPr>
            <w:rStyle w:val="Hyperlink"/>
            <w:lang w:val="nl-NL"/>
          </w:rPr>
          <w:t>KIT</w:t>
        </w:r>
      </w:hyperlink>
      <w:r w:rsidRPr="005624C4">
        <w:rPr>
          <w:lang w:val="nl-NL"/>
        </w:rPr>
        <w:t>. Uit eigen ervaring weten wij dat de convenanten zinnig zijn ten behoeve van kennisoverdracht en informatie uitwisseling tussen bedrijven/sectoren, maatschappelijke organisaties, overheid en vakbonden</w:t>
      </w:r>
      <w:r w:rsidR="00DF4F8E">
        <w:rPr>
          <w:lang w:val="nl-NL"/>
        </w:rPr>
        <w:t xml:space="preserve">. </w:t>
      </w:r>
      <w:r w:rsidR="00856D60">
        <w:rPr>
          <w:lang w:val="nl-NL"/>
        </w:rPr>
        <w:t xml:space="preserve">Op </w:t>
      </w:r>
      <w:r w:rsidRPr="005624C4">
        <w:rPr>
          <w:lang w:val="nl-NL"/>
        </w:rPr>
        <w:t xml:space="preserve">het gebied van output </w:t>
      </w:r>
      <w:r w:rsidR="00856D60">
        <w:rPr>
          <w:lang w:val="nl-NL"/>
        </w:rPr>
        <w:t xml:space="preserve">leveren ze </w:t>
      </w:r>
      <w:r w:rsidRPr="005624C4">
        <w:rPr>
          <w:lang w:val="nl-NL"/>
        </w:rPr>
        <w:t>vaak (</w:t>
      </w:r>
      <w:r>
        <w:rPr>
          <w:lang w:val="nl-NL"/>
        </w:rPr>
        <w:t xml:space="preserve">weliswaar </w:t>
      </w:r>
      <w:r w:rsidRPr="005624C4">
        <w:rPr>
          <w:lang w:val="nl-NL"/>
        </w:rPr>
        <w:t xml:space="preserve">met vertraging) </w:t>
      </w:r>
      <w:r>
        <w:rPr>
          <w:lang w:val="nl-NL"/>
        </w:rPr>
        <w:t>producten op</w:t>
      </w:r>
      <w:r w:rsidR="00415B91">
        <w:rPr>
          <w:lang w:val="nl-NL"/>
        </w:rPr>
        <w:t>. O</w:t>
      </w:r>
      <w:r w:rsidRPr="005624C4">
        <w:rPr>
          <w:lang w:val="nl-NL"/>
        </w:rPr>
        <w:t xml:space="preserve">p het gebied van outcome en impact (on the ground) voor mens &amp; planeet </w:t>
      </w:r>
      <w:r w:rsidR="00415B91">
        <w:rPr>
          <w:lang w:val="nl-NL"/>
        </w:rPr>
        <w:t xml:space="preserve">laten de convenanten echter nog </w:t>
      </w:r>
      <w:r w:rsidRPr="005624C4">
        <w:rPr>
          <w:lang w:val="nl-NL"/>
        </w:rPr>
        <w:t xml:space="preserve">beperkte resultaten </w:t>
      </w:r>
      <w:r w:rsidR="005C3171">
        <w:rPr>
          <w:lang w:val="nl-NL"/>
        </w:rPr>
        <w:t>zien</w:t>
      </w:r>
      <w:r w:rsidR="002770B4">
        <w:rPr>
          <w:lang w:val="nl-NL"/>
        </w:rPr>
        <w:t xml:space="preserve">, zoals </w:t>
      </w:r>
      <w:r w:rsidR="00897583">
        <w:rPr>
          <w:lang w:val="nl-NL"/>
        </w:rPr>
        <w:t xml:space="preserve">ook </w:t>
      </w:r>
      <w:r w:rsidR="00BC0F20">
        <w:rPr>
          <w:lang w:val="nl-NL"/>
        </w:rPr>
        <w:t>herhaaldelijk</w:t>
      </w:r>
      <w:r w:rsidR="002770B4">
        <w:rPr>
          <w:lang w:val="nl-NL"/>
        </w:rPr>
        <w:t xml:space="preserve"> </w:t>
      </w:r>
      <w:r w:rsidR="00BC0F20">
        <w:rPr>
          <w:lang w:val="nl-NL"/>
        </w:rPr>
        <w:t xml:space="preserve">door de onafhankelijke monitoringsrapporten </w:t>
      </w:r>
      <w:r w:rsidR="00B82C8B">
        <w:rPr>
          <w:lang w:val="nl-NL"/>
        </w:rPr>
        <w:t>van convenanten is vastgesteld</w:t>
      </w:r>
      <w:r w:rsidRPr="005624C4">
        <w:rPr>
          <w:lang w:val="nl-NL"/>
        </w:rPr>
        <w:t>.</w:t>
      </w:r>
      <w:r w:rsidR="009F0741">
        <w:rPr>
          <w:lang w:val="nl-NL"/>
        </w:rPr>
        <w:t xml:space="preserve"> </w:t>
      </w:r>
      <w:r w:rsidR="00F00848">
        <w:rPr>
          <w:lang w:val="nl-NL"/>
        </w:rPr>
        <w:t xml:space="preserve">Uit deze en andere </w:t>
      </w:r>
      <w:r w:rsidR="00FE3245">
        <w:rPr>
          <w:lang w:val="nl-NL"/>
        </w:rPr>
        <w:t xml:space="preserve">rapporten en evaluaties, wordt het </w:t>
      </w:r>
      <w:r w:rsidR="006A2C7C">
        <w:rPr>
          <w:lang w:val="nl-NL"/>
        </w:rPr>
        <w:t xml:space="preserve">duidelijk dat </w:t>
      </w:r>
      <w:r w:rsidR="00326475">
        <w:rPr>
          <w:lang w:val="nl-NL"/>
        </w:rPr>
        <w:t xml:space="preserve">louter </w:t>
      </w:r>
      <w:r w:rsidR="00F00848">
        <w:rPr>
          <w:lang w:val="nl-NL"/>
        </w:rPr>
        <w:t>vertrouwen op</w:t>
      </w:r>
      <w:r w:rsidR="005C1B1A">
        <w:rPr>
          <w:lang w:val="nl-NL"/>
        </w:rPr>
        <w:t xml:space="preserve"> </w:t>
      </w:r>
      <w:r w:rsidR="00B908DE">
        <w:rPr>
          <w:lang w:val="nl-NL"/>
        </w:rPr>
        <w:t>vrij</w:t>
      </w:r>
      <w:r w:rsidR="00D81392">
        <w:rPr>
          <w:lang w:val="nl-NL"/>
        </w:rPr>
        <w:t xml:space="preserve">willigheid </w:t>
      </w:r>
      <w:r w:rsidR="00CB1DB2">
        <w:rPr>
          <w:lang w:val="nl-NL"/>
        </w:rPr>
        <w:t>een gepasseerd station</w:t>
      </w:r>
      <w:r w:rsidR="00F00848">
        <w:rPr>
          <w:lang w:val="nl-NL"/>
        </w:rPr>
        <w:t xml:space="preserve"> is. </w:t>
      </w:r>
      <w:r w:rsidR="00201D4F">
        <w:rPr>
          <w:lang w:val="nl-NL"/>
        </w:rPr>
        <w:t xml:space="preserve">Oxfam Novib steunt daarom het </w:t>
      </w:r>
      <w:hyperlink w:history="1" r:id="rId8">
        <w:r w:rsidRPr="00612909" w:rsidR="00201D4F">
          <w:rPr>
            <w:rStyle w:val="Hyperlink"/>
            <w:lang w:val="nl-NL"/>
          </w:rPr>
          <w:t>SER-advies</w:t>
        </w:r>
      </w:hyperlink>
      <w:r w:rsidR="00201D4F">
        <w:rPr>
          <w:lang w:val="nl-NL"/>
        </w:rPr>
        <w:t xml:space="preserve"> en de positie van het demissionaire kabinet dat verplichtende maatregelen nodig zijn op IMVO due diligence, in aanvulling </w:t>
      </w:r>
      <w:r w:rsidR="00C47EDD">
        <w:rPr>
          <w:lang w:val="nl-NL"/>
        </w:rPr>
        <w:t>op</w:t>
      </w:r>
      <w:r w:rsidR="00201D4F">
        <w:rPr>
          <w:lang w:val="nl-NL"/>
        </w:rPr>
        <w:t xml:space="preserve"> bestaande vrijwillige instrumenten en samenwerking tussen NGO’s, vakbonden, overheid en bedrijven. Hierbij is wel enige haast geboden gelet op de urgentie van het onderwerp. Nederland dient niet enkel af te wachten tot Europa initiatief hiertoe neemt. </w:t>
      </w:r>
    </w:p>
    <w:p w:rsidR="0000064B" w:rsidRDefault="0000064B" w14:paraId="23C2F6B5" w14:textId="77777777">
      <w:pPr>
        <w:rPr>
          <w:b/>
          <w:bCs/>
          <w:color w:val="70AD47" w:themeColor="accent6"/>
          <w:u w:val="single"/>
          <w:lang w:val="nl-NL"/>
        </w:rPr>
      </w:pPr>
    </w:p>
    <w:p w:rsidRPr="00044805" w:rsidR="00365BA1" w:rsidRDefault="00365BA1" w14:paraId="25888332" w14:textId="138656F7">
      <w:pPr>
        <w:rPr>
          <w:b/>
          <w:bCs/>
          <w:color w:val="70AD47" w:themeColor="accent6"/>
          <w:u w:val="single"/>
          <w:lang w:val="nl-NL"/>
        </w:rPr>
      </w:pPr>
      <w:r w:rsidRPr="00044805">
        <w:rPr>
          <w:b/>
          <w:bCs/>
          <w:color w:val="70AD47" w:themeColor="accent6"/>
          <w:u w:val="single"/>
          <w:lang w:val="nl-NL"/>
        </w:rPr>
        <w:t xml:space="preserve">Verzoeken aan </w:t>
      </w:r>
      <w:r w:rsidRPr="00044805" w:rsidR="002F4620">
        <w:rPr>
          <w:b/>
          <w:bCs/>
          <w:color w:val="70AD47" w:themeColor="accent6"/>
          <w:u w:val="single"/>
          <w:lang w:val="nl-NL"/>
        </w:rPr>
        <w:t xml:space="preserve">de </w:t>
      </w:r>
      <w:r w:rsidRPr="00044805">
        <w:rPr>
          <w:b/>
          <w:bCs/>
          <w:color w:val="70AD47" w:themeColor="accent6"/>
          <w:u w:val="single"/>
          <w:lang w:val="nl-NL"/>
        </w:rPr>
        <w:t>Tweede Kamer</w:t>
      </w:r>
    </w:p>
    <w:p w:rsidRPr="003A3690" w:rsidR="00B67B62" w:rsidP="003A3690" w:rsidRDefault="00B67B62" w14:paraId="4DB3E795" w14:textId="644AB193">
      <w:pPr>
        <w:pStyle w:val="ListParagraph"/>
        <w:numPr>
          <w:ilvl w:val="0"/>
          <w:numId w:val="4"/>
        </w:numPr>
        <w:rPr>
          <w:lang w:val="nl-NL"/>
        </w:rPr>
      </w:pPr>
      <w:r w:rsidRPr="003A3690">
        <w:rPr>
          <w:lang w:val="nl-NL"/>
        </w:rPr>
        <w:t xml:space="preserve">Voer </w:t>
      </w:r>
      <w:r w:rsidR="00C74C90">
        <w:rPr>
          <w:lang w:val="nl-NL"/>
        </w:rPr>
        <w:t>per 2023</w:t>
      </w:r>
      <w:r w:rsidR="00B9734A">
        <w:rPr>
          <w:lang w:val="nl-NL"/>
        </w:rPr>
        <w:t xml:space="preserve"> </w:t>
      </w:r>
      <w:r w:rsidRPr="003A3690" w:rsidR="00DA2DDB">
        <w:rPr>
          <w:lang w:val="nl-NL"/>
        </w:rPr>
        <w:t xml:space="preserve">Nederlandse wetgeving </w:t>
      </w:r>
      <w:r w:rsidRPr="003A3690">
        <w:rPr>
          <w:lang w:val="nl-NL"/>
        </w:rPr>
        <w:t xml:space="preserve">in </w:t>
      </w:r>
      <w:r w:rsidRPr="003A3690" w:rsidR="00DA2DDB">
        <w:rPr>
          <w:lang w:val="nl-NL"/>
        </w:rPr>
        <w:t>voor duurzaam en verantwoord ondernemen</w:t>
      </w:r>
      <w:r w:rsidRPr="003A3690">
        <w:rPr>
          <w:lang w:val="nl-NL"/>
        </w:rPr>
        <w:t>;</w:t>
      </w:r>
    </w:p>
    <w:p w:rsidRPr="00FB2CEA" w:rsidR="00FB2CEA" w:rsidP="00FB2CEA" w:rsidRDefault="00EB3816" w14:paraId="02E256F7" w14:textId="3EBE782D">
      <w:pPr>
        <w:pStyle w:val="ListParagraph"/>
        <w:numPr>
          <w:ilvl w:val="0"/>
          <w:numId w:val="4"/>
        </w:numPr>
        <w:rPr>
          <w:lang w:val="nl-NL"/>
        </w:rPr>
      </w:pPr>
      <w:r w:rsidRPr="003A3690">
        <w:rPr>
          <w:lang w:val="nl-NL"/>
        </w:rPr>
        <w:t xml:space="preserve">Steun vanuit Nederland pro-actief invoering van </w:t>
      </w:r>
      <w:r w:rsidRPr="003A3690" w:rsidR="00DA2DDB">
        <w:rPr>
          <w:lang w:val="nl-NL"/>
        </w:rPr>
        <w:t>ambitieuze Europese IMVO-</w:t>
      </w:r>
      <w:r w:rsidRPr="003A3690" w:rsidR="004061AC">
        <w:rPr>
          <w:lang w:val="nl-NL"/>
        </w:rPr>
        <w:t>wetgeving</w:t>
      </w:r>
      <w:r w:rsidRPr="003A3690" w:rsidR="003A3690">
        <w:rPr>
          <w:lang w:val="nl-NL"/>
        </w:rPr>
        <w:t>, binnen zo kort mogelijke termijn</w:t>
      </w:r>
      <w:r w:rsidR="00C74C90">
        <w:rPr>
          <w:lang w:val="nl-NL"/>
        </w:rPr>
        <w:t xml:space="preserve"> </w:t>
      </w:r>
      <w:r w:rsidR="00D90CE7">
        <w:rPr>
          <w:lang w:val="nl-NL"/>
        </w:rPr>
        <w:t xml:space="preserve">en eveneens </w:t>
      </w:r>
      <w:r w:rsidR="00C74C90">
        <w:rPr>
          <w:lang w:val="nl-NL"/>
        </w:rPr>
        <w:t>op basis van de OESO richtlijnen</w:t>
      </w:r>
      <w:r w:rsidRPr="003A3690" w:rsidR="00DA2DDB">
        <w:rPr>
          <w:lang w:val="nl-NL"/>
        </w:rPr>
        <w:t>.</w:t>
      </w:r>
    </w:p>
    <w:p w:rsidR="0000064B" w:rsidRDefault="0000064B" w14:paraId="71FA7A4C" w14:textId="77777777">
      <w:pPr>
        <w:rPr>
          <w:b/>
          <w:bCs/>
          <w:color w:val="70AD47" w:themeColor="accent6"/>
          <w:u w:val="single"/>
          <w:lang w:val="nl-NL"/>
        </w:rPr>
      </w:pPr>
    </w:p>
    <w:p w:rsidRPr="00044805" w:rsidR="00E6119F" w:rsidRDefault="00E6119F" w14:paraId="21A0B11E" w14:textId="097F4158">
      <w:pPr>
        <w:rPr>
          <w:b/>
          <w:bCs/>
          <w:color w:val="70AD47" w:themeColor="accent6"/>
          <w:u w:val="single"/>
          <w:lang w:val="nl-NL"/>
        </w:rPr>
      </w:pPr>
      <w:r w:rsidRPr="00044805">
        <w:rPr>
          <w:b/>
          <w:bCs/>
          <w:color w:val="70AD47" w:themeColor="accent6"/>
          <w:u w:val="single"/>
          <w:lang w:val="nl-NL"/>
        </w:rPr>
        <w:t>Zorgen over blijvende schendingen</w:t>
      </w:r>
    </w:p>
    <w:p w:rsidRPr="008D43C0" w:rsidR="008D43C0" w:rsidP="008D43C0" w:rsidRDefault="008D43C0" w14:paraId="5D2702DC" w14:textId="5215707B">
      <w:pPr>
        <w:rPr>
          <w:lang w:val="nl-NL"/>
        </w:rPr>
      </w:pPr>
      <w:r w:rsidRPr="008D43C0">
        <w:rPr>
          <w:lang w:val="nl-NL"/>
        </w:rPr>
        <w:t xml:space="preserve">Ook in recente jaren </w:t>
      </w:r>
      <w:r w:rsidR="00126DD7">
        <w:rPr>
          <w:lang w:val="nl-NL"/>
        </w:rPr>
        <w:t xml:space="preserve">zijn er </w:t>
      </w:r>
      <w:r w:rsidRPr="008D43C0">
        <w:rPr>
          <w:lang w:val="nl-NL"/>
        </w:rPr>
        <w:t xml:space="preserve">voortdurende voorbeelden van betrokkenheid van Nederlandse bedrijven bij IMVO-schendingen. </w:t>
      </w:r>
      <w:r w:rsidR="0001716E">
        <w:rPr>
          <w:lang w:val="nl-NL"/>
        </w:rPr>
        <w:t>Enkele voorbeelden hiervan zijn</w:t>
      </w:r>
      <w:r w:rsidRPr="008D43C0">
        <w:rPr>
          <w:lang w:val="nl-NL"/>
        </w:rPr>
        <w:t xml:space="preserve">: </w:t>
      </w:r>
    </w:p>
    <w:p w:rsidRPr="008D43C0" w:rsidR="008D43C0" w:rsidP="008D43C0" w:rsidRDefault="008D43C0" w14:paraId="3CA5A05E" w14:textId="292567F2">
      <w:pPr>
        <w:pStyle w:val="NoSpacing"/>
        <w:rPr>
          <w:lang w:val="nl-NL"/>
        </w:rPr>
      </w:pPr>
      <w:r w:rsidRPr="008D43C0">
        <w:rPr>
          <w:lang w:val="nl-NL"/>
        </w:rPr>
        <w:t>•</w:t>
      </w:r>
      <w:r w:rsidRPr="008D43C0">
        <w:rPr>
          <w:lang w:val="nl-NL"/>
        </w:rPr>
        <w:tab/>
      </w:r>
      <w:r w:rsidR="00C74C90">
        <w:rPr>
          <w:lang w:val="nl-NL"/>
        </w:rPr>
        <w:t xml:space="preserve">Koffiebedrijven </w:t>
      </w:r>
      <w:r w:rsidR="0001716E">
        <w:rPr>
          <w:lang w:val="nl-NL"/>
        </w:rPr>
        <w:t xml:space="preserve">betalen </w:t>
      </w:r>
      <w:r w:rsidRPr="008D43C0">
        <w:rPr>
          <w:lang w:val="nl-NL"/>
        </w:rPr>
        <w:t>geen fatsoenlijke prijs voor hun product, met armoede, ontbossing en slechte arbeidsomstandigheden tot gevolg</w:t>
      </w:r>
      <w:r w:rsidR="00C74C90">
        <w:rPr>
          <w:lang w:val="nl-NL"/>
        </w:rPr>
        <w:t>;</w:t>
      </w:r>
      <w:r w:rsidRPr="008D43C0">
        <w:rPr>
          <w:lang w:val="nl-NL"/>
        </w:rPr>
        <w:t xml:space="preserve"> </w:t>
      </w:r>
    </w:p>
    <w:p w:rsidRPr="008D43C0" w:rsidR="008D43C0" w:rsidP="008D43C0" w:rsidRDefault="008D43C0" w14:paraId="390605F3" w14:textId="0D880D48">
      <w:pPr>
        <w:pStyle w:val="NoSpacing"/>
        <w:rPr>
          <w:lang w:val="nl-NL"/>
        </w:rPr>
      </w:pPr>
      <w:r w:rsidRPr="008D43C0">
        <w:rPr>
          <w:lang w:val="nl-NL"/>
        </w:rPr>
        <w:t>•</w:t>
      </w:r>
      <w:r w:rsidRPr="008D43C0">
        <w:rPr>
          <w:lang w:val="nl-NL"/>
        </w:rPr>
        <w:tab/>
      </w:r>
      <w:r w:rsidR="00647C1B">
        <w:rPr>
          <w:lang w:val="nl-NL"/>
        </w:rPr>
        <w:t xml:space="preserve">7 van de grootste 9 verzekeraars in Nederland kunnen </w:t>
      </w:r>
      <w:r w:rsidR="00746896">
        <w:rPr>
          <w:lang w:val="nl-NL"/>
        </w:rPr>
        <w:t xml:space="preserve">niet </w:t>
      </w:r>
      <w:r w:rsidR="00647C1B">
        <w:rPr>
          <w:lang w:val="nl-NL"/>
        </w:rPr>
        <w:t xml:space="preserve">aantonen dat zij de </w:t>
      </w:r>
      <w:r w:rsidR="00E122BB">
        <w:rPr>
          <w:lang w:val="nl-NL"/>
        </w:rPr>
        <w:t xml:space="preserve">6 due diligence stappen van de OESO richtlijnen </w:t>
      </w:r>
      <w:r w:rsidR="00F240D1">
        <w:rPr>
          <w:lang w:val="nl-NL"/>
        </w:rPr>
        <w:t xml:space="preserve">structureel </w:t>
      </w:r>
      <w:r w:rsidR="00E122BB">
        <w:rPr>
          <w:lang w:val="nl-NL"/>
        </w:rPr>
        <w:t xml:space="preserve">toepassen op hun beleggingen in </w:t>
      </w:r>
      <w:r w:rsidR="00F93A13">
        <w:rPr>
          <w:lang w:val="nl-NL"/>
        </w:rPr>
        <w:t xml:space="preserve">11 mijnbouw- en oliebedrijven </w:t>
      </w:r>
      <w:r w:rsidR="00B80CDC">
        <w:rPr>
          <w:lang w:val="nl-NL"/>
        </w:rPr>
        <w:t xml:space="preserve">die langjarig betrokken zijn bij ernstige mensenrechtenschendingen. Diverse verzekeraars </w:t>
      </w:r>
      <w:r w:rsidR="00E4493C">
        <w:rPr>
          <w:lang w:val="nl-NL"/>
        </w:rPr>
        <w:t xml:space="preserve">tonen ook niet aan of zij de OESO richtlijnen toepassen </w:t>
      </w:r>
      <w:r w:rsidR="00746896">
        <w:rPr>
          <w:lang w:val="nl-NL"/>
        </w:rPr>
        <w:t xml:space="preserve">in hun beleggingen in </w:t>
      </w:r>
      <w:r w:rsidRPr="008D43C0">
        <w:rPr>
          <w:lang w:val="nl-NL"/>
        </w:rPr>
        <w:t>14 bedrijven die wapens leveren aan dictators – wapens die mede worden ingezet tegen de burgerbevolking van landen als Jemen;</w:t>
      </w:r>
      <w:r w:rsidR="00C74C90">
        <w:rPr>
          <w:lang w:val="nl-NL"/>
        </w:rPr>
        <w:t xml:space="preserve"> </w:t>
      </w:r>
    </w:p>
    <w:p w:rsidRPr="008D43C0" w:rsidR="008D43C0" w:rsidP="008D43C0" w:rsidRDefault="008D43C0" w14:paraId="371EFFEA" w14:textId="2721E26B">
      <w:pPr>
        <w:pStyle w:val="NoSpacing"/>
        <w:rPr>
          <w:lang w:val="nl-NL"/>
        </w:rPr>
      </w:pPr>
      <w:r w:rsidRPr="008D43C0">
        <w:rPr>
          <w:lang w:val="nl-NL"/>
        </w:rPr>
        <w:t>•</w:t>
      </w:r>
      <w:r w:rsidRPr="008D43C0">
        <w:rPr>
          <w:lang w:val="nl-NL"/>
        </w:rPr>
        <w:tab/>
        <w:t xml:space="preserve">Nederlandse bedrijven </w:t>
      </w:r>
      <w:r w:rsidR="005A0FEE">
        <w:rPr>
          <w:lang w:val="nl-NL"/>
        </w:rPr>
        <w:t xml:space="preserve">zijn </w:t>
      </w:r>
      <w:r w:rsidRPr="008D43C0">
        <w:rPr>
          <w:lang w:val="nl-NL"/>
        </w:rPr>
        <w:t>actief betrokken bij de aanleg van de Corredor Norte, een infrastructuurcorridor voor de export van soja</w:t>
      </w:r>
      <w:r w:rsidR="00C74C90">
        <w:rPr>
          <w:lang w:val="nl-NL"/>
        </w:rPr>
        <w:t xml:space="preserve"> dat bijdraagt </w:t>
      </w:r>
      <w:r w:rsidRPr="008D43C0">
        <w:rPr>
          <w:lang w:val="nl-NL"/>
        </w:rPr>
        <w:t>aan grootschalige ontbossing en landconflicten</w:t>
      </w:r>
      <w:r w:rsidR="00B026D3">
        <w:rPr>
          <w:lang w:val="nl-NL"/>
        </w:rPr>
        <w:t>;</w:t>
      </w:r>
    </w:p>
    <w:p w:rsidRPr="008D43C0" w:rsidR="008D43C0" w:rsidP="008D43C0" w:rsidRDefault="008D43C0" w14:paraId="3B4C762C" w14:textId="3D97C605">
      <w:pPr>
        <w:pStyle w:val="NoSpacing"/>
        <w:rPr>
          <w:lang w:val="nl-NL"/>
        </w:rPr>
      </w:pPr>
      <w:r w:rsidRPr="008D43C0">
        <w:rPr>
          <w:lang w:val="nl-NL"/>
        </w:rPr>
        <w:lastRenderedPageBreak/>
        <w:t>•</w:t>
      </w:r>
      <w:r w:rsidRPr="008D43C0">
        <w:rPr>
          <w:lang w:val="nl-NL"/>
        </w:rPr>
        <w:tab/>
        <w:t xml:space="preserve">Een baggerbedrijf </w:t>
      </w:r>
      <w:r w:rsidR="002F567F">
        <w:rPr>
          <w:lang w:val="nl-NL"/>
        </w:rPr>
        <w:t>was</w:t>
      </w:r>
      <w:r w:rsidRPr="008D43C0">
        <w:rPr>
          <w:lang w:val="nl-NL"/>
        </w:rPr>
        <w:t xml:space="preserve"> herhaaldelijk betrokken bij corruptieschandalen en o.a. schending van arbeidsrechten en milieuvervuiling (ontmanteling van een gastanker met hoge kwik-waardes) </w:t>
      </w:r>
      <w:r w:rsidR="00950ABB">
        <w:rPr>
          <w:lang w:val="nl-NL"/>
        </w:rPr>
        <w:t xml:space="preserve">op een sloopstrand </w:t>
      </w:r>
      <w:r w:rsidRPr="008D43C0">
        <w:rPr>
          <w:lang w:val="nl-NL"/>
        </w:rPr>
        <w:t xml:space="preserve">in India; </w:t>
      </w:r>
    </w:p>
    <w:p w:rsidRPr="008D43C0" w:rsidR="008D43C0" w:rsidP="008D43C0" w:rsidRDefault="008D43C0" w14:paraId="7F5E385E" w14:textId="7A4B288D">
      <w:pPr>
        <w:pStyle w:val="NoSpacing"/>
        <w:rPr>
          <w:lang w:val="nl-NL"/>
        </w:rPr>
      </w:pPr>
      <w:r w:rsidRPr="008D43C0">
        <w:rPr>
          <w:lang w:val="nl-NL"/>
        </w:rPr>
        <w:t>•</w:t>
      </w:r>
      <w:r w:rsidRPr="008D43C0">
        <w:rPr>
          <w:lang w:val="nl-NL"/>
        </w:rPr>
        <w:tab/>
      </w:r>
      <w:r w:rsidR="00C74C90">
        <w:rPr>
          <w:lang w:val="nl-NL"/>
        </w:rPr>
        <w:t xml:space="preserve">Een bank </w:t>
      </w:r>
      <w:r w:rsidR="007605F3">
        <w:rPr>
          <w:lang w:val="nl-NL"/>
        </w:rPr>
        <w:t xml:space="preserve">kreeg een formele klacht van </w:t>
      </w:r>
      <w:r w:rsidRPr="008D43C0">
        <w:rPr>
          <w:lang w:val="nl-NL"/>
        </w:rPr>
        <w:t>13 Indonesische milieu- en mensenrechtenorganisaties omdat deze bank een (tweede) omstreden kolencentrale in hun land financiert</w:t>
      </w:r>
      <w:r w:rsidR="00C74C90">
        <w:rPr>
          <w:lang w:val="nl-NL"/>
        </w:rPr>
        <w:t xml:space="preserve"> met l</w:t>
      </w:r>
      <w:r w:rsidRPr="008D43C0">
        <w:rPr>
          <w:lang w:val="nl-NL"/>
        </w:rPr>
        <w:t xml:space="preserve">androof, corruptie, vervuiling en bedreiging van lokale bewoners </w:t>
      </w:r>
      <w:r w:rsidR="00C74C90">
        <w:rPr>
          <w:lang w:val="nl-NL"/>
        </w:rPr>
        <w:t>tot gevolg</w:t>
      </w:r>
      <w:r w:rsidR="000C0324">
        <w:rPr>
          <w:lang w:val="nl-NL"/>
        </w:rPr>
        <w:t>;</w:t>
      </w:r>
      <w:r w:rsidRPr="008D43C0">
        <w:rPr>
          <w:lang w:val="nl-NL"/>
        </w:rPr>
        <w:t xml:space="preserve"> </w:t>
      </w:r>
    </w:p>
    <w:p w:rsidRPr="00FB2CEA" w:rsidR="008D43C0" w:rsidRDefault="008D43C0" w14:paraId="529AE211" w14:textId="69A8203D">
      <w:pPr>
        <w:rPr>
          <w:lang w:val="nl-NL"/>
        </w:rPr>
      </w:pPr>
      <w:r w:rsidRPr="008D43C0">
        <w:rPr>
          <w:lang w:val="nl-NL"/>
        </w:rPr>
        <w:t>•</w:t>
      </w:r>
      <w:r w:rsidRPr="008D43C0">
        <w:rPr>
          <w:lang w:val="nl-NL"/>
        </w:rPr>
        <w:tab/>
      </w:r>
      <w:r w:rsidR="00C74C90">
        <w:rPr>
          <w:lang w:val="nl-NL"/>
        </w:rPr>
        <w:t xml:space="preserve">Nederlandse supermarkten </w:t>
      </w:r>
      <w:r w:rsidR="009B75FC">
        <w:rPr>
          <w:lang w:val="nl-NL"/>
        </w:rPr>
        <w:t xml:space="preserve">verkopen </w:t>
      </w:r>
      <w:r w:rsidR="00C74C90">
        <w:rPr>
          <w:lang w:val="nl-NL"/>
        </w:rPr>
        <w:t>producten als koffie uit Brazili</w:t>
      </w:r>
      <w:r w:rsidR="00A929A2">
        <w:rPr>
          <w:lang w:val="nl-NL"/>
        </w:rPr>
        <w:t>ë</w:t>
      </w:r>
      <w:r w:rsidR="00C74C90">
        <w:rPr>
          <w:lang w:val="nl-NL"/>
        </w:rPr>
        <w:t xml:space="preserve">, </w:t>
      </w:r>
      <w:r w:rsidRPr="008D43C0">
        <w:rPr>
          <w:lang w:val="nl-NL"/>
        </w:rPr>
        <w:t xml:space="preserve">basmatirijst </w:t>
      </w:r>
      <w:r w:rsidR="00C74C90">
        <w:rPr>
          <w:lang w:val="nl-NL"/>
        </w:rPr>
        <w:t>uit</w:t>
      </w:r>
      <w:r w:rsidRPr="008D43C0" w:rsidR="00C74C90">
        <w:rPr>
          <w:lang w:val="nl-NL"/>
        </w:rPr>
        <w:t xml:space="preserve"> </w:t>
      </w:r>
      <w:r w:rsidRPr="008D43C0">
        <w:rPr>
          <w:lang w:val="nl-NL"/>
        </w:rPr>
        <w:t>Pakistan</w:t>
      </w:r>
      <w:r w:rsidR="00C74C90">
        <w:rPr>
          <w:lang w:val="nl-NL"/>
        </w:rPr>
        <w:t xml:space="preserve">, </w:t>
      </w:r>
      <w:r w:rsidRPr="008D43C0">
        <w:rPr>
          <w:lang w:val="nl-NL"/>
        </w:rPr>
        <w:t xml:space="preserve">wijn </w:t>
      </w:r>
      <w:r w:rsidR="00C74C90">
        <w:rPr>
          <w:lang w:val="nl-NL"/>
        </w:rPr>
        <w:t>uit</w:t>
      </w:r>
      <w:r w:rsidRPr="008D43C0" w:rsidR="00C74C90">
        <w:rPr>
          <w:lang w:val="nl-NL"/>
        </w:rPr>
        <w:t xml:space="preserve"> </w:t>
      </w:r>
      <w:r w:rsidRPr="008D43C0">
        <w:rPr>
          <w:lang w:val="nl-NL"/>
        </w:rPr>
        <w:t xml:space="preserve">Zuid-Afrika, Assam-thee </w:t>
      </w:r>
      <w:r w:rsidR="00C74C90">
        <w:rPr>
          <w:lang w:val="nl-NL"/>
        </w:rPr>
        <w:t>uit</w:t>
      </w:r>
      <w:r w:rsidRPr="008D43C0" w:rsidR="00C74C90">
        <w:rPr>
          <w:lang w:val="nl-NL"/>
        </w:rPr>
        <w:t xml:space="preserve"> </w:t>
      </w:r>
      <w:r w:rsidRPr="008D43C0">
        <w:rPr>
          <w:lang w:val="nl-NL"/>
        </w:rPr>
        <w:t>India, en zeevruchten in Thailand</w:t>
      </w:r>
      <w:r w:rsidR="00C74C90">
        <w:rPr>
          <w:lang w:val="nl-NL"/>
        </w:rPr>
        <w:t xml:space="preserve"> die geproduceerd zijn onder slechte arbeidsomstandigheden terwijl de arbeid</w:t>
      </w:r>
      <w:r w:rsidR="00061CAC">
        <w:rPr>
          <w:lang w:val="nl-NL"/>
        </w:rPr>
        <w:t>er</w:t>
      </w:r>
      <w:r w:rsidR="00C74C90">
        <w:rPr>
          <w:lang w:val="nl-NL"/>
        </w:rPr>
        <w:t xml:space="preserve">s en boeren geen leefbaar </w:t>
      </w:r>
      <w:r w:rsidR="007674FE">
        <w:rPr>
          <w:lang w:val="nl-NL"/>
        </w:rPr>
        <w:t xml:space="preserve">loon of </w:t>
      </w:r>
      <w:r w:rsidR="00C74C90">
        <w:rPr>
          <w:lang w:val="nl-NL"/>
        </w:rPr>
        <w:t>inkomen ontvingen;</w:t>
      </w:r>
    </w:p>
    <w:p w:rsidR="0000064B" w:rsidRDefault="0000064B" w14:paraId="00D7A55A" w14:textId="77777777">
      <w:pPr>
        <w:rPr>
          <w:b/>
          <w:bCs/>
          <w:color w:val="70AD47" w:themeColor="accent6"/>
          <w:u w:val="single"/>
          <w:lang w:val="nl-NL"/>
        </w:rPr>
      </w:pPr>
    </w:p>
    <w:p w:rsidRPr="00044805" w:rsidR="00EC5C5E" w:rsidRDefault="00EC5C5E" w14:paraId="2FF273BB" w14:textId="3132B1B1">
      <w:pPr>
        <w:rPr>
          <w:b/>
          <w:bCs/>
          <w:color w:val="70AD47" w:themeColor="accent6"/>
          <w:u w:val="single"/>
          <w:lang w:val="nl-NL"/>
        </w:rPr>
      </w:pPr>
      <w:r w:rsidRPr="00044805">
        <w:rPr>
          <w:b/>
          <w:bCs/>
          <w:color w:val="70AD47" w:themeColor="accent6"/>
          <w:u w:val="single"/>
          <w:lang w:val="nl-NL"/>
        </w:rPr>
        <w:t>Diverse IMVO-evaluaties</w:t>
      </w:r>
      <w:r w:rsidR="00044805">
        <w:rPr>
          <w:b/>
          <w:bCs/>
          <w:color w:val="70AD47" w:themeColor="accent6"/>
          <w:u w:val="single"/>
          <w:lang w:val="nl-NL"/>
        </w:rPr>
        <w:t>:</w:t>
      </w:r>
      <w:r w:rsidRPr="00044805">
        <w:rPr>
          <w:b/>
          <w:bCs/>
          <w:color w:val="70AD47" w:themeColor="accent6"/>
          <w:u w:val="single"/>
          <w:lang w:val="nl-NL"/>
        </w:rPr>
        <w:t xml:space="preserve"> huidig IMVO-beleid onvoldoende resultaat</w:t>
      </w:r>
    </w:p>
    <w:p w:rsidR="00A022F8" w:rsidP="004256C9" w:rsidRDefault="00A022F8" w14:paraId="6A84D9FC" w14:textId="30C0116B">
      <w:pPr>
        <w:pStyle w:val="ListParagraph"/>
        <w:numPr>
          <w:ilvl w:val="0"/>
          <w:numId w:val="5"/>
        </w:numPr>
        <w:rPr>
          <w:rFonts w:cstheme="minorHAnsi"/>
          <w:lang w:val="nl-NL"/>
        </w:rPr>
      </w:pPr>
      <w:r>
        <w:rPr>
          <w:rFonts w:cstheme="minorHAnsi"/>
          <w:lang w:val="nl-NL"/>
        </w:rPr>
        <w:t xml:space="preserve">Het Nederlandse IMVO-beleid schiet substantieel tekort, zo blijkt </w:t>
      </w:r>
      <w:r w:rsidR="00DF5F07">
        <w:rPr>
          <w:rFonts w:cstheme="minorHAnsi"/>
          <w:lang w:val="nl-NL"/>
        </w:rPr>
        <w:t xml:space="preserve">uit onder meer de </w:t>
      </w:r>
      <w:hyperlink w:tgtFrame="_blank" w:history="1" r:id="rId9">
        <w:r w:rsidRPr="00A022F8" w:rsidR="00ED1D6A">
          <w:rPr>
            <w:rStyle w:val="Hyperlink"/>
            <w:rFonts w:cstheme="minorHAnsi"/>
            <w:color w:val="D8127D"/>
            <w:spacing w:val="3"/>
            <w:shd w:val="clear" w:color="auto" w:fill="F4F4F4"/>
            <w:lang w:val="nl-NL"/>
          </w:rPr>
          <w:t>IOB-evaluatie van het IMVO-beleid</w:t>
        </w:r>
      </w:hyperlink>
      <w:r w:rsidR="00ED1D6A">
        <w:rPr>
          <w:rStyle w:val="Hyperlink"/>
          <w:rFonts w:cstheme="minorHAnsi"/>
          <w:color w:val="D8127D"/>
          <w:spacing w:val="3"/>
          <w:shd w:val="clear" w:color="auto" w:fill="F4F4F4"/>
          <w:lang w:val="nl-NL"/>
        </w:rPr>
        <w:t xml:space="preserve">. </w:t>
      </w:r>
      <w:r w:rsidR="00DF5F07">
        <w:rPr>
          <w:rFonts w:cstheme="minorHAnsi"/>
          <w:lang w:val="nl-NL"/>
        </w:rPr>
        <w:t xml:space="preserve">Op enkele lichtpunten na is het onduidelijk in hoeverre het beleid heeft bijgedragen aan een verbeterde naleving van de OESO richtlijnen door bedrijven en het voorkomen en verminderen </w:t>
      </w:r>
      <w:r w:rsidR="00ED1D6A">
        <w:rPr>
          <w:rFonts w:cstheme="minorHAnsi"/>
          <w:lang w:val="nl-NL"/>
        </w:rPr>
        <w:t xml:space="preserve">van risico’s op schade aan mens en milieu in productieketens. </w:t>
      </w:r>
    </w:p>
    <w:p w:rsidRPr="004256C9" w:rsidR="00937FAA" w:rsidP="004256C9" w:rsidRDefault="001B22EB" w14:paraId="242139D7" w14:textId="0F031A80">
      <w:pPr>
        <w:pStyle w:val="ListParagraph"/>
        <w:numPr>
          <w:ilvl w:val="0"/>
          <w:numId w:val="5"/>
        </w:numPr>
        <w:rPr>
          <w:rFonts w:cstheme="minorHAnsi"/>
          <w:lang w:val="nl-NL"/>
        </w:rPr>
      </w:pPr>
      <w:r w:rsidRPr="004256C9">
        <w:rPr>
          <w:rFonts w:cstheme="minorHAnsi"/>
          <w:lang w:val="nl-NL"/>
        </w:rPr>
        <w:t xml:space="preserve">Evaluatie van IMVO-convenanten door het </w:t>
      </w:r>
      <w:hyperlink w:history="1" r:id="rId10">
        <w:r w:rsidRPr="00CF085E">
          <w:rPr>
            <w:rStyle w:val="Hyperlink"/>
            <w:rFonts w:cstheme="minorHAnsi"/>
            <w:lang w:val="nl-NL"/>
          </w:rPr>
          <w:t>KIT</w:t>
        </w:r>
      </w:hyperlink>
      <w:r w:rsidRPr="004256C9">
        <w:rPr>
          <w:rFonts w:cstheme="minorHAnsi"/>
          <w:lang w:val="nl-NL"/>
        </w:rPr>
        <w:t xml:space="preserve"> in 2020: 1,6% van de bijna 500 bedrijven in de risicosectoren neemt nu deel aan de convenanten.</w:t>
      </w:r>
      <w:r w:rsidRPr="004256C9" w:rsidR="008C2283">
        <w:rPr>
          <w:rFonts w:cstheme="minorHAnsi"/>
          <w:lang w:val="nl-NL"/>
        </w:rPr>
        <w:t xml:space="preserve"> Convenanten zorgen voor meer kennis en begrip bij bedrijven voor mensenrechten en milieu, maar leveren nog nauwelijks of niets op voor de slachtoffers van mensenrechtenschendingen en milieuschade. </w:t>
      </w:r>
    </w:p>
    <w:p w:rsidRPr="004256C9" w:rsidR="001B22EB" w:rsidP="004256C9" w:rsidRDefault="00937FAA" w14:paraId="453702FE" w14:textId="400C5D67">
      <w:pPr>
        <w:pStyle w:val="ListParagraph"/>
        <w:numPr>
          <w:ilvl w:val="0"/>
          <w:numId w:val="5"/>
        </w:numPr>
        <w:rPr>
          <w:rFonts w:cstheme="minorHAnsi"/>
          <w:lang w:val="nl-NL"/>
        </w:rPr>
      </w:pPr>
      <w:r w:rsidRPr="004256C9">
        <w:rPr>
          <w:rFonts w:cstheme="minorHAnsi"/>
          <w:lang w:val="nl-NL"/>
        </w:rPr>
        <w:t>De o</w:t>
      </w:r>
      <w:r w:rsidRPr="004256C9" w:rsidR="00F048BB">
        <w:rPr>
          <w:rFonts w:cstheme="minorHAnsi"/>
          <w:lang w:val="nl-NL"/>
        </w:rPr>
        <w:t xml:space="preserve">lie- en gassector weigert mee te werken aan </w:t>
      </w:r>
      <w:r w:rsidRPr="004256C9">
        <w:rPr>
          <w:rFonts w:cstheme="minorHAnsi"/>
          <w:lang w:val="nl-NL"/>
        </w:rPr>
        <w:t xml:space="preserve">convenanten-beleid. </w:t>
      </w:r>
      <w:r w:rsidR="003D7BAF">
        <w:rPr>
          <w:rFonts w:cstheme="minorHAnsi"/>
          <w:lang w:val="nl-NL"/>
        </w:rPr>
        <w:t xml:space="preserve">Deze sector houdt zich ook </w:t>
      </w:r>
      <w:hyperlink w:history="1" r:id="rId11">
        <w:r w:rsidRPr="003D7BAF" w:rsidR="003D7BAF">
          <w:rPr>
            <w:rStyle w:val="Hyperlink"/>
            <w:rFonts w:cstheme="minorHAnsi"/>
            <w:lang w:val="nl-NL"/>
          </w:rPr>
          <w:t>niet</w:t>
        </w:r>
      </w:hyperlink>
      <w:r w:rsidR="003D7BAF">
        <w:rPr>
          <w:rFonts w:cstheme="minorHAnsi"/>
          <w:lang w:val="nl-NL"/>
        </w:rPr>
        <w:t xml:space="preserve"> volgens het NCP aan de OESO </w:t>
      </w:r>
      <w:r w:rsidR="00D76DBA">
        <w:rPr>
          <w:rFonts w:cstheme="minorHAnsi"/>
          <w:lang w:val="nl-NL"/>
        </w:rPr>
        <w:t>r</w:t>
      </w:r>
      <w:r w:rsidR="003D7BAF">
        <w:rPr>
          <w:rFonts w:cstheme="minorHAnsi"/>
          <w:lang w:val="nl-NL"/>
        </w:rPr>
        <w:t xml:space="preserve">ichtlijnen. </w:t>
      </w:r>
      <w:r w:rsidR="00124AFA">
        <w:rPr>
          <w:rFonts w:cstheme="minorHAnsi"/>
          <w:lang w:val="nl-NL"/>
        </w:rPr>
        <w:t xml:space="preserve">Zie ook </w:t>
      </w:r>
      <w:hyperlink w:history="1" r:id="rId12">
        <w:r w:rsidRPr="00124AFA" w:rsidR="00124AFA">
          <w:rPr>
            <w:rStyle w:val="Hyperlink"/>
            <w:rFonts w:cstheme="minorHAnsi"/>
            <w:lang w:val="nl-NL"/>
          </w:rPr>
          <w:t>hier</w:t>
        </w:r>
      </w:hyperlink>
      <w:r w:rsidR="00B11A38">
        <w:rPr>
          <w:rFonts w:cstheme="minorHAnsi"/>
          <w:lang w:val="nl-NL"/>
        </w:rPr>
        <w:t xml:space="preserve"> en </w:t>
      </w:r>
      <w:hyperlink w:history="1" r:id="rId13">
        <w:r w:rsidRPr="00B11A38" w:rsidR="00B11A38">
          <w:rPr>
            <w:rStyle w:val="Hyperlink"/>
            <w:rFonts w:cstheme="minorHAnsi"/>
            <w:lang w:val="nl-NL"/>
          </w:rPr>
          <w:t>hier</w:t>
        </w:r>
      </w:hyperlink>
      <w:r w:rsidR="00124AFA">
        <w:rPr>
          <w:rFonts w:cstheme="minorHAnsi"/>
          <w:lang w:val="nl-NL"/>
        </w:rPr>
        <w:t xml:space="preserve">. </w:t>
      </w:r>
    </w:p>
    <w:p w:rsidRPr="008E3214" w:rsidR="008D43C0" w:rsidP="008E3214" w:rsidRDefault="009C32E4" w14:paraId="0E96A590" w14:textId="7E9A0467">
      <w:pPr>
        <w:pStyle w:val="ListParagraph"/>
        <w:numPr>
          <w:ilvl w:val="0"/>
          <w:numId w:val="5"/>
        </w:numPr>
        <w:rPr>
          <w:rFonts w:cstheme="minorHAnsi"/>
          <w:lang w:val="nl-NL"/>
        </w:rPr>
      </w:pPr>
      <w:r>
        <w:rPr>
          <w:rFonts w:cstheme="minorHAnsi"/>
          <w:lang w:val="nl-NL"/>
        </w:rPr>
        <w:t xml:space="preserve">Uit </w:t>
      </w:r>
      <w:r w:rsidR="0094271B">
        <w:rPr>
          <w:rFonts w:cstheme="minorHAnsi"/>
          <w:lang w:val="nl-NL"/>
        </w:rPr>
        <w:t xml:space="preserve">de monitoring </w:t>
      </w:r>
      <w:r w:rsidRPr="004256C9" w:rsidR="0050475D">
        <w:rPr>
          <w:rFonts w:cstheme="minorHAnsi"/>
          <w:lang w:val="nl-NL"/>
        </w:rPr>
        <w:t xml:space="preserve">in opdracht van de regering </w:t>
      </w:r>
      <w:r w:rsidR="00AB6AC9">
        <w:rPr>
          <w:rFonts w:cstheme="minorHAnsi"/>
          <w:lang w:val="nl-NL"/>
        </w:rPr>
        <w:t>over</w:t>
      </w:r>
      <w:r w:rsidRPr="004256C9" w:rsidR="00B10474">
        <w:rPr>
          <w:rFonts w:cstheme="minorHAnsi"/>
          <w:lang w:val="nl-NL"/>
        </w:rPr>
        <w:t xml:space="preserve"> het percentage grote bedrijven dat de OESO</w:t>
      </w:r>
      <w:r>
        <w:rPr>
          <w:rFonts w:cstheme="minorHAnsi"/>
          <w:lang w:val="nl-NL"/>
        </w:rPr>
        <w:t xml:space="preserve"> </w:t>
      </w:r>
      <w:r w:rsidRPr="004256C9" w:rsidR="00B10474">
        <w:rPr>
          <w:rFonts w:cstheme="minorHAnsi"/>
          <w:lang w:val="nl-NL"/>
        </w:rPr>
        <w:t>richtlijnen onderschrijft</w:t>
      </w:r>
      <w:r w:rsidR="0094271B">
        <w:rPr>
          <w:rFonts w:cstheme="minorHAnsi"/>
          <w:lang w:val="nl-NL"/>
        </w:rPr>
        <w:t>, bleek dat d</w:t>
      </w:r>
      <w:r w:rsidRPr="004256C9" w:rsidR="00B10474">
        <w:rPr>
          <w:rFonts w:cstheme="minorHAnsi"/>
          <w:lang w:val="nl-NL"/>
        </w:rPr>
        <w:t xml:space="preserve">it percentage is gestegen naar een teleurstellende 35% in 2019. </w:t>
      </w:r>
      <w:r w:rsidR="008A531B">
        <w:rPr>
          <w:rFonts w:cstheme="minorHAnsi"/>
          <w:lang w:val="nl-NL"/>
        </w:rPr>
        <w:t>Dit staat nog ver af van d</w:t>
      </w:r>
      <w:r w:rsidRPr="004256C9" w:rsidR="00B10474">
        <w:rPr>
          <w:rFonts w:cstheme="minorHAnsi"/>
          <w:lang w:val="nl-NL"/>
        </w:rPr>
        <w:t xml:space="preserve">e </w:t>
      </w:r>
      <w:r w:rsidR="008A531B">
        <w:rPr>
          <w:rFonts w:cstheme="minorHAnsi"/>
          <w:lang w:val="nl-NL"/>
        </w:rPr>
        <w:t>overheids</w:t>
      </w:r>
      <w:r w:rsidRPr="004256C9" w:rsidR="00B10474">
        <w:rPr>
          <w:rFonts w:cstheme="minorHAnsi"/>
          <w:lang w:val="nl-NL"/>
        </w:rPr>
        <w:t xml:space="preserve">doelstelling </w:t>
      </w:r>
      <w:r w:rsidR="008A531B">
        <w:rPr>
          <w:rFonts w:cstheme="minorHAnsi"/>
          <w:lang w:val="nl-NL"/>
        </w:rPr>
        <w:t>van</w:t>
      </w:r>
      <w:r w:rsidRPr="004256C9" w:rsidR="00B10474">
        <w:rPr>
          <w:rFonts w:cstheme="minorHAnsi"/>
          <w:lang w:val="nl-NL"/>
        </w:rPr>
        <w:t xml:space="preserve"> 90% in 2023.</w:t>
      </w:r>
    </w:p>
    <w:p w:rsidR="0000064B" w:rsidRDefault="0000064B" w14:paraId="4F400D83" w14:textId="77777777">
      <w:pPr>
        <w:rPr>
          <w:b/>
          <w:bCs/>
          <w:color w:val="70AD47" w:themeColor="accent6"/>
          <w:u w:val="single"/>
          <w:lang w:val="nl-NL"/>
        </w:rPr>
      </w:pPr>
    </w:p>
    <w:p w:rsidRPr="00044805" w:rsidR="00E6119F" w:rsidRDefault="00E6119F" w14:paraId="3ECE6534" w14:textId="6BEF1D33">
      <w:pPr>
        <w:rPr>
          <w:b/>
          <w:bCs/>
          <w:color w:val="70AD47" w:themeColor="accent6"/>
          <w:u w:val="single"/>
          <w:lang w:val="nl-NL"/>
        </w:rPr>
      </w:pPr>
      <w:r w:rsidRPr="00044805">
        <w:rPr>
          <w:b/>
          <w:bCs/>
          <w:color w:val="70AD47" w:themeColor="accent6"/>
          <w:u w:val="single"/>
          <w:lang w:val="nl-NL"/>
        </w:rPr>
        <w:t>Momentum</w:t>
      </w:r>
    </w:p>
    <w:p w:rsidRPr="008B1D5E" w:rsidR="00E6119F" w:rsidP="005C3171" w:rsidRDefault="009651D1" w14:paraId="318B7C54" w14:textId="1D24BD3C">
      <w:pPr>
        <w:pStyle w:val="ListParagraph"/>
        <w:numPr>
          <w:ilvl w:val="0"/>
          <w:numId w:val="2"/>
        </w:numPr>
        <w:rPr>
          <w:lang w:val="nl-NL"/>
        </w:rPr>
      </w:pPr>
      <w:r w:rsidRPr="008B1D5E">
        <w:rPr>
          <w:lang w:val="nl-NL"/>
        </w:rPr>
        <w:t xml:space="preserve">Diverse andere Europese landen hebben wetgeving op IMVO/due diligence voor bedrijven ingevoerd, waaronder </w:t>
      </w:r>
      <w:hyperlink w:history="1" w:anchor="page=80" r:id="rId14">
        <w:r w:rsidRPr="008B1D5E" w:rsidR="00B3669D">
          <w:rPr>
            <w:rStyle w:val="Hyperlink"/>
            <w:rFonts w:cstheme="minorHAnsi"/>
            <w:lang w:val="nl-NL"/>
          </w:rPr>
          <w:t>Frankrijk</w:t>
        </w:r>
      </w:hyperlink>
      <w:r w:rsidRPr="008B1D5E" w:rsidR="00B3669D">
        <w:rPr>
          <w:lang w:val="nl-NL"/>
        </w:rPr>
        <w:t>, Duitsland</w:t>
      </w:r>
      <w:r w:rsidRPr="008B1D5E" w:rsidR="00C74C90">
        <w:rPr>
          <w:lang w:val="nl-NL"/>
        </w:rPr>
        <w:t xml:space="preserve"> en Noorwegen. In </w:t>
      </w:r>
      <w:r w:rsidR="005104BF">
        <w:rPr>
          <w:lang w:val="nl-NL"/>
        </w:rPr>
        <w:t>meer</w:t>
      </w:r>
      <w:r w:rsidRPr="008B1D5E" w:rsidR="00C74C90">
        <w:rPr>
          <w:lang w:val="nl-NL"/>
        </w:rPr>
        <w:t xml:space="preserve"> landen, zoals </w:t>
      </w:r>
      <w:hyperlink w:history="1" r:id="rId15">
        <w:r w:rsidRPr="008B1D5E" w:rsidR="009844BD">
          <w:rPr>
            <w:rStyle w:val="Hyperlink"/>
            <w:rFonts w:cstheme="minorHAnsi"/>
            <w:color w:val="0078D4"/>
            <w:lang w:val="nl-NL"/>
          </w:rPr>
          <w:t>Oostenrijk</w:t>
        </w:r>
      </w:hyperlink>
      <w:r w:rsidRPr="008B1D5E" w:rsidR="009844BD">
        <w:rPr>
          <w:rFonts w:cstheme="minorHAnsi"/>
          <w:color w:val="000000"/>
          <w:lang w:val="nl-NL"/>
        </w:rPr>
        <w:t> en </w:t>
      </w:r>
      <w:hyperlink w:history="1" r:id="rId16">
        <w:r w:rsidRPr="008B1D5E" w:rsidR="009844BD">
          <w:rPr>
            <w:rStyle w:val="Hyperlink"/>
            <w:rFonts w:cstheme="minorHAnsi"/>
            <w:color w:val="0078D4"/>
            <w:lang w:val="nl-NL"/>
          </w:rPr>
          <w:t>België</w:t>
        </w:r>
      </w:hyperlink>
      <w:r w:rsidRPr="008B1D5E" w:rsidR="00C74C90">
        <w:rPr>
          <w:lang w:val="nl-NL"/>
        </w:rPr>
        <w:t xml:space="preserve"> is wetgeving in voorbereiding</w:t>
      </w:r>
      <w:r w:rsidR="007B492B">
        <w:rPr>
          <w:lang w:val="nl-NL"/>
        </w:rPr>
        <w:t>;</w:t>
      </w:r>
      <w:r w:rsidRPr="008B1D5E" w:rsidR="009844BD">
        <w:rPr>
          <w:lang w:val="nl-NL"/>
        </w:rPr>
        <w:t xml:space="preserve"> al deze wetten zijn gebaseerd op de OESO richtlijnen</w:t>
      </w:r>
      <w:r w:rsidR="007B492B">
        <w:rPr>
          <w:lang w:val="nl-NL"/>
        </w:rPr>
        <w:t>.</w:t>
      </w:r>
      <w:r w:rsidRPr="008B1D5E" w:rsidR="006173A2">
        <w:rPr>
          <w:rFonts w:cstheme="minorHAnsi"/>
          <w:color w:val="000000"/>
          <w:lang w:val="nl-NL"/>
        </w:rPr>
        <w:t xml:space="preserve"> </w:t>
      </w:r>
    </w:p>
    <w:p w:rsidRPr="005C3171" w:rsidR="00A60444" w:rsidP="005C3171" w:rsidRDefault="00A60444" w14:paraId="231A00EB" w14:textId="26F2FDDD">
      <w:pPr>
        <w:pStyle w:val="ListParagraph"/>
        <w:numPr>
          <w:ilvl w:val="0"/>
          <w:numId w:val="2"/>
        </w:numPr>
        <w:rPr>
          <w:lang w:val="nl-NL"/>
        </w:rPr>
      </w:pPr>
      <w:r w:rsidRPr="005C3171">
        <w:rPr>
          <w:lang w:val="nl-NL"/>
        </w:rPr>
        <w:t xml:space="preserve">In maart 2021 is een </w:t>
      </w:r>
      <w:hyperlink w:history="1" r:id="rId17">
        <w:r w:rsidRPr="005C3171">
          <w:rPr>
            <w:rStyle w:val="Hyperlink"/>
            <w:lang w:val="nl-NL"/>
          </w:rPr>
          <w:t>wetsvoorstel</w:t>
        </w:r>
      </w:hyperlink>
      <w:r w:rsidRPr="005C3171">
        <w:rPr>
          <w:lang w:val="nl-NL"/>
        </w:rPr>
        <w:t xml:space="preserve"> </w:t>
      </w:r>
      <w:r w:rsidRPr="005C3171" w:rsidR="00666E15">
        <w:rPr>
          <w:lang w:val="nl-NL"/>
        </w:rPr>
        <w:t xml:space="preserve">verantwoord en duurzaam ondernemen in de Tweede Kamer </w:t>
      </w:r>
      <w:r w:rsidRPr="005C3171" w:rsidR="00411757">
        <w:rPr>
          <w:lang w:val="nl-NL"/>
        </w:rPr>
        <w:t xml:space="preserve">ingediend. </w:t>
      </w:r>
    </w:p>
    <w:p w:rsidR="009651D1" w:rsidP="005C3171" w:rsidRDefault="004001E4" w14:paraId="140722DA" w14:textId="4FE66C55">
      <w:pPr>
        <w:pStyle w:val="ListParagraph"/>
        <w:numPr>
          <w:ilvl w:val="0"/>
          <w:numId w:val="2"/>
        </w:numPr>
        <w:rPr>
          <w:lang w:val="nl-NL"/>
        </w:rPr>
      </w:pPr>
      <w:r w:rsidRPr="005C3171">
        <w:rPr>
          <w:lang w:val="nl-NL"/>
        </w:rPr>
        <w:t xml:space="preserve">Invoering van wetgeving op due diligence in Nederland kan bijdragen aan </w:t>
      </w:r>
      <w:r w:rsidRPr="005C3171" w:rsidR="00EC18CF">
        <w:rPr>
          <w:lang w:val="nl-NL"/>
        </w:rPr>
        <w:t xml:space="preserve">snellere realisatie van een Europees wetgevingsinitiatief, </w:t>
      </w:r>
      <w:r w:rsidRPr="005C3171" w:rsidR="00FF60DE">
        <w:rPr>
          <w:lang w:val="nl-NL"/>
        </w:rPr>
        <w:t xml:space="preserve">van voldoende niveau, binnen een redelijke termijn, en met meer kennis en inzicht van de positie van bedrijven als gevolg </w:t>
      </w:r>
      <w:r w:rsidRPr="005C3171" w:rsidR="004D7E25">
        <w:rPr>
          <w:lang w:val="nl-NL"/>
        </w:rPr>
        <w:t xml:space="preserve">van o.m. ervaringen uit het </w:t>
      </w:r>
      <w:r w:rsidR="00681631">
        <w:rPr>
          <w:lang w:val="nl-NL"/>
        </w:rPr>
        <w:t xml:space="preserve">unieke Nederlandse </w:t>
      </w:r>
      <w:r w:rsidRPr="005C3171" w:rsidR="004D7E25">
        <w:rPr>
          <w:lang w:val="nl-NL"/>
        </w:rPr>
        <w:t xml:space="preserve">convenanten-proces. </w:t>
      </w:r>
      <w:r w:rsidRPr="00563686" w:rsidR="00E3443A">
        <w:rPr>
          <w:lang w:val="nl-NL"/>
        </w:rPr>
        <w:t xml:space="preserve">Door invoering van nationale wetgeving kan Nederland het Europese traject </w:t>
      </w:r>
      <w:r w:rsidRPr="00CD3A73" w:rsidR="00E3443A">
        <w:rPr>
          <w:lang w:val="nl-NL"/>
        </w:rPr>
        <w:t>daarmee aan de voorkant beïnvloeden, in plaats van afhankelijk te zijn van andere lidstaten</w:t>
      </w:r>
      <w:r w:rsidR="00E3443A">
        <w:rPr>
          <w:lang w:val="nl-NL"/>
        </w:rPr>
        <w:t>.</w:t>
      </w:r>
    </w:p>
    <w:p w:rsidRPr="0000064B" w:rsidR="003A4EF9" w:rsidP="0000064B" w:rsidRDefault="006D7E55" w14:paraId="481BE218" w14:textId="551719D8">
      <w:pPr>
        <w:pStyle w:val="ListParagraph"/>
        <w:numPr>
          <w:ilvl w:val="0"/>
          <w:numId w:val="2"/>
        </w:numPr>
        <w:rPr>
          <w:lang w:val="nl-NL"/>
        </w:rPr>
      </w:pPr>
      <w:r>
        <w:rPr>
          <w:lang w:val="nl-NL"/>
        </w:rPr>
        <w:t xml:space="preserve">Ook </w:t>
      </w:r>
      <w:r w:rsidR="007B4A28">
        <w:rPr>
          <w:lang w:val="nl-NL"/>
        </w:rPr>
        <w:t xml:space="preserve">een aantal bedrijven steunen invoering van IMVO wetgeving in Nederland, zie o.a. </w:t>
      </w:r>
      <w:r w:rsidRPr="00F75283" w:rsidR="00F75283">
        <w:rPr>
          <w:lang w:val="nl-NL"/>
        </w:rPr>
        <w:t xml:space="preserve">zoals Zeeman, </w:t>
      </w:r>
      <w:r w:rsidR="002C66EE">
        <w:rPr>
          <w:lang w:val="nl-NL"/>
        </w:rPr>
        <w:t>Dopper, Tony’s</w:t>
      </w:r>
      <w:r w:rsidR="00367142">
        <w:rPr>
          <w:lang w:val="nl-NL"/>
        </w:rPr>
        <w:t xml:space="preserve"> </w:t>
      </w:r>
      <w:r w:rsidRPr="00367142" w:rsidR="00367142">
        <w:rPr>
          <w:lang w:val="nl-NL"/>
        </w:rPr>
        <w:t>Chocolonely</w:t>
      </w:r>
      <w:r w:rsidRPr="00F75283" w:rsidR="00F75283">
        <w:rPr>
          <w:lang w:val="nl-NL"/>
        </w:rPr>
        <w:t xml:space="preserve">, IKEA, </w:t>
      </w:r>
      <w:r w:rsidR="005B4482">
        <w:rPr>
          <w:lang w:val="nl-NL"/>
        </w:rPr>
        <w:t>ASN Bank en Greenchoice</w:t>
      </w:r>
      <w:r w:rsidR="00F75283">
        <w:rPr>
          <w:lang w:val="nl-NL"/>
        </w:rPr>
        <w:t xml:space="preserve">, zie ook </w:t>
      </w:r>
      <w:hyperlink w:history="1" r:id="rId18">
        <w:r w:rsidRPr="00147DCD" w:rsidR="007B4A28">
          <w:rPr>
            <w:rStyle w:val="Hyperlink"/>
            <w:lang w:val="nl-NL"/>
          </w:rPr>
          <w:t>hier</w:t>
        </w:r>
      </w:hyperlink>
      <w:r w:rsidR="007B4A28">
        <w:rPr>
          <w:lang w:val="nl-NL"/>
        </w:rPr>
        <w:t xml:space="preserve"> en </w:t>
      </w:r>
      <w:hyperlink w:history="1" r:id="rId19">
        <w:r w:rsidRPr="007B6697" w:rsidR="007B4A28">
          <w:rPr>
            <w:rStyle w:val="Hyperlink"/>
            <w:lang w:val="nl-NL"/>
          </w:rPr>
          <w:t>hier</w:t>
        </w:r>
      </w:hyperlink>
      <w:r w:rsidR="007B4A28">
        <w:rPr>
          <w:lang w:val="nl-NL"/>
        </w:rPr>
        <w:t xml:space="preserve">. </w:t>
      </w:r>
      <w:r w:rsidR="00341250">
        <w:rPr>
          <w:lang w:val="nl-NL"/>
        </w:rPr>
        <w:t>Een deel van het bedrijfsleven voldoet vermoedelijk al aan in te voeren wetgeving</w:t>
      </w:r>
      <w:r w:rsidR="00684250">
        <w:rPr>
          <w:lang w:val="nl-NL"/>
        </w:rPr>
        <w:t xml:space="preserve"> – anderen (</w:t>
      </w:r>
      <w:r w:rsidR="005B4482">
        <w:rPr>
          <w:lang w:val="nl-NL"/>
        </w:rPr>
        <w:t xml:space="preserve">met name </w:t>
      </w:r>
      <w:r w:rsidR="00684250">
        <w:rPr>
          <w:lang w:val="nl-NL"/>
        </w:rPr>
        <w:t xml:space="preserve">achterblijvers) zullen </w:t>
      </w:r>
      <w:r w:rsidR="005B4482">
        <w:rPr>
          <w:lang w:val="nl-NL"/>
        </w:rPr>
        <w:t xml:space="preserve">hierdoor </w:t>
      </w:r>
      <w:r w:rsidR="00684250">
        <w:rPr>
          <w:lang w:val="nl-NL"/>
        </w:rPr>
        <w:t xml:space="preserve">gestimuleerd worden tot aanvullende maatregelen om risico’s voor mens en milieu te mitigeren. </w:t>
      </w:r>
    </w:p>
    <w:p w:rsidRPr="00BC5B8A" w:rsidR="00E6119F" w:rsidRDefault="003C0B36" w14:paraId="1FE8B6A5" w14:textId="096CE6D7">
      <w:pPr>
        <w:rPr>
          <w:b/>
          <w:bCs/>
          <w:color w:val="70AD47" w:themeColor="accent6"/>
          <w:u w:val="single"/>
          <w:lang w:val="nl-NL"/>
        </w:rPr>
      </w:pPr>
      <w:r w:rsidRPr="00BC5B8A">
        <w:rPr>
          <w:b/>
          <w:bCs/>
          <w:color w:val="70AD47" w:themeColor="accent6"/>
          <w:u w:val="single"/>
          <w:lang w:val="nl-NL"/>
        </w:rPr>
        <w:lastRenderedPageBreak/>
        <w:t>Europees traject welkom, maar onzeker</w:t>
      </w:r>
      <w:r w:rsidRPr="00BC5B8A" w:rsidR="003A4EF9">
        <w:rPr>
          <w:b/>
          <w:bCs/>
          <w:color w:val="70AD47" w:themeColor="accent6"/>
          <w:u w:val="single"/>
          <w:lang w:val="nl-NL"/>
        </w:rPr>
        <w:t xml:space="preserve"> </w:t>
      </w:r>
    </w:p>
    <w:p w:rsidRPr="005C3171" w:rsidR="00CC2564" w:rsidP="005C3171" w:rsidRDefault="00CC2564" w14:paraId="6ED7B90E" w14:textId="1ADC6735">
      <w:pPr>
        <w:pStyle w:val="ListParagraph"/>
        <w:numPr>
          <w:ilvl w:val="0"/>
          <w:numId w:val="3"/>
        </w:numPr>
        <w:rPr>
          <w:lang w:val="nl-NL"/>
        </w:rPr>
      </w:pPr>
      <w:r w:rsidRPr="005C3171">
        <w:rPr>
          <w:lang w:val="nl-NL"/>
        </w:rPr>
        <w:t xml:space="preserve">De huidige versie van de OESO </w:t>
      </w:r>
      <w:r w:rsidR="003A4EF9">
        <w:rPr>
          <w:lang w:val="nl-NL"/>
        </w:rPr>
        <w:t>r</w:t>
      </w:r>
      <w:r w:rsidRPr="005C3171">
        <w:rPr>
          <w:lang w:val="nl-NL"/>
        </w:rPr>
        <w:t>ichtlijnen en de UN Guiding Principles for Business and Human Rights (UNGPs) bestaan dit jaar</w:t>
      </w:r>
      <w:r w:rsidR="001A33AA">
        <w:rPr>
          <w:lang w:val="nl-NL"/>
        </w:rPr>
        <w:t xml:space="preserve"> inmiddels</w:t>
      </w:r>
      <w:r w:rsidRPr="005C3171">
        <w:rPr>
          <w:lang w:val="nl-NL"/>
        </w:rPr>
        <w:t xml:space="preserve"> </w:t>
      </w:r>
      <w:hyperlink w:history="1" r:id="rId20">
        <w:r w:rsidRPr="005C3171">
          <w:rPr>
            <w:rStyle w:val="Hyperlink"/>
            <w:lang w:val="nl-NL"/>
          </w:rPr>
          <w:t>10 jaar</w:t>
        </w:r>
      </w:hyperlink>
      <w:r w:rsidRPr="005C3171">
        <w:rPr>
          <w:lang w:val="nl-NL"/>
        </w:rPr>
        <w:t xml:space="preserve">. </w:t>
      </w:r>
    </w:p>
    <w:p w:rsidRPr="005C3171" w:rsidR="006A69C0" w:rsidP="005C3171" w:rsidRDefault="00206C33" w14:paraId="32A0547B" w14:textId="427CC428">
      <w:pPr>
        <w:pStyle w:val="ListParagraph"/>
        <w:numPr>
          <w:ilvl w:val="0"/>
          <w:numId w:val="3"/>
        </w:numPr>
        <w:rPr>
          <w:lang w:val="nl-NL"/>
        </w:rPr>
      </w:pPr>
      <w:r w:rsidRPr="005C3171">
        <w:rPr>
          <w:lang w:val="nl-NL"/>
        </w:rPr>
        <w:t xml:space="preserve">In april 2020 </w:t>
      </w:r>
      <w:r w:rsidRPr="005C3171" w:rsidR="0041192C">
        <w:rPr>
          <w:lang w:val="nl-NL"/>
        </w:rPr>
        <w:t xml:space="preserve">beloofde Europese Commissaris voor Justitie Didier Reynders </w:t>
      </w:r>
      <w:r w:rsidRPr="005C3171" w:rsidR="0075324D">
        <w:rPr>
          <w:lang w:val="nl-NL"/>
        </w:rPr>
        <w:t xml:space="preserve">voor ‘volgend jaar’ </w:t>
      </w:r>
      <w:r w:rsidRPr="005C3171" w:rsidR="002B6960">
        <w:rPr>
          <w:lang w:val="nl-NL"/>
        </w:rPr>
        <w:t xml:space="preserve">een </w:t>
      </w:r>
      <w:hyperlink w:history="1" r:id="rId21">
        <w:r w:rsidRPr="005C3171" w:rsidR="001103D9">
          <w:rPr>
            <w:rStyle w:val="Hyperlink"/>
            <w:lang w:val="nl-NL"/>
          </w:rPr>
          <w:t xml:space="preserve">Europees </w:t>
        </w:r>
        <w:r w:rsidRPr="005C3171" w:rsidR="002B6960">
          <w:rPr>
            <w:rStyle w:val="Hyperlink"/>
            <w:lang w:val="nl-NL"/>
          </w:rPr>
          <w:t>wetgevingsinitiatief</w:t>
        </w:r>
      </w:hyperlink>
      <w:r w:rsidRPr="005C3171" w:rsidR="002B6960">
        <w:rPr>
          <w:lang w:val="nl-NL"/>
        </w:rPr>
        <w:t xml:space="preserve"> </w:t>
      </w:r>
      <w:r w:rsidRPr="005C3171" w:rsidR="0075324D">
        <w:rPr>
          <w:lang w:val="nl-NL"/>
        </w:rPr>
        <w:t xml:space="preserve">aan </w:t>
      </w:r>
      <w:r w:rsidRPr="005C3171" w:rsidR="002B6960">
        <w:rPr>
          <w:lang w:val="nl-NL"/>
        </w:rPr>
        <w:t>inzake verplichte zorgvuldigheidseisen voor bedrijven.</w:t>
      </w:r>
      <w:r w:rsidRPr="005C3171" w:rsidR="0075324D">
        <w:rPr>
          <w:lang w:val="nl-NL"/>
        </w:rPr>
        <w:t xml:space="preserve"> </w:t>
      </w:r>
      <w:r w:rsidR="004667F0">
        <w:rPr>
          <w:lang w:val="nl-NL"/>
        </w:rPr>
        <w:t xml:space="preserve">Sindsdien </w:t>
      </w:r>
      <w:r w:rsidRPr="005C3171" w:rsidR="00280376">
        <w:rPr>
          <w:lang w:val="nl-NL"/>
        </w:rPr>
        <w:t xml:space="preserve">is dit meerdere malen </w:t>
      </w:r>
      <w:hyperlink w:history="1" r:id="rId22">
        <w:r w:rsidRPr="005C3171" w:rsidR="00280376">
          <w:rPr>
            <w:rStyle w:val="Hyperlink"/>
            <w:lang w:val="nl-NL"/>
          </w:rPr>
          <w:t>uitgesteld</w:t>
        </w:r>
      </w:hyperlink>
      <w:r w:rsidRPr="005C3171" w:rsidR="00F353F8">
        <w:rPr>
          <w:lang w:val="nl-NL"/>
        </w:rPr>
        <w:t>,</w:t>
      </w:r>
      <w:r w:rsidRPr="005C3171" w:rsidR="006A69C0">
        <w:rPr>
          <w:lang w:val="nl-NL"/>
        </w:rPr>
        <w:t xml:space="preserve"> nog altijd niet gepubliceerd</w:t>
      </w:r>
      <w:r w:rsidRPr="005C3171" w:rsidR="00F353F8">
        <w:rPr>
          <w:lang w:val="nl-NL"/>
        </w:rPr>
        <w:t xml:space="preserve"> en </w:t>
      </w:r>
      <w:r w:rsidRPr="005C3171" w:rsidR="00D71B5F">
        <w:rPr>
          <w:lang w:val="nl-NL"/>
        </w:rPr>
        <w:t>zelfs verder uitstel dreigt</w:t>
      </w:r>
      <w:r w:rsidRPr="005C3171" w:rsidR="006A69C0">
        <w:rPr>
          <w:lang w:val="nl-NL"/>
        </w:rPr>
        <w:t xml:space="preserve">. Inmiddels is ook niet enkel Reynders meer verantwoordelijk voor dit proces maar ook </w:t>
      </w:r>
      <w:r w:rsidRPr="005C3171" w:rsidR="00C87026">
        <w:rPr>
          <w:lang w:val="nl-NL"/>
        </w:rPr>
        <w:t xml:space="preserve">de Commissaris voor de Interne Markt, </w:t>
      </w:r>
      <w:r w:rsidRPr="005C3171" w:rsidR="006A69C0">
        <w:rPr>
          <w:lang w:val="nl-NL"/>
        </w:rPr>
        <w:t>Thierry Breton.</w:t>
      </w:r>
    </w:p>
    <w:p w:rsidRPr="005C3171" w:rsidR="005847C6" w:rsidP="005C3171" w:rsidRDefault="008F0806" w14:paraId="64AC54B6" w14:textId="0171D22D">
      <w:pPr>
        <w:pStyle w:val="ListParagraph"/>
        <w:numPr>
          <w:ilvl w:val="0"/>
          <w:numId w:val="3"/>
        </w:numPr>
        <w:rPr>
          <w:lang w:val="nl-NL"/>
        </w:rPr>
      </w:pPr>
      <w:r w:rsidRPr="005C3171">
        <w:rPr>
          <w:lang w:val="nl-NL"/>
        </w:rPr>
        <w:t xml:space="preserve">Het </w:t>
      </w:r>
      <w:r w:rsidRPr="005C3171" w:rsidR="00901173">
        <w:rPr>
          <w:lang w:val="nl-NL"/>
        </w:rPr>
        <w:t xml:space="preserve">EP </w:t>
      </w:r>
      <w:r w:rsidRPr="005C3171" w:rsidR="00E74010">
        <w:rPr>
          <w:lang w:val="nl-NL"/>
        </w:rPr>
        <w:t>heeft in maart een belangrijk</w:t>
      </w:r>
      <w:r w:rsidRPr="005C3171" w:rsidR="00C003AC">
        <w:rPr>
          <w:lang w:val="nl-NL"/>
        </w:rPr>
        <w:t xml:space="preserve"> </w:t>
      </w:r>
      <w:hyperlink w:history="1" w:anchor="title1" r:id="rId23">
        <w:r w:rsidRPr="005C3171" w:rsidR="00C003AC">
          <w:rPr>
            <w:rStyle w:val="Hyperlink"/>
            <w:lang w:val="nl-NL"/>
          </w:rPr>
          <w:t>initiatiefrapport</w:t>
        </w:r>
      </w:hyperlink>
      <w:r w:rsidRPr="005C3171" w:rsidR="00C003AC">
        <w:rPr>
          <w:lang w:val="nl-NL"/>
        </w:rPr>
        <w:t xml:space="preserve"> goedgekeurd </w:t>
      </w:r>
      <w:r w:rsidRPr="005C3171" w:rsidR="00E74010">
        <w:rPr>
          <w:lang w:val="nl-NL"/>
        </w:rPr>
        <w:t>e</w:t>
      </w:r>
      <w:r w:rsidRPr="005C3171" w:rsidR="00B570EF">
        <w:rPr>
          <w:lang w:val="nl-NL"/>
        </w:rPr>
        <w:t>n</w:t>
      </w:r>
      <w:r w:rsidRPr="005C3171" w:rsidR="00E74010">
        <w:rPr>
          <w:lang w:val="nl-NL"/>
        </w:rPr>
        <w:t xml:space="preserve"> </w:t>
      </w:r>
      <w:r w:rsidRPr="005C3171" w:rsidR="005847C6">
        <w:rPr>
          <w:lang w:val="nl-NL"/>
        </w:rPr>
        <w:t xml:space="preserve">Eurocommissaris Reynders toont ambitie, maar </w:t>
      </w:r>
      <w:r w:rsidR="009B32B0">
        <w:rPr>
          <w:lang w:val="nl-NL"/>
        </w:rPr>
        <w:t xml:space="preserve">er zijn </w:t>
      </w:r>
      <w:r w:rsidRPr="005C3171" w:rsidR="00901173">
        <w:rPr>
          <w:lang w:val="nl-NL"/>
        </w:rPr>
        <w:t xml:space="preserve">blijvende verschillen van inzicht binnen </w:t>
      </w:r>
      <w:r w:rsidR="009B32B0">
        <w:rPr>
          <w:lang w:val="nl-NL"/>
        </w:rPr>
        <w:t xml:space="preserve">de </w:t>
      </w:r>
      <w:r w:rsidRPr="005C3171" w:rsidR="00901173">
        <w:rPr>
          <w:lang w:val="nl-NL"/>
        </w:rPr>
        <w:t>EC</w:t>
      </w:r>
      <w:r w:rsidR="00453F90">
        <w:rPr>
          <w:lang w:val="nl-NL"/>
        </w:rPr>
        <w:t xml:space="preserve"> en</w:t>
      </w:r>
      <w:r w:rsidRPr="005C3171" w:rsidR="00B570EF">
        <w:rPr>
          <w:lang w:val="nl-NL"/>
        </w:rPr>
        <w:t xml:space="preserve"> </w:t>
      </w:r>
      <w:r w:rsidR="009B32B0">
        <w:rPr>
          <w:lang w:val="nl-NL"/>
        </w:rPr>
        <w:t xml:space="preserve">er is sprake van </w:t>
      </w:r>
      <w:r w:rsidRPr="005C3171" w:rsidR="00B570EF">
        <w:rPr>
          <w:lang w:val="nl-NL"/>
        </w:rPr>
        <w:t>forse tegenlobbies (o</w:t>
      </w:r>
      <w:r w:rsidR="009B32B0">
        <w:rPr>
          <w:lang w:val="nl-NL"/>
        </w:rPr>
        <w:t>.</w:t>
      </w:r>
      <w:r w:rsidRPr="005C3171" w:rsidR="00B570EF">
        <w:rPr>
          <w:lang w:val="nl-NL"/>
        </w:rPr>
        <w:t>a</w:t>
      </w:r>
      <w:r w:rsidR="009B32B0">
        <w:rPr>
          <w:lang w:val="nl-NL"/>
        </w:rPr>
        <w:t>.</w:t>
      </w:r>
      <w:r w:rsidRPr="005C3171" w:rsidR="00B570EF">
        <w:rPr>
          <w:lang w:val="nl-NL"/>
        </w:rPr>
        <w:t xml:space="preserve"> vanuit </w:t>
      </w:r>
      <w:r w:rsidRPr="005C3171" w:rsidR="00577A93">
        <w:rPr>
          <w:lang w:val="nl-NL"/>
        </w:rPr>
        <w:t>Europese branche organisaties van bedrijven</w:t>
      </w:r>
      <w:r w:rsidRPr="005C3171" w:rsidR="00B61074">
        <w:rPr>
          <w:lang w:val="nl-NL"/>
        </w:rPr>
        <w:t xml:space="preserve">, </w:t>
      </w:r>
      <w:r w:rsidR="00B86403">
        <w:rPr>
          <w:lang w:val="nl-NL"/>
        </w:rPr>
        <w:t xml:space="preserve">de </w:t>
      </w:r>
      <w:r w:rsidRPr="005C3171" w:rsidR="00B61074">
        <w:rPr>
          <w:lang w:val="nl-NL"/>
        </w:rPr>
        <w:t>Duitse auto industrie</w:t>
      </w:r>
      <w:r w:rsidRPr="005C3171" w:rsidR="003A44B9">
        <w:rPr>
          <w:lang w:val="nl-NL"/>
        </w:rPr>
        <w:t>, en vanuit verschillende lidstaten</w:t>
      </w:r>
      <w:r w:rsidRPr="005C3171" w:rsidR="00B570EF">
        <w:rPr>
          <w:lang w:val="nl-NL"/>
        </w:rPr>
        <w:t>)</w:t>
      </w:r>
      <w:r w:rsidRPr="005C3171" w:rsidR="0042694A">
        <w:rPr>
          <w:lang w:val="nl-NL"/>
        </w:rPr>
        <w:t xml:space="preserve">. Kortom: </w:t>
      </w:r>
      <w:r w:rsidR="00B86403">
        <w:rPr>
          <w:lang w:val="nl-NL"/>
        </w:rPr>
        <w:t xml:space="preserve">het is </w:t>
      </w:r>
      <w:r w:rsidRPr="005C3171" w:rsidR="0042694A">
        <w:rPr>
          <w:lang w:val="nl-NL"/>
        </w:rPr>
        <w:t xml:space="preserve">erg onzeker </w:t>
      </w:r>
      <w:r w:rsidRPr="005C3171" w:rsidR="00B61074">
        <w:rPr>
          <w:lang w:val="nl-NL"/>
        </w:rPr>
        <w:t>of alle lidstaten in zullen stemmen met</w:t>
      </w:r>
      <w:r w:rsidRPr="005C3171" w:rsidR="00D7600C">
        <w:rPr>
          <w:lang w:val="nl-NL"/>
        </w:rPr>
        <w:t xml:space="preserve"> due diligence wetgeving binnen 1-3 jaar. </w:t>
      </w:r>
      <w:r w:rsidRPr="005C3171" w:rsidR="00667153">
        <w:rPr>
          <w:lang w:val="nl-NL"/>
        </w:rPr>
        <w:t xml:space="preserve">De inwerkingtreding van de EU-verordening conflictmineralen duurde </w:t>
      </w:r>
      <w:r w:rsidRPr="005C3171">
        <w:rPr>
          <w:lang w:val="nl-NL"/>
        </w:rPr>
        <w:t xml:space="preserve">bv. 7 jaar. </w:t>
      </w:r>
    </w:p>
    <w:p w:rsidRPr="0000064B" w:rsidR="0000064B" w:rsidP="008D43C0" w:rsidRDefault="00402D6C" w14:paraId="7DF832AA" w14:textId="0414DC6B">
      <w:pPr>
        <w:pStyle w:val="ListParagraph"/>
        <w:numPr>
          <w:ilvl w:val="0"/>
          <w:numId w:val="3"/>
        </w:numPr>
        <w:rPr>
          <w:lang w:val="nl-NL"/>
        </w:rPr>
      </w:pPr>
      <w:r w:rsidRPr="005C3171">
        <w:rPr>
          <w:lang w:val="nl-NL"/>
        </w:rPr>
        <w:t>Nederlandse s</w:t>
      </w:r>
      <w:r w:rsidRPr="005C3171" w:rsidR="000E034A">
        <w:rPr>
          <w:lang w:val="nl-NL"/>
        </w:rPr>
        <w:t xml:space="preserve">teun aan pogingen tot een </w:t>
      </w:r>
      <w:r w:rsidRPr="005C3171">
        <w:rPr>
          <w:lang w:val="nl-NL"/>
        </w:rPr>
        <w:t>kwalitatief goed</w:t>
      </w:r>
      <w:r w:rsidRPr="005C3171" w:rsidR="00FB6D96">
        <w:rPr>
          <w:lang w:val="nl-NL"/>
        </w:rPr>
        <w:t xml:space="preserve"> </w:t>
      </w:r>
      <w:r w:rsidRPr="005C3171" w:rsidR="000E034A">
        <w:rPr>
          <w:lang w:val="nl-NL"/>
        </w:rPr>
        <w:t xml:space="preserve">Europees wetgevingsinitiatief </w:t>
      </w:r>
      <w:r w:rsidRPr="005C3171">
        <w:rPr>
          <w:lang w:val="nl-NL"/>
        </w:rPr>
        <w:t>gericht op due diligence – verplichtingen aan bedrijven</w:t>
      </w:r>
      <w:r w:rsidRPr="005C3171" w:rsidR="00FB6D96">
        <w:rPr>
          <w:lang w:val="nl-NL"/>
        </w:rPr>
        <w:t xml:space="preserve">, </w:t>
      </w:r>
      <w:r w:rsidRPr="005C3171" w:rsidR="000E0D99">
        <w:rPr>
          <w:lang w:val="nl-NL"/>
        </w:rPr>
        <w:t xml:space="preserve">bij voorkeur </w:t>
      </w:r>
      <w:r w:rsidRPr="005C3171" w:rsidR="00FB6D96">
        <w:rPr>
          <w:lang w:val="nl-NL"/>
        </w:rPr>
        <w:t xml:space="preserve">binnen </w:t>
      </w:r>
      <w:r w:rsidRPr="005C3171" w:rsidR="000E0D99">
        <w:rPr>
          <w:lang w:val="nl-NL"/>
        </w:rPr>
        <w:t>1-3 jaar door te voeren,</w:t>
      </w:r>
      <w:r w:rsidRPr="005C3171">
        <w:rPr>
          <w:lang w:val="nl-NL"/>
        </w:rPr>
        <w:t xml:space="preserve"> is uiteraard zeer zinnig. </w:t>
      </w:r>
      <w:r w:rsidRPr="005C3171" w:rsidR="000E0D99">
        <w:rPr>
          <w:lang w:val="nl-NL"/>
        </w:rPr>
        <w:t xml:space="preserve">Gelet op de forse onzekerheden van het Europese traject </w:t>
      </w:r>
      <w:r w:rsidRPr="005C3171" w:rsidR="00D84BBD">
        <w:rPr>
          <w:lang w:val="nl-NL"/>
        </w:rPr>
        <w:t>moeten regering en Kamer het hier echter niet bij laten en ook in Nederland wetgeving doorvoeren</w:t>
      </w:r>
      <w:r w:rsidR="009844BD">
        <w:rPr>
          <w:lang w:val="nl-NL"/>
        </w:rPr>
        <w:t xml:space="preserve"> gebaseerd op de OESO richtlijnen</w:t>
      </w:r>
      <w:r w:rsidRPr="005C3171" w:rsidR="00D84BBD">
        <w:rPr>
          <w:lang w:val="nl-NL"/>
        </w:rPr>
        <w:t xml:space="preserve">. </w:t>
      </w:r>
    </w:p>
    <w:p w:rsidRPr="0000064B" w:rsidR="008D43C0" w:rsidP="008D43C0" w:rsidRDefault="008D43C0" w14:paraId="730EC7FA" w14:textId="675333D4">
      <w:pPr>
        <w:rPr>
          <w:b/>
          <w:bCs/>
          <w:color w:val="70AD47" w:themeColor="accent6"/>
          <w:u w:val="single"/>
          <w:lang w:val="nl-NL"/>
        </w:rPr>
      </w:pPr>
      <w:r w:rsidRPr="0000064B">
        <w:rPr>
          <w:b/>
          <w:bCs/>
          <w:color w:val="70AD47" w:themeColor="accent6"/>
          <w:u w:val="single"/>
          <w:lang w:val="nl-NL"/>
        </w:rPr>
        <w:t>Minimum-voorwaarden voor impactvolle wetgeving, maar ook rekening houden met lasten</w:t>
      </w:r>
    </w:p>
    <w:p w:rsidRPr="008B1D5E" w:rsidR="008D43C0" w:rsidP="008D43C0" w:rsidRDefault="008D43C0" w14:paraId="191ABF54" w14:textId="27D01A8A">
      <w:pPr>
        <w:numPr>
          <w:ilvl w:val="0"/>
          <w:numId w:val="6"/>
        </w:numPr>
        <w:contextualSpacing/>
        <w:rPr>
          <w:rFonts w:cstheme="minorHAnsi"/>
          <w:lang w:val="nl-NL"/>
        </w:rPr>
      </w:pPr>
      <w:r w:rsidRPr="008D43C0">
        <w:rPr>
          <w:lang w:val="nl-NL"/>
        </w:rPr>
        <w:t xml:space="preserve">Zowel voor Nederlandse wetgeving als Europese wetgeving dienen de OESO </w:t>
      </w:r>
      <w:r w:rsidR="00DF27E2">
        <w:rPr>
          <w:lang w:val="nl-NL"/>
        </w:rPr>
        <w:t>r</w:t>
      </w:r>
      <w:r w:rsidRPr="008D43C0">
        <w:rPr>
          <w:lang w:val="nl-NL"/>
        </w:rPr>
        <w:t>ichtlijnen de basis te vormen. Dat betekent: geen beperking tot mensenrechten, maar ook opname van milieu (</w:t>
      </w:r>
      <w:r w:rsidR="001A0435">
        <w:rPr>
          <w:lang w:val="nl-NL"/>
        </w:rPr>
        <w:t xml:space="preserve">inclusief </w:t>
      </w:r>
      <w:r w:rsidRPr="008D43C0">
        <w:rPr>
          <w:lang w:val="nl-NL"/>
        </w:rPr>
        <w:t>klimaat)</w:t>
      </w:r>
      <w:r w:rsidR="00032EF8">
        <w:rPr>
          <w:lang w:val="nl-NL"/>
        </w:rPr>
        <w:t>. De wetgeving moet</w:t>
      </w:r>
      <w:r w:rsidR="003B24F5">
        <w:rPr>
          <w:lang w:val="nl-NL"/>
        </w:rPr>
        <w:t xml:space="preserve"> </w:t>
      </w:r>
      <w:r w:rsidR="004608CA">
        <w:rPr>
          <w:lang w:val="nl-NL"/>
        </w:rPr>
        <w:t>gepaste zorgvuldigheid</w:t>
      </w:r>
      <w:r w:rsidR="00B27EB7">
        <w:rPr>
          <w:lang w:val="nl-NL"/>
        </w:rPr>
        <w:t xml:space="preserve"> voorschrijven</w:t>
      </w:r>
      <w:r w:rsidR="006004ED">
        <w:rPr>
          <w:lang w:val="nl-NL"/>
        </w:rPr>
        <w:t xml:space="preserve"> (</w:t>
      </w:r>
      <w:r w:rsidR="003B26D1">
        <w:rPr>
          <w:lang w:val="nl-NL"/>
        </w:rPr>
        <w:t xml:space="preserve">de </w:t>
      </w:r>
      <w:r w:rsidR="006004ED">
        <w:rPr>
          <w:lang w:val="nl-NL"/>
        </w:rPr>
        <w:t xml:space="preserve">6 </w:t>
      </w:r>
      <w:r w:rsidR="00FD0239">
        <w:rPr>
          <w:lang w:val="nl-NL"/>
        </w:rPr>
        <w:t xml:space="preserve">due diligence </w:t>
      </w:r>
      <w:r w:rsidR="006004ED">
        <w:rPr>
          <w:lang w:val="nl-NL"/>
        </w:rPr>
        <w:t>stappen</w:t>
      </w:r>
      <w:r w:rsidR="00FD0239">
        <w:rPr>
          <w:lang w:val="nl-NL"/>
        </w:rPr>
        <w:t xml:space="preserve"> uit de OESO richtlijnen</w:t>
      </w:r>
      <w:r w:rsidR="006004ED">
        <w:rPr>
          <w:lang w:val="nl-NL"/>
        </w:rPr>
        <w:t>)</w:t>
      </w:r>
      <w:r w:rsidR="00B27EB7">
        <w:rPr>
          <w:lang w:val="nl-NL"/>
        </w:rPr>
        <w:t>, waarbij</w:t>
      </w:r>
      <w:r w:rsidR="00032EF8">
        <w:rPr>
          <w:lang w:val="nl-NL"/>
        </w:rPr>
        <w:t xml:space="preserve"> </w:t>
      </w:r>
      <w:r w:rsidR="00934937">
        <w:rPr>
          <w:lang w:val="nl-NL"/>
        </w:rPr>
        <w:t xml:space="preserve">betekenisvolle betrokkenheid van </w:t>
      </w:r>
      <w:r w:rsidRPr="008B1D5E" w:rsidR="00934937">
        <w:rPr>
          <w:rFonts w:cstheme="minorHAnsi"/>
          <w:lang w:val="nl-NL"/>
        </w:rPr>
        <w:t>stakeholders</w:t>
      </w:r>
      <w:r w:rsidRPr="008B1D5E" w:rsidR="003B24F5">
        <w:rPr>
          <w:rFonts w:cstheme="minorHAnsi"/>
          <w:lang w:val="nl-NL"/>
        </w:rPr>
        <w:t xml:space="preserve"> </w:t>
      </w:r>
      <w:r w:rsidRPr="008B1D5E" w:rsidR="00771870">
        <w:rPr>
          <w:rFonts w:cstheme="minorHAnsi"/>
          <w:lang w:val="nl-NL"/>
        </w:rPr>
        <w:t xml:space="preserve">zoals mensenrechtenverdedigers, vrouwenrechtenorganisaties </w:t>
      </w:r>
      <w:r w:rsidRPr="008B1D5E" w:rsidR="00D46FBF">
        <w:rPr>
          <w:rFonts w:cstheme="minorHAnsi"/>
          <w:lang w:val="nl-NL"/>
        </w:rPr>
        <w:t>en vakbonden</w:t>
      </w:r>
      <w:r w:rsidRPr="008B1D5E" w:rsidR="00065928">
        <w:rPr>
          <w:rFonts w:cstheme="minorHAnsi"/>
          <w:lang w:val="nl-NL"/>
        </w:rPr>
        <w:t xml:space="preserve"> </w:t>
      </w:r>
      <w:r w:rsidRPr="008B1D5E" w:rsidR="000036C6">
        <w:rPr>
          <w:rFonts w:cstheme="minorHAnsi"/>
          <w:lang w:val="nl-NL"/>
        </w:rPr>
        <w:t>onderdeel wordt</w:t>
      </w:r>
      <w:r w:rsidRPr="008B1D5E">
        <w:rPr>
          <w:rFonts w:cstheme="minorHAnsi"/>
          <w:lang w:val="nl-NL"/>
        </w:rPr>
        <w:t xml:space="preserve">. </w:t>
      </w:r>
    </w:p>
    <w:p w:rsidRPr="008B1D5E" w:rsidR="008D43C0" w:rsidP="008D43C0" w:rsidRDefault="008D43C0" w14:paraId="322AB695" w14:textId="4BFB893B">
      <w:pPr>
        <w:numPr>
          <w:ilvl w:val="0"/>
          <w:numId w:val="6"/>
        </w:numPr>
        <w:contextualSpacing/>
        <w:rPr>
          <w:rFonts w:cstheme="minorHAnsi"/>
          <w:lang w:val="nl-NL"/>
        </w:rPr>
      </w:pPr>
      <w:r w:rsidRPr="008B1D5E">
        <w:rPr>
          <w:rFonts w:cstheme="minorHAnsi"/>
          <w:lang w:val="nl-NL"/>
        </w:rPr>
        <w:t>Een onafhankelijke toezichthouder + civielrechterlijke en strafrechterlijke handhaving waar nodig</w:t>
      </w:r>
      <w:r w:rsidRPr="008B1D5E" w:rsidR="004559B3">
        <w:rPr>
          <w:rFonts w:cstheme="minorHAnsi"/>
          <w:lang w:val="nl-NL"/>
        </w:rPr>
        <w:t>.</w:t>
      </w:r>
      <w:r w:rsidRPr="008B1D5E" w:rsidR="00934937">
        <w:rPr>
          <w:rFonts w:cstheme="minorHAnsi"/>
          <w:lang w:val="nl-NL"/>
        </w:rPr>
        <w:t xml:space="preserve"> </w:t>
      </w:r>
    </w:p>
    <w:p w:rsidRPr="008B1D5E" w:rsidR="008D43C0" w:rsidP="008D43C0" w:rsidRDefault="008D43C0" w14:paraId="2BAB4D65" w14:textId="7D5E92F1">
      <w:pPr>
        <w:numPr>
          <w:ilvl w:val="0"/>
          <w:numId w:val="6"/>
        </w:numPr>
        <w:contextualSpacing/>
        <w:rPr>
          <w:rFonts w:cstheme="minorHAnsi"/>
          <w:lang w:val="nl-NL"/>
        </w:rPr>
      </w:pPr>
      <w:r w:rsidRPr="008B1D5E">
        <w:rPr>
          <w:rFonts w:cstheme="minorHAnsi"/>
          <w:lang w:val="nl-NL"/>
        </w:rPr>
        <w:t>Regels moeten in principe voor alle bedrijven</w:t>
      </w:r>
      <w:r w:rsidRPr="008B1D5E" w:rsidR="00FA7A72">
        <w:rPr>
          <w:rFonts w:cstheme="minorHAnsi"/>
          <w:lang w:val="nl-NL"/>
        </w:rPr>
        <w:t xml:space="preserve"> gelden</w:t>
      </w:r>
      <w:r w:rsidRPr="008B1D5E">
        <w:rPr>
          <w:rFonts w:cstheme="minorHAnsi"/>
          <w:lang w:val="nl-NL"/>
        </w:rPr>
        <w:t>, inclusief het midden- en kleinbedrijf (mkb),</w:t>
      </w:r>
      <w:r w:rsidRPr="008B1D5E" w:rsidR="004C2316">
        <w:rPr>
          <w:rFonts w:cstheme="minorHAnsi"/>
          <w:lang w:val="nl-NL"/>
        </w:rPr>
        <w:t xml:space="preserve"> </w:t>
      </w:r>
      <w:r w:rsidRPr="008B1D5E" w:rsidR="009844BD">
        <w:rPr>
          <w:rFonts w:cstheme="minorHAnsi"/>
          <w:lang w:val="nl-NL"/>
        </w:rPr>
        <w:t>waarbij d</w:t>
      </w:r>
      <w:r w:rsidRPr="008B1D5E" w:rsidR="009844BD">
        <w:rPr>
          <w:rFonts w:cstheme="minorHAnsi"/>
        </w:rPr>
        <w:t>e manier waarop middelgrote en kleine bedrijven due diligence moeten uitvoeren</w:t>
      </w:r>
      <w:r w:rsidR="00CA5FF5">
        <w:rPr>
          <w:rFonts w:cstheme="minorHAnsi"/>
          <w:lang w:val="nl-NL"/>
        </w:rPr>
        <w:t xml:space="preserve"> wel</w:t>
      </w:r>
      <w:r w:rsidRPr="008B1D5E" w:rsidR="009844BD">
        <w:rPr>
          <w:rFonts w:cstheme="minorHAnsi"/>
        </w:rPr>
        <w:t xml:space="preserve"> in verhouding </w:t>
      </w:r>
      <w:r w:rsidRPr="008B1D5E" w:rsidR="009844BD">
        <w:rPr>
          <w:rFonts w:cstheme="minorHAnsi"/>
          <w:lang w:val="nl-NL"/>
        </w:rPr>
        <w:t>staat</w:t>
      </w:r>
      <w:r w:rsidRPr="008B1D5E" w:rsidR="009844BD">
        <w:rPr>
          <w:rFonts w:cstheme="minorHAnsi"/>
        </w:rPr>
        <w:t xml:space="preserve"> tot de ernst, omvang en onomkeerbaarheid van de IMVO-risico’s waarmee het bedrijf te maken heeft, de grootte van het bedrijf en de positie van het bedrijf in de keten</w:t>
      </w:r>
      <w:r w:rsidRPr="008B1D5E" w:rsidR="00053B97">
        <w:rPr>
          <w:rFonts w:cstheme="minorHAnsi"/>
          <w:lang w:val="nl-NL"/>
        </w:rPr>
        <w:t>.</w:t>
      </w:r>
    </w:p>
    <w:p w:rsidRPr="008D43C0" w:rsidR="008D43C0" w:rsidP="008D43C0" w:rsidRDefault="008D43C0" w14:paraId="65C4D84E" w14:textId="40D4BCC5">
      <w:pPr>
        <w:numPr>
          <w:ilvl w:val="0"/>
          <w:numId w:val="6"/>
        </w:numPr>
        <w:contextualSpacing/>
        <w:rPr>
          <w:lang w:val="nl-NL"/>
        </w:rPr>
      </w:pPr>
      <w:r w:rsidRPr="008B1D5E">
        <w:rPr>
          <w:rFonts w:cstheme="minorHAnsi"/>
          <w:lang w:val="nl-NL"/>
        </w:rPr>
        <w:t xml:space="preserve">Benut de IMVO-convenanten op een wijze waarin NGO’s, vakbonden en overheid bedrijven kunnen helpen </w:t>
      </w:r>
      <w:r w:rsidRPr="008B1D5E" w:rsidR="00E7019A">
        <w:rPr>
          <w:rFonts w:cstheme="minorHAnsi"/>
          <w:lang w:val="nl-NL"/>
        </w:rPr>
        <w:t xml:space="preserve">en </w:t>
      </w:r>
      <w:r w:rsidRPr="008B1D5E" w:rsidR="00D75E8C">
        <w:rPr>
          <w:rFonts w:cstheme="minorHAnsi"/>
          <w:lang w:val="nl-NL"/>
        </w:rPr>
        <w:t>aansporen om</w:t>
      </w:r>
      <w:r w:rsidRPr="008B1D5E">
        <w:rPr>
          <w:rFonts w:cstheme="minorHAnsi"/>
          <w:lang w:val="nl-NL"/>
        </w:rPr>
        <w:t xml:space="preserve"> deze</w:t>
      </w:r>
      <w:r w:rsidRPr="008D43C0">
        <w:rPr>
          <w:lang w:val="nl-NL"/>
        </w:rPr>
        <w:t xml:space="preserve"> wetgeving op de meest impactvolle wijze </w:t>
      </w:r>
      <w:r w:rsidR="00D75E8C">
        <w:rPr>
          <w:lang w:val="nl-NL"/>
        </w:rPr>
        <w:t>te</w:t>
      </w:r>
      <w:r w:rsidRPr="008D43C0" w:rsidR="00D75E8C">
        <w:rPr>
          <w:lang w:val="nl-NL"/>
        </w:rPr>
        <w:t xml:space="preserve"> </w:t>
      </w:r>
      <w:r w:rsidRPr="008D43C0">
        <w:rPr>
          <w:lang w:val="nl-NL"/>
        </w:rPr>
        <w:t>implementeren.</w:t>
      </w:r>
    </w:p>
    <w:p w:rsidR="00FB2CEA" w:rsidRDefault="00FB2CEA" w14:paraId="1E9C9DC6" w14:textId="77777777">
      <w:pPr>
        <w:rPr>
          <w:b/>
          <w:bCs/>
          <w:u w:val="single"/>
          <w:lang w:val="nl-NL"/>
        </w:rPr>
      </w:pPr>
    </w:p>
    <w:p w:rsidRPr="00BC5B8A" w:rsidR="003C0B36" w:rsidRDefault="003C0B36" w14:paraId="53EB96B4" w14:textId="07107D1E">
      <w:pPr>
        <w:rPr>
          <w:b/>
          <w:bCs/>
          <w:color w:val="70AD47" w:themeColor="accent6"/>
          <w:u w:val="single"/>
          <w:lang w:val="nl-NL"/>
        </w:rPr>
      </w:pPr>
      <w:r w:rsidRPr="00BC5B8A">
        <w:rPr>
          <w:b/>
          <w:bCs/>
          <w:color w:val="70AD47" w:themeColor="accent6"/>
          <w:u w:val="single"/>
          <w:lang w:val="nl-NL"/>
        </w:rPr>
        <w:t>Eindconclusie</w:t>
      </w:r>
    </w:p>
    <w:p w:rsidR="00987F92" w:rsidRDefault="00987F92" w14:paraId="70397531" w14:textId="119CBEC1">
      <w:pPr>
        <w:rPr>
          <w:lang w:val="nl-NL"/>
        </w:rPr>
      </w:pPr>
      <w:r w:rsidRPr="00987F92">
        <w:rPr>
          <w:lang w:val="nl-NL"/>
        </w:rPr>
        <w:t>IMVO wetgeving in Nederland, en op termijn hopelijk ook in Europees verband, is een noodzakelijke aanvulling ten opzichte van de huidige, meer op vrijwilligheid gerichte beleidsinstrumenten. Noodzakelijk voor het effectief en structureel tegengaan van schendingen van landrechten, mensenrechten, kinderarbeid, onleefbaar inkomen</w:t>
      </w:r>
      <w:r w:rsidR="00A22DE1">
        <w:rPr>
          <w:lang w:val="nl-NL"/>
        </w:rPr>
        <w:t xml:space="preserve"> en </w:t>
      </w:r>
      <w:r w:rsidRPr="00987F92">
        <w:rPr>
          <w:lang w:val="nl-NL"/>
        </w:rPr>
        <w:t xml:space="preserve">loon voor boeren/boerinnen en bijvoorbeeld fabrieksarbeiders in naaiateliers, en schade aan het milieu, door alle Nederlandse bedrijven. </w:t>
      </w:r>
      <w:r w:rsidR="00806156">
        <w:rPr>
          <w:lang w:val="nl-NL"/>
        </w:rPr>
        <w:t xml:space="preserve">Ook de achterblijvers. </w:t>
      </w:r>
      <w:r w:rsidRPr="00987F92">
        <w:rPr>
          <w:lang w:val="nl-NL"/>
        </w:rPr>
        <w:t>De risico’s zijn bekend, de oplossingsrichting en concrete uitwerking hiervan ook. Er is voldoende onderzoek gedaan. Het is nu aan de Tweede Kamer om te handelen.</w:t>
      </w:r>
    </w:p>
    <w:sectPr w:rsidR="00987F92">
      <w:headerReference w:type="default" r:id="rId2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4B92" w14:textId="77777777" w:rsidR="004E7291" w:rsidRDefault="004E7291" w:rsidP="003C305A">
      <w:pPr>
        <w:spacing w:after="0" w:line="240" w:lineRule="auto"/>
      </w:pPr>
      <w:r>
        <w:separator/>
      </w:r>
    </w:p>
  </w:endnote>
  <w:endnote w:type="continuationSeparator" w:id="0">
    <w:p w14:paraId="5C82EDCC" w14:textId="77777777" w:rsidR="004E7291" w:rsidRDefault="004E7291" w:rsidP="003C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17236" w14:textId="77777777" w:rsidR="004E7291" w:rsidRDefault="004E7291" w:rsidP="003C305A">
      <w:pPr>
        <w:spacing w:after="0" w:line="240" w:lineRule="auto"/>
      </w:pPr>
      <w:r>
        <w:separator/>
      </w:r>
    </w:p>
  </w:footnote>
  <w:footnote w:type="continuationSeparator" w:id="0">
    <w:p w14:paraId="0EB41EC3" w14:textId="77777777" w:rsidR="004E7291" w:rsidRDefault="004E7291" w:rsidP="003C3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A1F0" w14:textId="08468D6D" w:rsidR="006012A3" w:rsidRDefault="006012A3">
    <w:pPr>
      <w:pStyle w:val="Header"/>
    </w:pPr>
    <w:r>
      <w:rPr>
        <w:noProof/>
      </w:rPr>
      <w:drawing>
        <wp:anchor distT="0" distB="0" distL="114300" distR="114300" simplePos="0" relativeHeight="251659264" behindDoc="0" locked="0" layoutInCell="1" allowOverlap="1" wp14:anchorId="15AC3E54" wp14:editId="77FCFE5D">
          <wp:simplePos x="0" y="0"/>
          <wp:positionH relativeFrom="column">
            <wp:posOffset>2677363</wp:posOffset>
          </wp:positionH>
          <wp:positionV relativeFrom="paragraph">
            <wp:posOffset>-198450</wp:posOffset>
          </wp:positionV>
          <wp:extent cx="328930" cy="512445"/>
          <wp:effectExtent l="0" t="0" r="127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8930" cy="512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D08"/>
    <w:multiLevelType w:val="hybridMultilevel"/>
    <w:tmpl w:val="531AA0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A5C48D0"/>
    <w:multiLevelType w:val="hybridMultilevel"/>
    <w:tmpl w:val="4B64D3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52720F3"/>
    <w:multiLevelType w:val="hybridMultilevel"/>
    <w:tmpl w:val="6A7EFF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8D1434D"/>
    <w:multiLevelType w:val="hybridMultilevel"/>
    <w:tmpl w:val="62F014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0B041BD"/>
    <w:multiLevelType w:val="hybridMultilevel"/>
    <w:tmpl w:val="79040D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0DC48C8"/>
    <w:multiLevelType w:val="hybridMultilevel"/>
    <w:tmpl w:val="75302984"/>
    <w:lvl w:ilvl="0" w:tplc="DB12CBC8">
      <w:start w:val="10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3095296"/>
    <w:multiLevelType w:val="hybridMultilevel"/>
    <w:tmpl w:val="023ACE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5A"/>
    <w:rsid w:val="0000064B"/>
    <w:rsid w:val="000036C6"/>
    <w:rsid w:val="000137FB"/>
    <w:rsid w:val="0001716E"/>
    <w:rsid w:val="000226F6"/>
    <w:rsid w:val="00031A2A"/>
    <w:rsid w:val="00032EF8"/>
    <w:rsid w:val="00036C8D"/>
    <w:rsid w:val="00036E52"/>
    <w:rsid w:val="00044805"/>
    <w:rsid w:val="00053B97"/>
    <w:rsid w:val="00061CAC"/>
    <w:rsid w:val="00065928"/>
    <w:rsid w:val="0006615F"/>
    <w:rsid w:val="00073F5E"/>
    <w:rsid w:val="000A6181"/>
    <w:rsid w:val="000B4540"/>
    <w:rsid w:val="000C0324"/>
    <w:rsid w:val="000C1689"/>
    <w:rsid w:val="000C38F5"/>
    <w:rsid w:val="000C555E"/>
    <w:rsid w:val="000D742E"/>
    <w:rsid w:val="000E034A"/>
    <w:rsid w:val="000E0D99"/>
    <w:rsid w:val="000E3436"/>
    <w:rsid w:val="000F30C4"/>
    <w:rsid w:val="000F683A"/>
    <w:rsid w:val="000F7836"/>
    <w:rsid w:val="00103B6D"/>
    <w:rsid w:val="001045CB"/>
    <w:rsid w:val="00107983"/>
    <w:rsid w:val="001103D9"/>
    <w:rsid w:val="00113BAC"/>
    <w:rsid w:val="001173A9"/>
    <w:rsid w:val="00117986"/>
    <w:rsid w:val="00124AFA"/>
    <w:rsid w:val="00126DD7"/>
    <w:rsid w:val="0013434D"/>
    <w:rsid w:val="00135FC2"/>
    <w:rsid w:val="001371EA"/>
    <w:rsid w:val="00137552"/>
    <w:rsid w:val="00147DCD"/>
    <w:rsid w:val="001615F5"/>
    <w:rsid w:val="00164B3B"/>
    <w:rsid w:val="001663CD"/>
    <w:rsid w:val="00167033"/>
    <w:rsid w:val="00173C4D"/>
    <w:rsid w:val="00191A53"/>
    <w:rsid w:val="001A0435"/>
    <w:rsid w:val="001A06F5"/>
    <w:rsid w:val="001A33AA"/>
    <w:rsid w:val="001B22EB"/>
    <w:rsid w:val="001B388C"/>
    <w:rsid w:val="001B40D3"/>
    <w:rsid w:val="001E4206"/>
    <w:rsid w:val="001E51D3"/>
    <w:rsid w:val="001E7D4D"/>
    <w:rsid w:val="00201D4F"/>
    <w:rsid w:val="00206C33"/>
    <w:rsid w:val="002628BE"/>
    <w:rsid w:val="0027342D"/>
    <w:rsid w:val="00273BC8"/>
    <w:rsid w:val="00275534"/>
    <w:rsid w:val="002770B4"/>
    <w:rsid w:val="00280376"/>
    <w:rsid w:val="00281C4D"/>
    <w:rsid w:val="00290EBA"/>
    <w:rsid w:val="002977D0"/>
    <w:rsid w:val="002B0878"/>
    <w:rsid w:val="002B6960"/>
    <w:rsid w:val="002B79DA"/>
    <w:rsid w:val="002C66EE"/>
    <w:rsid w:val="002D2EDB"/>
    <w:rsid w:val="002E4195"/>
    <w:rsid w:val="002E6998"/>
    <w:rsid w:val="002F4620"/>
    <w:rsid w:val="002F567F"/>
    <w:rsid w:val="00326475"/>
    <w:rsid w:val="00334816"/>
    <w:rsid w:val="00341250"/>
    <w:rsid w:val="00360DAC"/>
    <w:rsid w:val="00365BA1"/>
    <w:rsid w:val="00367142"/>
    <w:rsid w:val="003701A5"/>
    <w:rsid w:val="00376B88"/>
    <w:rsid w:val="003A24B3"/>
    <w:rsid w:val="003A3690"/>
    <w:rsid w:val="003A44B9"/>
    <w:rsid w:val="003A4EF9"/>
    <w:rsid w:val="003B24F5"/>
    <w:rsid w:val="003B26D1"/>
    <w:rsid w:val="003C0B36"/>
    <w:rsid w:val="003C305A"/>
    <w:rsid w:val="003C3AAF"/>
    <w:rsid w:val="003D7BAF"/>
    <w:rsid w:val="003E01D8"/>
    <w:rsid w:val="003E219D"/>
    <w:rsid w:val="003F2E53"/>
    <w:rsid w:val="004001E4"/>
    <w:rsid w:val="00402D6C"/>
    <w:rsid w:val="00403C95"/>
    <w:rsid w:val="0040547D"/>
    <w:rsid w:val="004061AC"/>
    <w:rsid w:val="00411757"/>
    <w:rsid w:val="0041192C"/>
    <w:rsid w:val="00415B91"/>
    <w:rsid w:val="004256C9"/>
    <w:rsid w:val="0042694A"/>
    <w:rsid w:val="00444210"/>
    <w:rsid w:val="00453F90"/>
    <w:rsid w:val="00454E7B"/>
    <w:rsid w:val="004559B3"/>
    <w:rsid w:val="00455AD2"/>
    <w:rsid w:val="004608CA"/>
    <w:rsid w:val="00461D67"/>
    <w:rsid w:val="004667F0"/>
    <w:rsid w:val="00490181"/>
    <w:rsid w:val="004A3412"/>
    <w:rsid w:val="004A4F21"/>
    <w:rsid w:val="004B0072"/>
    <w:rsid w:val="004C2316"/>
    <w:rsid w:val="004D26D8"/>
    <w:rsid w:val="004D2831"/>
    <w:rsid w:val="004D7E25"/>
    <w:rsid w:val="004E21C0"/>
    <w:rsid w:val="004E7291"/>
    <w:rsid w:val="004F23BC"/>
    <w:rsid w:val="00500A13"/>
    <w:rsid w:val="0050475D"/>
    <w:rsid w:val="00505B8F"/>
    <w:rsid w:val="00505C82"/>
    <w:rsid w:val="005104BF"/>
    <w:rsid w:val="00511547"/>
    <w:rsid w:val="005229D2"/>
    <w:rsid w:val="0052587C"/>
    <w:rsid w:val="00557B76"/>
    <w:rsid w:val="005624C4"/>
    <w:rsid w:val="005775CB"/>
    <w:rsid w:val="00577A93"/>
    <w:rsid w:val="005847C6"/>
    <w:rsid w:val="00595B8A"/>
    <w:rsid w:val="005A0FEE"/>
    <w:rsid w:val="005B19FD"/>
    <w:rsid w:val="005B4482"/>
    <w:rsid w:val="005B6548"/>
    <w:rsid w:val="005C1B1A"/>
    <w:rsid w:val="005C3171"/>
    <w:rsid w:val="005F3969"/>
    <w:rsid w:val="006004ED"/>
    <w:rsid w:val="006012A3"/>
    <w:rsid w:val="00611F18"/>
    <w:rsid w:val="00612909"/>
    <w:rsid w:val="00612CCD"/>
    <w:rsid w:val="006173A2"/>
    <w:rsid w:val="00623465"/>
    <w:rsid w:val="00641A07"/>
    <w:rsid w:val="00647C1B"/>
    <w:rsid w:val="006503EA"/>
    <w:rsid w:val="006644A5"/>
    <w:rsid w:val="006668D3"/>
    <w:rsid w:val="00666E15"/>
    <w:rsid w:val="00667153"/>
    <w:rsid w:val="00681631"/>
    <w:rsid w:val="00684250"/>
    <w:rsid w:val="00693B73"/>
    <w:rsid w:val="00695099"/>
    <w:rsid w:val="006A2C7C"/>
    <w:rsid w:val="006A69C0"/>
    <w:rsid w:val="006C1830"/>
    <w:rsid w:val="006C4F45"/>
    <w:rsid w:val="006D6360"/>
    <w:rsid w:val="006D7E55"/>
    <w:rsid w:val="006E6A94"/>
    <w:rsid w:val="00700F93"/>
    <w:rsid w:val="00707242"/>
    <w:rsid w:val="00745A0D"/>
    <w:rsid w:val="00746896"/>
    <w:rsid w:val="0075324D"/>
    <w:rsid w:val="00755B7A"/>
    <w:rsid w:val="007605F3"/>
    <w:rsid w:val="007674FE"/>
    <w:rsid w:val="0077043C"/>
    <w:rsid w:val="00771870"/>
    <w:rsid w:val="00780E56"/>
    <w:rsid w:val="00794F3E"/>
    <w:rsid w:val="00796C9A"/>
    <w:rsid w:val="007A3506"/>
    <w:rsid w:val="007B492B"/>
    <w:rsid w:val="007B4A28"/>
    <w:rsid w:val="007B6697"/>
    <w:rsid w:val="007B75E0"/>
    <w:rsid w:val="007C6268"/>
    <w:rsid w:val="007E162F"/>
    <w:rsid w:val="007F52D9"/>
    <w:rsid w:val="00806156"/>
    <w:rsid w:val="0081544C"/>
    <w:rsid w:val="008171D0"/>
    <w:rsid w:val="00821F75"/>
    <w:rsid w:val="008446D1"/>
    <w:rsid w:val="0085662F"/>
    <w:rsid w:val="00856D60"/>
    <w:rsid w:val="00856ECA"/>
    <w:rsid w:val="00857AAB"/>
    <w:rsid w:val="00860702"/>
    <w:rsid w:val="00871332"/>
    <w:rsid w:val="00873ECF"/>
    <w:rsid w:val="00883D3B"/>
    <w:rsid w:val="00897583"/>
    <w:rsid w:val="008A12C3"/>
    <w:rsid w:val="008A15FE"/>
    <w:rsid w:val="008A3309"/>
    <w:rsid w:val="008A531B"/>
    <w:rsid w:val="008B1D5E"/>
    <w:rsid w:val="008B7758"/>
    <w:rsid w:val="008C2283"/>
    <w:rsid w:val="008D43C0"/>
    <w:rsid w:val="008D6FF7"/>
    <w:rsid w:val="008E3214"/>
    <w:rsid w:val="008E7B12"/>
    <w:rsid w:val="008E7C42"/>
    <w:rsid w:val="008F0806"/>
    <w:rsid w:val="00901173"/>
    <w:rsid w:val="00921BC7"/>
    <w:rsid w:val="0092542F"/>
    <w:rsid w:val="0093353E"/>
    <w:rsid w:val="00934937"/>
    <w:rsid w:val="00937FAA"/>
    <w:rsid w:val="0094271B"/>
    <w:rsid w:val="00944E91"/>
    <w:rsid w:val="0094714B"/>
    <w:rsid w:val="00950ABB"/>
    <w:rsid w:val="0095110C"/>
    <w:rsid w:val="00957B26"/>
    <w:rsid w:val="009651D1"/>
    <w:rsid w:val="009679B5"/>
    <w:rsid w:val="00983CBF"/>
    <w:rsid w:val="009844BD"/>
    <w:rsid w:val="00987F92"/>
    <w:rsid w:val="00997CDD"/>
    <w:rsid w:val="009B1E87"/>
    <w:rsid w:val="009B32B0"/>
    <w:rsid w:val="009B75FC"/>
    <w:rsid w:val="009C32E4"/>
    <w:rsid w:val="009D00F1"/>
    <w:rsid w:val="009D52CC"/>
    <w:rsid w:val="009D7AEB"/>
    <w:rsid w:val="009F0741"/>
    <w:rsid w:val="00A022F8"/>
    <w:rsid w:val="00A0567B"/>
    <w:rsid w:val="00A22DE1"/>
    <w:rsid w:val="00A25977"/>
    <w:rsid w:val="00A448A0"/>
    <w:rsid w:val="00A50116"/>
    <w:rsid w:val="00A60444"/>
    <w:rsid w:val="00A7027C"/>
    <w:rsid w:val="00A71BDF"/>
    <w:rsid w:val="00A75154"/>
    <w:rsid w:val="00A84B04"/>
    <w:rsid w:val="00A929A2"/>
    <w:rsid w:val="00A95E8A"/>
    <w:rsid w:val="00AB1C38"/>
    <w:rsid w:val="00AB6AC9"/>
    <w:rsid w:val="00AC0E6E"/>
    <w:rsid w:val="00AC46A1"/>
    <w:rsid w:val="00AD73DF"/>
    <w:rsid w:val="00AE0405"/>
    <w:rsid w:val="00AE6418"/>
    <w:rsid w:val="00B026D3"/>
    <w:rsid w:val="00B0462F"/>
    <w:rsid w:val="00B10474"/>
    <w:rsid w:val="00B11A38"/>
    <w:rsid w:val="00B27EB7"/>
    <w:rsid w:val="00B3669D"/>
    <w:rsid w:val="00B441F3"/>
    <w:rsid w:val="00B53E3C"/>
    <w:rsid w:val="00B570EF"/>
    <w:rsid w:val="00B61074"/>
    <w:rsid w:val="00B62276"/>
    <w:rsid w:val="00B67B62"/>
    <w:rsid w:val="00B80CDC"/>
    <w:rsid w:val="00B82C8B"/>
    <w:rsid w:val="00B86403"/>
    <w:rsid w:val="00B908DE"/>
    <w:rsid w:val="00B9734A"/>
    <w:rsid w:val="00BA17FD"/>
    <w:rsid w:val="00BB2670"/>
    <w:rsid w:val="00BC0F20"/>
    <w:rsid w:val="00BC5B8A"/>
    <w:rsid w:val="00BD6AAD"/>
    <w:rsid w:val="00C003AC"/>
    <w:rsid w:val="00C21710"/>
    <w:rsid w:val="00C2179B"/>
    <w:rsid w:val="00C262BC"/>
    <w:rsid w:val="00C31475"/>
    <w:rsid w:val="00C35F9D"/>
    <w:rsid w:val="00C40927"/>
    <w:rsid w:val="00C47EDD"/>
    <w:rsid w:val="00C52216"/>
    <w:rsid w:val="00C52623"/>
    <w:rsid w:val="00C61022"/>
    <w:rsid w:val="00C70F57"/>
    <w:rsid w:val="00C74C90"/>
    <w:rsid w:val="00C751C1"/>
    <w:rsid w:val="00C87026"/>
    <w:rsid w:val="00C9174E"/>
    <w:rsid w:val="00C92B28"/>
    <w:rsid w:val="00CA5FF5"/>
    <w:rsid w:val="00CB1DB2"/>
    <w:rsid w:val="00CB3BB3"/>
    <w:rsid w:val="00CC2564"/>
    <w:rsid w:val="00CC7924"/>
    <w:rsid w:val="00CD3389"/>
    <w:rsid w:val="00CD5DF4"/>
    <w:rsid w:val="00CE3AB8"/>
    <w:rsid w:val="00CF085E"/>
    <w:rsid w:val="00CF2C9F"/>
    <w:rsid w:val="00D01C0A"/>
    <w:rsid w:val="00D32EC6"/>
    <w:rsid w:val="00D34F5D"/>
    <w:rsid w:val="00D35F3B"/>
    <w:rsid w:val="00D4088A"/>
    <w:rsid w:val="00D46FBF"/>
    <w:rsid w:val="00D61920"/>
    <w:rsid w:val="00D71B5F"/>
    <w:rsid w:val="00D75E8C"/>
    <w:rsid w:val="00D7600C"/>
    <w:rsid w:val="00D76DBA"/>
    <w:rsid w:val="00D81392"/>
    <w:rsid w:val="00D84BBD"/>
    <w:rsid w:val="00D90CE7"/>
    <w:rsid w:val="00DA2DDB"/>
    <w:rsid w:val="00DB7D6E"/>
    <w:rsid w:val="00DC458B"/>
    <w:rsid w:val="00DD1600"/>
    <w:rsid w:val="00DE164C"/>
    <w:rsid w:val="00DF0B60"/>
    <w:rsid w:val="00DF27E2"/>
    <w:rsid w:val="00DF4F8E"/>
    <w:rsid w:val="00DF5F07"/>
    <w:rsid w:val="00E11007"/>
    <w:rsid w:val="00E122BB"/>
    <w:rsid w:val="00E12676"/>
    <w:rsid w:val="00E15F68"/>
    <w:rsid w:val="00E20AB9"/>
    <w:rsid w:val="00E219CF"/>
    <w:rsid w:val="00E21D5B"/>
    <w:rsid w:val="00E3443A"/>
    <w:rsid w:val="00E3567E"/>
    <w:rsid w:val="00E407B1"/>
    <w:rsid w:val="00E41A1D"/>
    <w:rsid w:val="00E4493C"/>
    <w:rsid w:val="00E474E2"/>
    <w:rsid w:val="00E55398"/>
    <w:rsid w:val="00E6119F"/>
    <w:rsid w:val="00E7019A"/>
    <w:rsid w:val="00E73BA6"/>
    <w:rsid w:val="00E74010"/>
    <w:rsid w:val="00E801C9"/>
    <w:rsid w:val="00EA7655"/>
    <w:rsid w:val="00EB3816"/>
    <w:rsid w:val="00EB517A"/>
    <w:rsid w:val="00EC18CF"/>
    <w:rsid w:val="00EC3CB5"/>
    <w:rsid w:val="00EC5C5E"/>
    <w:rsid w:val="00ED1D6A"/>
    <w:rsid w:val="00F00848"/>
    <w:rsid w:val="00F01BBE"/>
    <w:rsid w:val="00F032FE"/>
    <w:rsid w:val="00F03C20"/>
    <w:rsid w:val="00F048BB"/>
    <w:rsid w:val="00F240D1"/>
    <w:rsid w:val="00F353F8"/>
    <w:rsid w:val="00F46D10"/>
    <w:rsid w:val="00F71981"/>
    <w:rsid w:val="00F75283"/>
    <w:rsid w:val="00F77F2C"/>
    <w:rsid w:val="00F80476"/>
    <w:rsid w:val="00F87235"/>
    <w:rsid w:val="00F93A13"/>
    <w:rsid w:val="00FA7A72"/>
    <w:rsid w:val="00FB2CEA"/>
    <w:rsid w:val="00FB6D96"/>
    <w:rsid w:val="00FC394E"/>
    <w:rsid w:val="00FD0239"/>
    <w:rsid w:val="00FE3245"/>
    <w:rsid w:val="00FF0198"/>
    <w:rsid w:val="00FF60DE"/>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D00E5"/>
  <w15:chartTrackingRefBased/>
  <w15:docId w15:val="{5B83CAD6-13B7-4475-BEFD-1FAE72EF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398"/>
    <w:rPr>
      <w:color w:val="0563C1"/>
      <w:u w:val="single"/>
    </w:rPr>
  </w:style>
  <w:style w:type="paragraph" w:styleId="ListParagraph">
    <w:name w:val="List Paragraph"/>
    <w:basedOn w:val="Normal"/>
    <w:uiPriority w:val="34"/>
    <w:qFormat/>
    <w:rsid w:val="00103B6D"/>
    <w:pPr>
      <w:ind w:left="720"/>
      <w:contextualSpacing/>
    </w:pPr>
    <w:rPr>
      <w:lang w:val="en-US"/>
    </w:rPr>
  </w:style>
  <w:style w:type="paragraph" w:styleId="FootnoteText">
    <w:name w:val="footnote text"/>
    <w:basedOn w:val="Normal"/>
    <w:link w:val="FootnoteTextChar"/>
    <w:uiPriority w:val="99"/>
    <w:semiHidden/>
    <w:unhideWhenUsed/>
    <w:rsid w:val="00103B6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103B6D"/>
    <w:rPr>
      <w:sz w:val="20"/>
      <w:szCs w:val="20"/>
      <w:lang w:val="en-US"/>
    </w:rPr>
  </w:style>
  <w:style w:type="character" w:styleId="FootnoteReference">
    <w:name w:val="footnote reference"/>
    <w:basedOn w:val="DefaultParagraphFont"/>
    <w:uiPriority w:val="99"/>
    <w:semiHidden/>
    <w:unhideWhenUsed/>
    <w:rsid w:val="00103B6D"/>
    <w:rPr>
      <w:vertAlign w:val="superscript"/>
    </w:rPr>
  </w:style>
  <w:style w:type="character" w:styleId="UnresolvedMention">
    <w:name w:val="Unresolved Mention"/>
    <w:basedOn w:val="DefaultParagraphFont"/>
    <w:uiPriority w:val="99"/>
    <w:semiHidden/>
    <w:unhideWhenUsed/>
    <w:rsid w:val="00997CDD"/>
    <w:rPr>
      <w:color w:val="605E5C"/>
      <w:shd w:val="clear" w:color="auto" w:fill="E1DFDD"/>
    </w:rPr>
  </w:style>
  <w:style w:type="character" w:styleId="CommentReference">
    <w:name w:val="annotation reference"/>
    <w:basedOn w:val="DefaultParagraphFont"/>
    <w:uiPriority w:val="99"/>
    <w:semiHidden/>
    <w:unhideWhenUsed/>
    <w:rsid w:val="00F353F8"/>
    <w:rPr>
      <w:sz w:val="16"/>
      <w:szCs w:val="16"/>
    </w:rPr>
  </w:style>
  <w:style w:type="paragraph" w:styleId="CommentText">
    <w:name w:val="annotation text"/>
    <w:basedOn w:val="Normal"/>
    <w:link w:val="CommentTextChar"/>
    <w:uiPriority w:val="99"/>
    <w:semiHidden/>
    <w:unhideWhenUsed/>
    <w:rsid w:val="00F353F8"/>
    <w:pPr>
      <w:spacing w:line="240" w:lineRule="auto"/>
    </w:pPr>
    <w:rPr>
      <w:sz w:val="20"/>
      <w:szCs w:val="20"/>
    </w:rPr>
  </w:style>
  <w:style w:type="character" w:customStyle="1" w:styleId="CommentTextChar">
    <w:name w:val="Comment Text Char"/>
    <w:basedOn w:val="DefaultParagraphFont"/>
    <w:link w:val="CommentText"/>
    <w:uiPriority w:val="99"/>
    <w:semiHidden/>
    <w:rsid w:val="00F353F8"/>
    <w:rPr>
      <w:sz w:val="20"/>
      <w:szCs w:val="20"/>
    </w:rPr>
  </w:style>
  <w:style w:type="paragraph" w:styleId="CommentSubject">
    <w:name w:val="annotation subject"/>
    <w:basedOn w:val="CommentText"/>
    <w:next w:val="CommentText"/>
    <w:link w:val="CommentSubjectChar"/>
    <w:uiPriority w:val="99"/>
    <w:semiHidden/>
    <w:unhideWhenUsed/>
    <w:rsid w:val="00F353F8"/>
    <w:rPr>
      <w:b/>
      <w:bCs/>
    </w:rPr>
  </w:style>
  <w:style w:type="character" w:customStyle="1" w:styleId="CommentSubjectChar">
    <w:name w:val="Comment Subject Char"/>
    <w:basedOn w:val="CommentTextChar"/>
    <w:link w:val="CommentSubject"/>
    <w:uiPriority w:val="99"/>
    <w:semiHidden/>
    <w:rsid w:val="00F353F8"/>
    <w:rPr>
      <w:b/>
      <w:bCs/>
      <w:sz w:val="20"/>
      <w:szCs w:val="20"/>
    </w:rPr>
  </w:style>
  <w:style w:type="character" w:styleId="FollowedHyperlink">
    <w:name w:val="FollowedHyperlink"/>
    <w:basedOn w:val="DefaultParagraphFont"/>
    <w:uiPriority w:val="99"/>
    <w:semiHidden/>
    <w:unhideWhenUsed/>
    <w:rsid w:val="00D71B5F"/>
    <w:rPr>
      <w:color w:val="954F72" w:themeColor="followedHyperlink"/>
      <w:u w:val="single"/>
    </w:rPr>
  </w:style>
  <w:style w:type="paragraph" w:styleId="NoSpacing">
    <w:name w:val="No Spacing"/>
    <w:uiPriority w:val="1"/>
    <w:qFormat/>
    <w:rsid w:val="008D43C0"/>
    <w:pPr>
      <w:spacing w:after="0" w:line="240" w:lineRule="auto"/>
    </w:pPr>
  </w:style>
  <w:style w:type="paragraph" w:styleId="Header">
    <w:name w:val="header"/>
    <w:basedOn w:val="Normal"/>
    <w:link w:val="HeaderChar"/>
    <w:uiPriority w:val="99"/>
    <w:unhideWhenUsed/>
    <w:rsid w:val="008D4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3C0"/>
  </w:style>
  <w:style w:type="paragraph" w:styleId="Footer">
    <w:name w:val="footer"/>
    <w:basedOn w:val="Normal"/>
    <w:link w:val="FooterChar"/>
    <w:uiPriority w:val="99"/>
    <w:unhideWhenUsed/>
    <w:rsid w:val="008D4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3C0"/>
  </w:style>
  <w:style w:type="paragraph" w:styleId="BalloonText">
    <w:name w:val="Balloon Text"/>
    <w:basedOn w:val="Normal"/>
    <w:link w:val="BalloonTextChar"/>
    <w:uiPriority w:val="99"/>
    <w:semiHidden/>
    <w:unhideWhenUsed/>
    <w:rsid w:val="006004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04E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7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nl/nl/Publicaties/duurzame-ketenimpact" TargetMode="External"/><Relationship Id="rId13" Type="http://schemas.openxmlformats.org/officeDocument/2006/relationships/hyperlink" Target="https://www.accountancyvanmorgen.nl/2021/06/22/oeso-gaat-klacht-over-belastingontwijking-oliereus-chevron-via-nederland-bekijken/" TargetMode="External"/><Relationship Id="rId18" Type="http://schemas.openxmlformats.org/officeDocument/2006/relationships/hyperlink" Target="https://idvo.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usiness-humanrights.org/en/latest-news/european-commission-promises-mandatory-due-diligence-legislation-in-2021/" TargetMode="External"/><Relationship Id="rId7" Type="http://schemas.openxmlformats.org/officeDocument/2006/relationships/hyperlink" Target="https://www.oxfamnovib.nl/persberichten/oxfam-novib-evaluatie-imvo-convenanten-maakt-duidelijk-dat-wetgeving-noodzakelijk-is" TargetMode="External"/><Relationship Id="rId12" Type="http://schemas.openxmlformats.org/officeDocument/2006/relationships/hyperlink" Target="https://www.oxfamnovib.nl/persberichten/oeso-verklaart-milieuklacht-tegen-nederlands-oliebedrijf-pluspetrol-ontvankelijk" TargetMode="External"/><Relationship Id="rId17" Type="http://schemas.openxmlformats.org/officeDocument/2006/relationships/hyperlink" Target="https://www.tweedekamer.nl/kamerstukken/wetsvoorstellen/detail?id=2021Z04465&amp;dossier=3576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01.safelinks.protection.outlook.com/?url=https%3A%2F%2Fwww.lachambre.be%2FFLWB%2FPDF%2F55%2F1903%2F55K1903001.pdf&amp;data=04%7C01%7CPeter.Ras%40oxfamnovib.nl%7C62ac962a93384fa927ee08d92f4dafa8%7Cc42c6655bda0417590bab6e48cacd561%7C0%7C0%7C637592832962940262%7CUnknown%7CTWFpbGZsb3d8eyJWIjoiMC4wLjAwMDAiLCJQIjoiV2luMzIiLCJBTiI6Ik1haWwiLCJXVCI6Mn0%3D%7C1000&amp;sdata=cQBPLRKnFUELHEQsDCGVifwqEee3L6GWaKVBw1F9QHE%3D&amp;reserved=0" TargetMode="External"/><Relationship Id="rId20" Type="http://schemas.openxmlformats.org/officeDocument/2006/relationships/hyperlink" Target="https://corporatejustice.org/news/justice-delayed-10-years-of-un-guiding-princip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uurzaam-ondernemen.nl/onderzoek-nederlandse-olie-en-gassector-laat-mensenrechten-te-veel-buiten-beeld/"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ur01.safelinks.protection.outlook.com/?url=https%3A%2F%2Fwww.derstandard.at%2Fstory%2F2000124616695%2Fspoe-will-dass-konzerne-fuer-menschenrechte-entlang-der-lieferkette-haften&amp;data=04%7C01%7CPeter.Ras%40oxfamnovib.nl%7C62ac962a93384fa927ee08d92f4dafa8%7Cc42c6655bda0417590bab6e48cacd561%7C0%7C0%7C637592832962930261%7CUnknown%7CTWFpbGZsb3d8eyJWIjoiMC4wLjAwMDAiLCJQIjoiV2luMzIiLCJBTiI6Ik1haWwiLCJXVCI6Mn0%3D%7C1000&amp;sdata=GR%2BYJuQ7IS%2BscdCx66O1WgayHQpweRmGQF1M25mfWws%3D&amp;reserved=0" TargetMode="External"/><Relationship Id="rId23" Type="http://schemas.openxmlformats.org/officeDocument/2006/relationships/hyperlink" Target="https://www.europarl.europa.eu/doceo/document/A-9-2021-0018_EN.html" TargetMode="External"/><Relationship Id="rId10" Type="http://schemas.openxmlformats.org/officeDocument/2006/relationships/hyperlink" Target="https://www.tweedekamer.nl/downloads/document?id=b2ce4e69-5987-49ac-8b1a-66ca5b2df0ae&amp;title=Evaluation%20of%20the%20Dutch%20RBC%20Agreements%202014-2020.pdf" TargetMode="External"/><Relationship Id="rId19" Type="http://schemas.openxmlformats.org/officeDocument/2006/relationships/hyperlink" Target="https://www.nrc.nl/nieuws/2020/10/27/regel-nu-verantwoord-ondernemen-in-nederland-a4017524" TargetMode="External"/><Relationship Id="rId4" Type="http://schemas.openxmlformats.org/officeDocument/2006/relationships/webSettings" Target="webSettings.xml"/><Relationship Id="rId9" Type="http://schemas.openxmlformats.org/officeDocument/2006/relationships/hyperlink" Target="https://www.rijksoverheid.nl/documenten/rapporten/2019/11/22/bijlage-kamerbrief-inzake-iob-evaluatie-imvo-beleid" TargetMode="External"/><Relationship Id="rId14" Type="http://schemas.openxmlformats.org/officeDocument/2006/relationships/hyperlink" Target="https://vigilance-plan.org/wp-content/uploads/2019/06/2019-VPRG-English.pdf" TargetMode="External"/><Relationship Id="rId22" Type="http://schemas.openxmlformats.org/officeDocument/2006/relationships/hyperlink" Target="https://www.csreurope.org/newsbundle-articles/eu-due-diligence-law-proposal-delay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1828</ap:Words>
  <ap:Characters>10423</ap:Characters>
  <ap:DocSecurity>4</ap:DocSecurity>
  <ap:Lines>86</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2021-09-23T12:27:00.0000000Z</lastPrinted>
  <dcterms:created xsi:type="dcterms:W3CDTF">2021-09-23T12:33:00.0000000Z</dcterms:created>
  <dcterms:modified xsi:type="dcterms:W3CDTF">2021-09-23T12:33:00.0000000Z</dcterms:modified>
  <version/>
  <category/>
</coreProperties>
</file>