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id="0"/>
    <w:bookmarkEnd w:id="0"/>
    <w:p w:rsidR="00D65865" w:rsidRDefault="005A5DDA">
      <w:pPr>
        <w:pStyle w:val="Plattetekst"/>
        <w:ind w:left="3592"/>
        <w:rPr>
          <w:rFonts w:ascii="Times New Roman" w:hAnsi="Times New Roman" w:eastAsia="Times New Roman" w:cs="Times New Roman"/>
          <w:sz w:val="20"/>
          <w:szCs w:val="20"/>
        </w:rPr>
      </w:pPr>
      <w:r>
        <w:rPr>
          <w:rFonts w:ascii="Times New Roman" w:hAnsi="Times New Roman" w:eastAsia="Times New Roman" w:cs="Times New Roman"/>
          <w:noProof/>
          <w:sz w:val="20"/>
          <w:szCs w:val="20"/>
          <w:lang w:val="nl-NL"/>
        </w:rPr>
        <mc:AlternateContent>
          <mc:Choice Requires="wps">
            <w:drawing>
              <wp:inline distT="0" distB="0" distL="0" distR="0" wp14:anchorId="65A2BC63" wp14:editId="2F22192D">
                <wp:extent cx="1019810" cy="360045"/>
                <wp:effectExtent l="0" t="0" r="0" b="0"/>
                <wp:docPr id="1073741826" name="officeArt object" descr="AutoShape 3"/>
                <wp:cNvGraphicFramePr/>
                <a:graphic xmlns:a="http://schemas.openxmlformats.org/drawingml/2006/main">
                  <a:graphicData uri="http://schemas.microsoft.com/office/word/2010/wordprocessingShape">
                    <wps:wsp>
                      <wps:cNvSpPr/>
                      <wps:spPr>
                        <a:xfrm>
                          <a:off x="0" y="0"/>
                          <a:ext cx="1019810" cy="360045"/>
                        </a:xfrm>
                        <a:custGeom>
                          <a:avLst/>
                          <a:gdLst/>
                          <a:ahLst/>
                          <a:cxnLst>
                            <a:cxn ang="0">
                              <a:pos x="wd2" y="hd2"/>
                            </a:cxn>
                            <a:cxn ang="5400000">
                              <a:pos x="wd2" y="hd2"/>
                            </a:cxn>
                            <a:cxn ang="10800000">
                              <a:pos x="wd2" y="hd2"/>
                            </a:cxn>
                            <a:cxn ang="16200000">
                              <a:pos x="wd2" y="hd2"/>
                            </a:cxn>
                          </a:cxnLst>
                          <a:rect l="0" t="0" r="r" b="b"/>
                          <a:pathLst>
                            <a:path w="21600" h="21600" extrusionOk="0">
                              <a:moveTo>
                                <a:pt x="19219" y="3543"/>
                              </a:moveTo>
                              <a:lnTo>
                                <a:pt x="17740" y="3543"/>
                              </a:lnTo>
                              <a:lnTo>
                                <a:pt x="17740" y="21600"/>
                              </a:lnTo>
                              <a:lnTo>
                                <a:pt x="19219" y="21600"/>
                              </a:lnTo>
                              <a:lnTo>
                                <a:pt x="19219" y="3543"/>
                              </a:lnTo>
                              <a:close/>
                              <a:moveTo>
                                <a:pt x="21600" y="0"/>
                              </a:moveTo>
                              <a:lnTo>
                                <a:pt x="15346" y="0"/>
                              </a:lnTo>
                              <a:lnTo>
                                <a:pt x="15346" y="3543"/>
                              </a:lnTo>
                              <a:lnTo>
                                <a:pt x="21600" y="3543"/>
                              </a:lnTo>
                              <a:lnTo>
                                <a:pt x="21600" y="0"/>
                              </a:lnTo>
                              <a:close/>
                              <a:moveTo>
                                <a:pt x="14512" y="0"/>
                              </a:moveTo>
                              <a:lnTo>
                                <a:pt x="12212" y="0"/>
                              </a:lnTo>
                              <a:lnTo>
                                <a:pt x="12212" y="21600"/>
                              </a:lnTo>
                              <a:lnTo>
                                <a:pt x="14512" y="21600"/>
                              </a:lnTo>
                              <a:lnTo>
                                <a:pt x="14512" y="18019"/>
                              </a:lnTo>
                              <a:lnTo>
                                <a:pt x="13463" y="18019"/>
                              </a:lnTo>
                              <a:lnTo>
                                <a:pt x="13463" y="3543"/>
                              </a:lnTo>
                              <a:lnTo>
                                <a:pt x="14512" y="3543"/>
                              </a:lnTo>
                              <a:lnTo>
                                <a:pt x="14512" y="0"/>
                              </a:lnTo>
                              <a:close/>
                              <a:moveTo>
                                <a:pt x="11540" y="0"/>
                              </a:moveTo>
                              <a:lnTo>
                                <a:pt x="9240" y="0"/>
                              </a:lnTo>
                              <a:lnTo>
                                <a:pt x="9240" y="3543"/>
                              </a:lnTo>
                              <a:lnTo>
                                <a:pt x="10289" y="3543"/>
                              </a:lnTo>
                              <a:lnTo>
                                <a:pt x="10289" y="18019"/>
                              </a:lnTo>
                              <a:lnTo>
                                <a:pt x="9240" y="18019"/>
                              </a:lnTo>
                              <a:lnTo>
                                <a:pt x="9240" y="21600"/>
                              </a:lnTo>
                              <a:lnTo>
                                <a:pt x="11540" y="21600"/>
                              </a:lnTo>
                              <a:lnTo>
                                <a:pt x="11540" y="0"/>
                              </a:lnTo>
                              <a:close/>
                              <a:moveTo>
                                <a:pt x="1937" y="0"/>
                              </a:moveTo>
                              <a:lnTo>
                                <a:pt x="0" y="0"/>
                              </a:lnTo>
                              <a:lnTo>
                                <a:pt x="0" y="21600"/>
                              </a:lnTo>
                              <a:lnTo>
                                <a:pt x="1399" y="21600"/>
                              </a:lnTo>
                              <a:lnTo>
                                <a:pt x="1399" y="6514"/>
                              </a:lnTo>
                              <a:lnTo>
                                <a:pt x="2878" y="6514"/>
                              </a:lnTo>
                              <a:lnTo>
                                <a:pt x="1937" y="0"/>
                              </a:lnTo>
                              <a:close/>
                              <a:moveTo>
                                <a:pt x="2878" y="6514"/>
                              </a:moveTo>
                              <a:lnTo>
                                <a:pt x="1399" y="6514"/>
                              </a:lnTo>
                              <a:lnTo>
                                <a:pt x="3564" y="21600"/>
                              </a:lnTo>
                              <a:lnTo>
                                <a:pt x="4788" y="21600"/>
                              </a:lnTo>
                              <a:lnTo>
                                <a:pt x="5635" y="15657"/>
                              </a:lnTo>
                              <a:lnTo>
                                <a:pt x="4196" y="15657"/>
                              </a:lnTo>
                              <a:lnTo>
                                <a:pt x="2878" y="6514"/>
                              </a:lnTo>
                              <a:close/>
                              <a:moveTo>
                                <a:pt x="8406" y="6400"/>
                              </a:moveTo>
                              <a:lnTo>
                                <a:pt x="6953" y="6400"/>
                              </a:lnTo>
                              <a:lnTo>
                                <a:pt x="6953" y="21600"/>
                              </a:lnTo>
                              <a:lnTo>
                                <a:pt x="8406" y="21600"/>
                              </a:lnTo>
                              <a:lnTo>
                                <a:pt x="8406" y="6400"/>
                              </a:lnTo>
                              <a:close/>
                              <a:moveTo>
                                <a:pt x="8406" y="0"/>
                              </a:moveTo>
                              <a:lnTo>
                                <a:pt x="6402" y="0"/>
                              </a:lnTo>
                              <a:lnTo>
                                <a:pt x="4196" y="15657"/>
                              </a:lnTo>
                              <a:lnTo>
                                <a:pt x="5635" y="15657"/>
                              </a:lnTo>
                              <a:lnTo>
                                <a:pt x="6953" y="6400"/>
                              </a:lnTo>
                              <a:lnTo>
                                <a:pt x="8406" y="6400"/>
                              </a:lnTo>
                              <a:lnTo>
                                <a:pt x="8406" y="0"/>
                              </a:lnTo>
                              <a:close/>
                            </a:path>
                          </a:pathLst>
                        </a:custGeom>
                        <a:solidFill>
                          <a:srgbClr val="384D95"/>
                        </a:solidFill>
                        <a:ln w="12700" cap="flat">
                          <a:noFill/>
                          <a:miter lim="400000"/>
                        </a:ln>
                        <a:effectLst/>
                      </wps:spPr>
                      <wps:bodyPr/>
                    </wps:wsp>
                  </a:graphicData>
                </a:graphic>
              </wp:inline>
            </w:drawing>
          </mc:Choice>
          <mc:Fallback xmlns:w16se="http://schemas.microsoft.com/office/word/2015/wordml/symex" xmlns:cx1="http://schemas.microsoft.com/office/drawing/2015/9/8/chartex" xmlns:cx="http://schemas.microsoft.com/office/drawing/2014/chartex">
            <w:pict>
              <v:shape id="officeArt object" style="width:80.3pt;height:28.35pt;visibility:visible;mso-wrap-style:square;mso-left-percent:-10001;mso-top-percent:-10001;mso-position-horizontal:absolute;mso-position-horizontal-relative:char;mso-position-vertical:absolute;mso-position-vertical-relative:line;mso-left-percent:-10001;mso-top-percent:-10001;v-text-anchor:top" alt="AutoShape 3" coordsize="21600,21600" o:spid="_x0000_s1026" fillcolor="#384d95" stroked="f" strokeweight="1pt" path="m19219,3543r-1479,l17740,21600r1479,l19219,3543xm21600,l15346,r,3543l21600,3543,21600,xm14512,l12212,r,21600l14512,21600r,-3581l13463,18019r,-14476l14512,3543,14512,xm11540,l9240,r,3543l10289,3543r,14476l9240,18019r,3581l11540,21600,11540,xm1937,l,,,21600r1399,l1399,6514r1479,l1937,xm2878,6514r-1479,l3564,21600r1224,l5635,15657r-1439,l2878,6514xm8406,6400r-1453,l6953,21600r1453,l8406,6400xm8406,l6402,,4196,15657r1439,l6953,6400r1453,l840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" w14:anchorId="0D7EF893">
                <v:stroke miterlimit="4" joinstyle="miter"/>
                <v:path arrowok="t" o:connecttype="custom" o:connectlocs="509905,180023;509905,180023;509905,180023;509905,180023" o:connectangles="0,90,180,270" o:extrusionok="f"/>
                <w10:anchorlock/>
              </v:shape>
            </w:pict>
          </mc:Fallback>
        </mc:AlternateContent>
      </w:r>
    </w:p>
    <w:p w:rsidRPr="00973B12" w:rsidR="00D65865" w:rsidRDefault="005A5DDA">
      <w:pPr>
        <w:pStyle w:val="Kop1"/>
        <w:rPr>
          <w:sz w:val="28"/>
          <w:szCs w:val="28"/>
          <w:lang w:val="nl-NL"/>
        </w:rPr>
      </w:pPr>
      <w:r w:rsidRPr="00973B12">
        <w:rPr>
          <w:sz w:val="28"/>
          <w:szCs w:val="28"/>
          <w:lang w:val="nl-NL"/>
        </w:rPr>
        <w:t>Gespreksnotitie MIT ten behoeve van rondetafelgesprek MIT 16-09-2021</w:t>
      </w:r>
    </w:p>
    <w:p w:rsidR="00D65865" w:rsidRDefault="00D65865">
      <w:pPr>
        <w:rPr>
          <w:lang w:val="nl-NL"/>
        </w:rPr>
      </w:pPr>
    </w:p>
    <w:p w:rsidR="00D65865" w:rsidP="00920623" w:rsidRDefault="005A5DDA">
      <w:pPr>
        <w:rPr>
          <w:lang w:val="nl-NL"/>
        </w:rPr>
      </w:pPr>
      <w:r>
        <w:rPr>
          <w:lang w:val="nl-NL"/>
        </w:rPr>
        <w:t xml:space="preserve">Het MIT biedt een unieke, data- en intelligence gedreven aanpak van de georganiseerde ondermijnende criminaliteit in Nederland. </w:t>
      </w:r>
      <w:r w:rsidR="00920623">
        <w:rPr>
          <w:lang w:val="nl-NL"/>
        </w:rPr>
        <w:t>Het bundelt de krachten van toezicht-</w:t>
      </w:r>
      <w:r w:rsidR="005A6DAE">
        <w:rPr>
          <w:lang w:val="nl-NL"/>
        </w:rPr>
        <w:t>,</w:t>
      </w:r>
      <w:r w:rsidR="00920623">
        <w:rPr>
          <w:lang w:val="nl-NL"/>
        </w:rPr>
        <w:t xml:space="preserve"> handhavings- en opsporingsorganisaties. </w:t>
      </w:r>
      <w:r>
        <w:rPr>
          <w:lang w:val="nl-NL"/>
        </w:rPr>
        <w:t xml:space="preserve">Dat is van groot belang en het MIT is de Kamercommissie dan ook zeer erkentelijk voor deze mogelijkheid om de meerwaarde van het MIT toe te lichten. </w:t>
      </w:r>
    </w:p>
    <w:p w:rsidR="00D65865" w:rsidRDefault="00D65865">
      <w:pPr>
        <w:rPr>
          <w:lang w:val="nl-NL"/>
        </w:rPr>
      </w:pPr>
    </w:p>
    <w:p w:rsidRPr="00202FCB" w:rsidR="00D65865" w:rsidP="00FD506E" w:rsidRDefault="005A5DDA">
      <w:pPr>
        <w:rPr>
          <w:color w:val="auto"/>
          <w:lang w:val="nl-NL"/>
        </w:rPr>
      </w:pPr>
      <w:r>
        <w:rPr>
          <w:lang w:val="nl-NL"/>
        </w:rPr>
        <w:t xml:space="preserve">Deze maand is het twee jaar geleden dat advocaat Derk </w:t>
      </w:r>
      <w:proofErr w:type="spellStart"/>
      <w:r>
        <w:rPr>
          <w:lang w:val="nl-NL"/>
        </w:rPr>
        <w:t>Wiersum</w:t>
      </w:r>
      <w:proofErr w:type="spellEnd"/>
      <w:r>
        <w:rPr>
          <w:lang w:val="nl-NL"/>
        </w:rPr>
        <w:t xml:space="preserve"> werd vermoord. Een schokgolf ging door Nederland; dergelijke grenzen waren niet eerder overschreden in ons land. </w:t>
      </w:r>
      <w:r w:rsidR="008F6F66">
        <w:rPr>
          <w:lang w:val="nl-NL"/>
        </w:rPr>
        <w:t xml:space="preserve">De </w:t>
      </w:r>
      <w:r>
        <w:rPr>
          <w:lang w:val="nl-NL"/>
        </w:rPr>
        <w:t xml:space="preserve">gigantische bedragen die omgaan in de georganiseerde criminaliteit maken de belangen </w:t>
      </w:r>
      <w:r w:rsidR="00FD506E">
        <w:rPr>
          <w:lang w:val="nl-NL"/>
        </w:rPr>
        <w:t xml:space="preserve">kennelijk </w:t>
      </w:r>
      <w:r>
        <w:rPr>
          <w:lang w:val="nl-NL"/>
        </w:rPr>
        <w:t xml:space="preserve">zo groot, dat criminelen hevig geweld niet schuwen, met </w:t>
      </w:r>
      <w:r w:rsidR="00040A4D">
        <w:rPr>
          <w:lang w:val="nl-NL"/>
        </w:rPr>
        <w:t xml:space="preserve">‘vergismoorden’ en </w:t>
      </w:r>
      <w:r>
        <w:rPr>
          <w:lang w:val="nl-NL"/>
        </w:rPr>
        <w:t>moorden</w:t>
      </w:r>
      <w:r w:rsidR="008F6F66">
        <w:rPr>
          <w:lang w:val="nl-NL"/>
        </w:rPr>
        <w:t xml:space="preserve"> tot gevolg</w:t>
      </w:r>
      <w:r>
        <w:rPr>
          <w:lang w:val="nl-NL"/>
        </w:rPr>
        <w:t xml:space="preserve">. Dat werd onlangs </w:t>
      </w:r>
      <w:r w:rsidRPr="00202FCB">
        <w:rPr>
          <w:color w:val="auto"/>
          <w:lang w:val="nl-NL"/>
        </w:rPr>
        <w:t xml:space="preserve">weer pijnlijk duidelijk met moord op Peter R. de Vries. </w:t>
      </w:r>
    </w:p>
    <w:p w:rsidRPr="00202FCB" w:rsidR="00D65865" w:rsidRDefault="00D65865">
      <w:pPr>
        <w:rPr>
          <w:color w:val="auto"/>
          <w:lang w:val="nl-NL"/>
        </w:rPr>
      </w:pPr>
    </w:p>
    <w:p w:rsidRPr="00202FCB" w:rsidR="00F35B86" w:rsidP="00E26D8F" w:rsidRDefault="000C2CDF">
      <w:pPr>
        <w:pStyle w:val="Default"/>
        <w:rPr>
          <w:rFonts w:ascii="Arial" w:hAnsi="Arial" w:cs="Arial"/>
          <w:color w:val="auto"/>
          <w:sz w:val="22"/>
          <w:szCs w:val="22"/>
        </w:rPr>
      </w:pPr>
      <w:r w:rsidRPr="00202FCB">
        <w:rPr>
          <w:rFonts w:ascii="Arial" w:hAnsi="Arial" w:cs="Arial"/>
          <w:color w:val="auto"/>
          <w:sz w:val="22"/>
          <w:szCs w:val="22"/>
        </w:rPr>
        <w:t xml:space="preserve">De huidige </w:t>
      </w:r>
      <w:r w:rsidRPr="00202FCB" w:rsidR="00F35B86">
        <w:rPr>
          <w:rFonts w:ascii="Arial" w:hAnsi="Arial" w:cs="Arial"/>
          <w:color w:val="auto"/>
          <w:sz w:val="22"/>
          <w:szCs w:val="22"/>
        </w:rPr>
        <w:t>capaciteit voor de aanpak van georganiseerde crimina</w:t>
      </w:r>
      <w:r w:rsidRPr="00202FCB" w:rsidR="005A5DDA">
        <w:rPr>
          <w:rFonts w:ascii="Arial" w:hAnsi="Arial" w:cs="Arial"/>
          <w:color w:val="auto"/>
          <w:sz w:val="22"/>
          <w:szCs w:val="22"/>
        </w:rPr>
        <w:t>l</w:t>
      </w:r>
      <w:r w:rsidR="008F2A63">
        <w:rPr>
          <w:rFonts w:ascii="Arial" w:hAnsi="Arial" w:cs="Arial"/>
          <w:color w:val="auto"/>
          <w:sz w:val="22"/>
          <w:szCs w:val="22"/>
        </w:rPr>
        <w:t>iteit is</w:t>
      </w:r>
      <w:r w:rsidR="00DE7C00">
        <w:rPr>
          <w:rFonts w:ascii="Arial" w:hAnsi="Arial" w:cs="Arial"/>
          <w:color w:val="auto"/>
          <w:sz w:val="22"/>
          <w:szCs w:val="22"/>
        </w:rPr>
        <w:t xml:space="preserve"> </w:t>
      </w:r>
      <w:r w:rsidR="005A6DAE">
        <w:rPr>
          <w:rFonts w:ascii="Arial" w:hAnsi="Arial" w:cs="Arial"/>
          <w:color w:val="auto"/>
          <w:sz w:val="22"/>
          <w:szCs w:val="22"/>
        </w:rPr>
        <w:t xml:space="preserve">beperkt, </w:t>
      </w:r>
      <w:r w:rsidR="008F2A63">
        <w:rPr>
          <w:rFonts w:ascii="Arial" w:hAnsi="Arial" w:cs="Arial"/>
          <w:color w:val="auto"/>
          <w:sz w:val="22"/>
          <w:szCs w:val="22"/>
        </w:rPr>
        <w:t>versnipperd</w:t>
      </w:r>
      <w:r w:rsidR="00E26D8F">
        <w:rPr>
          <w:rFonts w:ascii="Arial" w:hAnsi="Arial" w:cs="Arial"/>
          <w:color w:val="auto"/>
          <w:sz w:val="22"/>
          <w:szCs w:val="22"/>
        </w:rPr>
        <w:t xml:space="preserve"> en op onderdelen onvoldoende om impact te hebben</w:t>
      </w:r>
      <w:r w:rsidRPr="00202FCB" w:rsidR="00F35B86">
        <w:rPr>
          <w:rFonts w:ascii="Arial" w:hAnsi="Arial" w:cs="Arial"/>
          <w:color w:val="auto"/>
          <w:sz w:val="22"/>
          <w:szCs w:val="22"/>
        </w:rPr>
        <w:t>. Strafrechtelijke onderzoeken duren lang</w:t>
      </w:r>
      <w:r w:rsidRPr="00202FCB" w:rsidR="00202FCB">
        <w:rPr>
          <w:rFonts w:ascii="Arial" w:hAnsi="Arial" w:cs="Arial"/>
          <w:color w:val="auto"/>
          <w:sz w:val="22"/>
          <w:szCs w:val="22"/>
        </w:rPr>
        <w:t>,</w:t>
      </w:r>
      <w:r w:rsidRPr="00202FCB" w:rsidR="00F35B86">
        <w:rPr>
          <w:rFonts w:ascii="Arial" w:hAnsi="Arial" w:cs="Arial"/>
          <w:color w:val="auto"/>
          <w:sz w:val="22"/>
          <w:szCs w:val="22"/>
        </w:rPr>
        <w:t xml:space="preserve"> kosten veel capaciteit en leiden vaak</w:t>
      </w:r>
      <w:r w:rsidR="0044091A">
        <w:rPr>
          <w:rFonts w:ascii="Arial" w:hAnsi="Arial" w:cs="Arial"/>
          <w:color w:val="auto"/>
          <w:sz w:val="22"/>
          <w:szCs w:val="22"/>
        </w:rPr>
        <w:t xml:space="preserve"> pas</w:t>
      </w:r>
      <w:r w:rsidRPr="00202FCB" w:rsidR="00F35B86">
        <w:rPr>
          <w:rFonts w:ascii="Arial" w:hAnsi="Arial" w:cs="Arial"/>
          <w:color w:val="auto"/>
          <w:sz w:val="22"/>
          <w:szCs w:val="22"/>
        </w:rPr>
        <w:t xml:space="preserve"> na jaren tot </w:t>
      </w:r>
      <w:r w:rsidRPr="00202FCB" w:rsidR="00202FCB">
        <w:rPr>
          <w:rFonts w:ascii="Arial" w:hAnsi="Arial" w:cs="Arial"/>
          <w:color w:val="auto"/>
          <w:sz w:val="22"/>
          <w:szCs w:val="22"/>
        </w:rPr>
        <w:t>een uitkomst</w:t>
      </w:r>
      <w:r w:rsidRPr="00202FCB" w:rsidR="00F35B86">
        <w:rPr>
          <w:rFonts w:ascii="Arial" w:hAnsi="Arial" w:cs="Arial"/>
          <w:color w:val="auto"/>
          <w:sz w:val="22"/>
          <w:szCs w:val="22"/>
        </w:rPr>
        <w:t xml:space="preserve">. Het is, gezien de omvang van de </w:t>
      </w:r>
      <w:r w:rsidRPr="00202FCB">
        <w:rPr>
          <w:rFonts w:ascii="Arial" w:hAnsi="Arial" w:cs="Arial"/>
          <w:color w:val="auto"/>
          <w:sz w:val="22"/>
          <w:szCs w:val="22"/>
        </w:rPr>
        <w:t>(</w:t>
      </w:r>
      <w:proofErr w:type="spellStart"/>
      <w:r w:rsidRPr="00202FCB" w:rsidR="00F35B86">
        <w:rPr>
          <w:rFonts w:ascii="Arial" w:hAnsi="Arial" w:cs="Arial"/>
          <w:color w:val="auto"/>
          <w:sz w:val="22"/>
          <w:szCs w:val="22"/>
        </w:rPr>
        <w:t>opsporings</w:t>
      </w:r>
      <w:proofErr w:type="spellEnd"/>
      <w:r w:rsidRPr="00202FCB">
        <w:rPr>
          <w:rFonts w:ascii="Arial" w:hAnsi="Arial" w:cs="Arial"/>
          <w:color w:val="auto"/>
          <w:sz w:val="22"/>
          <w:szCs w:val="22"/>
        </w:rPr>
        <w:t>)</w:t>
      </w:r>
      <w:r w:rsidRPr="00202FCB" w:rsidR="00F35B86">
        <w:rPr>
          <w:rFonts w:ascii="Arial" w:hAnsi="Arial" w:cs="Arial"/>
          <w:color w:val="auto"/>
          <w:sz w:val="22"/>
          <w:szCs w:val="22"/>
        </w:rPr>
        <w:t>capaciteit in Nederland</w:t>
      </w:r>
      <w:r w:rsidRPr="00202FCB">
        <w:rPr>
          <w:rFonts w:ascii="Arial" w:hAnsi="Arial" w:cs="Arial"/>
          <w:color w:val="auto"/>
          <w:sz w:val="22"/>
          <w:szCs w:val="22"/>
        </w:rPr>
        <w:t xml:space="preserve"> </w:t>
      </w:r>
      <w:r w:rsidR="000767F6">
        <w:rPr>
          <w:rFonts w:ascii="Arial" w:hAnsi="Arial" w:cs="Arial"/>
          <w:color w:val="auto"/>
          <w:sz w:val="22"/>
          <w:szCs w:val="22"/>
        </w:rPr>
        <w:t xml:space="preserve">en </w:t>
      </w:r>
      <w:r w:rsidRPr="00202FCB" w:rsidR="00F35B86">
        <w:rPr>
          <w:rFonts w:ascii="Arial" w:hAnsi="Arial" w:cs="Arial"/>
          <w:color w:val="auto"/>
          <w:sz w:val="22"/>
          <w:szCs w:val="22"/>
        </w:rPr>
        <w:t xml:space="preserve">gezien de omvang </w:t>
      </w:r>
      <w:r w:rsidRPr="00202FCB" w:rsidR="004B0191">
        <w:rPr>
          <w:rFonts w:ascii="Arial" w:hAnsi="Arial" w:cs="Arial"/>
          <w:color w:val="auto"/>
          <w:sz w:val="22"/>
          <w:szCs w:val="22"/>
        </w:rPr>
        <w:t xml:space="preserve">van </w:t>
      </w:r>
      <w:r w:rsidR="008F2A63">
        <w:rPr>
          <w:rFonts w:ascii="Arial" w:hAnsi="Arial" w:cs="Arial"/>
          <w:color w:val="auto"/>
          <w:sz w:val="22"/>
          <w:szCs w:val="22"/>
        </w:rPr>
        <w:t xml:space="preserve">de criminele netwerken, niet </w:t>
      </w:r>
      <w:r w:rsidRPr="00202FCB" w:rsidR="00F35B86">
        <w:rPr>
          <w:rFonts w:ascii="Arial" w:hAnsi="Arial" w:cs="Arial"/>
          <w:color w:val="auto"/>
          <w:sz w:val="22"/>
          <w:szCs w:val="22"/>
        </w:rPr>
        <w:t xml:space="preserve">realistisch dat criminele netwerken </w:t>
      </w:r>
      <w:r w:rsidR="0044091A">
        <w:rPr>
          <w:rFonts w:ascii="Arial" w:hAnsi="Arial" w:cs="Arial"/>
          <w:color w:val="auto"/>
          <w:sz w:val="22"/>
          <w:szCs w:val="22"/>
        </w:rPr>
        <w:t>zich laten stoppen</w:t>
      </w:r>
      <w:r w:rsidRPr="00202FCB" w:rsidR="00F35B86">
        <w:rPr>
          <w:rFonts w:ascii="Arial" w:hAnsi="Arial" w:cs="Arial"/>
          <w:color w:val="auto"/>
          <w:sz w:val="22"/>
          <w:szCs w:val="22"/>
        </w:rPr>
        <w:t xml:space="preserve"> door </w:t>
      </w:r>
      <w:r w:rsidRPr="00202FCB">
        <w:rPr>
          <w:rFonts w:ascii="Arial" w:hAnsi="Arial" w:cs="Arial"/>
          <w:color w:val="auto"/>
          <w:sz w:val="22"/>
          <w:szCs w:val="22"/>
        </w:rPr>
        <w:t>de huidige aanpak</w:t>
      </w:r>
      <w:r w:rsidRPr="00202FCB" w:rsidR="00F35B86">
        <w:rPr>
          <w:rFonts w:ascii="Arial" w:hAnsi="Arial" w:cs="Arial"/>
          <w:color w:val="auto"/>
          <w:sz w:val="22"/>
          <w:szCs w:val="22"/>
        </w:rPr>
        <w:t xml:space="preserve">. Intensivering van alleen de </w:t>
      </w:r>
      <w:r w:rsidRPr="00202FCB">
        <w:rPr>
          <w:rFonts w:ascii="Arial" w:hAnsi="Arial" w:cs="Arial"/>
          <w:color w:val="auto"/>
          <w:sz w:val="22"/>
          <w:szCs w:val="22"/>
        </w:rPr>
        <w:t>bestaande</w:t>
      </w:r>
      <w:r w:rsidRPr="00202FCB" w:rsidR="00F35B86">
        <w:rPr>
          <w:rFonts w:ascii="Arial" w:hAnsi="Arial" w:cs="Arial"/>
          <w:color w:val="auto"/>
          <w:sz w:val="22"/>
          <w:szCs w:val="22"/>
        </w:rPr>
        <w:t xml:space="preserve"> aanpak </w:t>
      </w:r>
      <w:r w:rsidR="00E26D8F">
        <w:rPr>
          <w:rFonts w:ascii="Arial" w:hAnsi="Arial" w:cs="Arial"/>
          <w:color w:val="auto"/>
          <w:sz w:val="22"/>
          <w:szCs w:val="22"/>
        </w:rPr>
        <w:t xml:space="preserve">leidt </w:t>
      </w:r>
      <w:r w:rsidR="00A00A31">
        <w:rPr>
          <w:rFonts w:ascii="Arial" w:hAnsi="Arial" w:cs="Arial"/>
          <w:color w:val="auto"/>
          <w:sz w:val="22"/>
          <w:szCs w:val="22"/>
        </w:rPr>
        <w:t xml:space="preserve">tot </w:t>
      </w:r>
      <w:r w:rsidR="00321C3A">
        <w:rPr>
          <w:rFonts w:ascii="Arial" w:hAnsi="Arial" w:cs="Arial"/>
          <w:color w:val="auto"/>
          <w:sz w:val="22"/>
          <w:szCs w:val="22"/>
        </w:rPr>
        <w:t>een wedloop</w:t>
      </w:r>
      <w:r w:rsidRPr="00202FCB" w:rsidR="00F35B86">
        <w:rPr>
          <w:rFonts w:ascii="Arial" w:hAnsi="Arial" w:cs="Arial"/>
          <w:color w:val="auto"/>
          <w:sz w:val="22"/>
          <w:szCs w:val="22"/>
        </w:rPr>
        <w:t xml:space="preserve"> met targets en groepen die buiten schot</w:t>
      </w:r>
      <w:r w:rsidRPr="00202FCB" w:rsidR="004B0191">
        <w:rPr>
          <w:rFonts w:ascii="Arial" w:hAnsi="Arial" w:cs="Arial"/>
          <w:color w:val="auto"/>
          <w:sz w:val="22"/>
          <w:szCs w:val="22"/>
        </w:rPr>
        <w:t xml:space="preserve"> proberen te blijven. Dit kan uitmonden </w:t>
      </w:r>
      <w:r w:rsidRPr="00202FCB" w:rsidR="00F35B86">
        <w:rPr>
          <w:rFonts w:ascii="Arial" w:hAnsi="Arial" w:cs="Arial"/>
          <w:color w:val="auto"/>
          <w:sz w:val="22"/>
          <w:szCs w:val="22"/>
        </w:rPr>
        <w:t xml:space="preserve">in </w:t>
      </w:r>
      <w:r w:rsidR="00DE7C00">
        <w:rPr>
          <w:rFonts w:ascii="Arial" w:hAnsi="Arial" w:cs="Arial"/>
          <w:color w:val="auto"/>
          <w:sz w:val="22"/>
          <w:szCs w:val="22"/>
        </w:rPr>
        <w:t xml:space="preserve">steeds </w:t>
      </w:r>
      <w:r w:rsidR="0044091A">
        <w:rPr>
          <w:rFonts w:ascii="Arial" w:hAnsi="Arial" w:cs="Arial"/>
          <w:color w:val="auto"/>
          <w:sz w:val="22"/>
          <w:szCs w:val="22"/>
        </w:rPr>
        <w:t xml:space="preserve">toenemend </w:t>
      </w:r>
      <w:r w:rsidRPr="00202FCB" w:rsidR="00F35B86">
        <w:rPr>
          <w:rFonts w:ascii="Arial" w:hAnsi="Arial" w:cs="Arial"/>
          <w:color w:val="auto"/>
          <w:sz w:val="22"/>
          <w:szCs w:val="22"/>
        </w:rPr>
        <w:t xml:space="preserve">extreem geweld </w:t>
      </w:r>
      <w:r w:rsidRPr="00202FCB" w:rsidR="001E069C">
        <w:rPr>
          <w:rFonts w:ascii="Arial" w:hAnsi="Arial" w:cs="Arial"/>
          <w:color w:val="auto"/>
          <w:sz w:val="22"/>
          <w:szCs w:val="22"/>
        </w:rPr>
        <w:t xml:space="preserve">en corruptie, zoals inmiddels zichtbaar is </w:t>
      </w:r>
      <w:r w:rsidRPr="00202FCB" w:rsidR="00F35B86">
        <w:rPr>
          <w:rFonts w:ascii="Arial" w:hAnsi="Arial" w:cs="Arial"/>
          <w:color w:val="auto"/>
          <w:sz w:val="22"/>
          <w:szCs w:val="22"/>
        </w:rPr>
        <w:t>in landen als</w:t>
      </w:r>
      <w:r w:rsidRPr="00202FCB" w:rsidR="001E069C">
        <w:rPr>
          <w:rFonts w:ascii="Arial" w:hAnsi="Arial" w:cs="Arial"/>
          <w:color w:val="auto"/>
          <w:sz w:val="22"/>
          <w:szCs w:val="22"/>
        </w:rPr>
        <w:t xml:space="preserve"> Mexico en Colombia</w:t>
      </w:r>
      <w:r w:rsidRPr="00202FCB" w:rsidR="00F35B86">
        <w:rPr>
          <w:rFonts w:ascii="Arial" w:hAnsi="Arial" w:cs="Arial"/>
          <w:color w:val="auto"/>
          <w:sz w:val="22"/>
          <w:szCs w:val="22"/>
        </w:rPr>
        <w:t xml:space="preserve">. </w:t>
      </w:r>
    </w:p>
    <w:p w:rsidR="00F35B86" w:rsidRDefault="00F35B86">
      <w:pPr>
        <w:rPr>
          <w:lang w:val="nl-NL"/>
        </w:rPr>
      </w:pPr>
    </w:p>
    <w:p w:rsidRPr="00BE4022" w:rsidR="00D65865" w:rsidP="008F2A63" w:rsidRDefault="005A5DDA">
      <w:pPr>
        <w:rPr>
          <w:lang w:val="nl-NL"/>
        </w:rPr>
      </w:pPr>
      <w:r>
        <w:rPr>
          <w:lang w:val="nl-NL"/>
        </w:rPr>
        <w:t xml:space="preserve">Het is een enorme uitdaging om grip op georganiseerde ondermijnende criminaliteit te krijgen en te houden. </w:t>
      </w:r>
      <w:r w:rsidR="008F2A63">
        <w:rPr>
          <w:lang w:val="nl-NL"/>
        </w:rPr>
        <w:t>Er is iets extra’s nodig.</w:t>
      </w:r>
      <w:r>
        <w:rPr>
          <w:lang w:val="nl-NL"/>
        </w:rPr>
        <w:t xml:space="preserve"> De oprichting </w:t>
      </w:r>
      <w:r w:rsidR="008B3CA0">
        <w:rPr>
          <w:lang w:val="nl-NL"/>
        </w:rPr>
        <w:t>van het MIT</w:t>
      </w:r>
      <w:r>
        <w:rPr>
          <w:lang w:val="nl-NL"/>
        </w:rPr>
        <w:t>, dat onderdeel uitmaakt van het ‘Breed Offensief Tegen georganiseerde Ondermijnende Criminaliteit’ (BOTOC)</w:t>
      </w:r>
      <w:r>
        <w:rPr>
          <w:vertAlign w:val="superscript"/>
        </w:rPr>
        <w:footnoteReference w:id="2"/>
      </w:r>
      <w:r>
        <w:rPr>
          <w:lang w:val="nl-NL"/>
        </w:rPr>
        <w:t>, is daartoe een belangrijke stap.</w:t>
      </w:r>
      <w:r w:rsidR="008B3CA0">
        <w:rPr>
          <w:lang w:val="nl-NL"/>
        </w:rPr>
        <w:t xml:space="preserve"> Het MIT heeft</w:t>
      </w:r>
      <w:r>
        <w:rPr>
          <w:lang w:val="nl-NL"/>
        </w:rPr>
        <w:t xml:space="preserve"> tot doel criminele structuren, bedrijfsprocessen en verdienmodellen, die verweven zijn met of misbruik maken van legale structuren en de legale economie bloot te leggen. Hierbij is specifieke aandacht voor vormen van (</w:t>
      </w:r>
      <w:proofErr w:type="spellStart"/>
      <w:r>
        <w:rPr>
          <w:lang w:val="nl-NL"/>
        </w:rPr>
        <w:t>inter</w:t>
      </w:r>
      <w:proofErr w:type="spellEnd"/>
      <w:r>
        <w:rPr>
          <w:lang w:val="nl-NL"/>
        </w:rPr>
        <w:t>)nationale georganiseerde ondermijnende criminaliteit die een bedreiging vormen voor de democratische rechtsorde en de nationale veiligheid.</w:t>
      </w:r>
      <w:r>
        <w:rPr>
          <w:vertAlign w:val="superscript"/>
        </w:rPr>
        <w:footnoteReference w:id="3"/>
      </w:r>
      <w:r>
        <w:rPr>
          <w:lang w:val="nl-NL"/>
        </w:rPr>
        <w:t xml:space="preserve"> </w:t>
      </w:r>
    </w:p>
    <w:p w:rsidR="00D65865" w:rsidRDefault="00D65865">
      <w:pPr>
        <w:rPr>
          <w:lang w:val="nl-NL"/>
        </w:rPr>
      </w:pPr>
    </w:p>
    <w:p w:rsidR="000767F6" w:rsidP="00217E06" w:rsidRDefault="008F2A63">
      <w:pPr>
        <w:rPr>
          <w:lang w:val="nl-NL"/>
        </w:rPr>
      </w:pPr>
      <w:r>
        <w:rPr>
          <w:lang w:val="nl-NL"/>
        </w:rPr>
        <w:t>D</w:t>
      </w:r>
      <w:r w:rsidR="005A5DDA">
        <w:rPr>
          <w:lang w:val="nl-NL"/>
        </w:rPr>
        <w:t>uizenden collega</w:t>
      </w:r>
      <w:r>
        <w:rPr>
          <w:lang w:val="nl-NL"/>
        </w:rPr>
        <w:t xml:space="preserve">’s zetten zich </w:t>
      </w:r>
      <w:r w:rsidR="005A5DDA">
        <w:rPr>
          <w:lang w:val="nl-NL"/>
        </w:rPr>
        <w:t xml:space="preserve">dagelijks </w:t>
      </w:r>
      <w:r w:rsidR="00DE7C00">
        <w:rPr>
          <w:lang w:val="nl-NL"/>
        </w:rPr>
        <w:t xml:space="preserve">al </w:t>
      </w:r>
      <w:r w:rsidR="005A5DDA">
        <w:rPr>
          <w:lang w:val="nl-NL"/>
        </w:rPr>
        <w:t>in voor de aanpak van de georganiseerde criminaliteit</w:t>
      </w:r>
      <w:r w:rsidR="008B3CA0">
        <w:rPr>
          <w:lang w:val="nl-NL"/>
        </w:rPr>
        <w:t xml:space="preserve">. Dit heeft de laatste jaren </w:t>
      </w:r>
      <w:r w:rsidR="005A5DDA">
        <w:rPr>
          <w:lang w:val="nl-NL"/>
        </w:rPr>
        <w:t>mooie resultaten opgeleverd. Dat ver</w:t>
      </w:r>
      <w:r>
        <w:rPr>
          <w:lang w:val="nl-NL"/>
        </w:rPr>
        <w:t xml:space="preserve">dient alle lof en vraagt </w:t>
      </w:r>
      <w:r w:rsidR="005A5DDA">
        <w:rPr>
          <w:lang w:val="nl-NL"/>
        </w:rPr>
        <w:t xml:space="preserve">om verdere versterking van wat al goed gaat. Het is derhalve </w:t>
      </w:r>
      <w:proofErr w:type="spellStart"/>
      <w:r w:rsidR="005A5DDA">
        <w:rPr>
          <w:lang w:val="nl-NL"/>
        </w:rPr>
        <w:t>en-en</w:t>
      </w:r>
      <w:proofErr w:type="spellEnd"/>
      <w:r w:rsidR="005A5DDA">
        <w:rPr>
          <w:lang w:val="nl-NL"/>
        </w:rPr>
        <w:t xml:space="preserve">: </w:t>
      </w:r>
      <w:r w:rsidR="005A5DDA">
        <w:rPr>
          <w:i/>
          <w:iCs/>
          <w:lang w:val="nl-NL"/>
        </w:rPr>
        <w:t>en</w:t>
      </w:r>
      <w:r w:rsidR="005A5DDA">
        <w:rPr>
          <w:lang w:val="nl-NL"/>
        </w:rPr>
        <w:t xml:space="preserve"> versterking van de huidige activiteiten </w:t>
      </w:r>
      <w:r w:rsidR="005A5DDA">
        <w:rPr>
          <w:i/>
          <w:iCs/>
          <w:lang w:val="nl-NL"/>
        </w:rPr>
        <w:t xml:space="preserve">en </w:t>
      </w:r>
      <w:r w:rsidR="005A5DDA">
        <w:rPr>
          <w:lang w:val="nl-NL"/>
        </w:rPr>
        <w:t xml:space="preserve">gezamenlijke verdieping en vernieuwing in het MIT. </w:t>
      </w:r>
    </w:p>
    <w:p w:rsidRPr="00973B12" w:rsidR="00D65865" w:rsidP="005A6DAE" w:rsidRDefault="005A5DDA">
      <w:pPr>
        <w:pStyle w:val="Kop2"/>
        <w:tabs>
          <w:tab w:val="left" w:pos="3420"/>
        </w:tabs>
        <w:rPr>
          <w:sz w:val="22"/>
          <w:szCs w:val="22"/>
        </w:rPr>
      </w:pPr>
      <w:r w:rsidRPr="00973B12">
        <w:rPr>
          <w:sz w:val="22"/>
          <w:szCs w:val="22"/>
        </w:rPr>
        <w:t>Meerwaarde MIT</w:t>
      </w:r>
      <w:r w:rsidRPr="00973B12" w:rsidR="005A6DAE">
        <w:rPr>
          <w:sz w:val="22"/>
          <w:szCs w:val="22"/>
        </w:rPr>
        <w:tab/>
      </w:r>
    </w:p>
    <w:p w:rsidR="00D65865" w:rsidP="00911F12" w:rsidRDefault="005A5DDA">
      <w:pPr>
        <w:rPr>
          <w:lang w:val="nl-NL"/>
        </w:rPr>
      </w:pPr>
      <w:r>
        <w:rPr>
          <w:lang w:val="nl-NL"/>
        </w:rPr>
        <w:t xml:space="preserve">Ondanks dat al veel goed gaat en de inzet groot is, bestaan er lacunes in de aanpak van georganiseerde criminaliteit. </w:t>
      </w:r>
      <w:r w:rsidR="00911F12">
        <w:rPr>
          <w:lang w:val="nl-NL"/>
        </w:rPr>
        <w:t xml:space="preserve">Criminelen willen zoveel mogelijk uit het zicht van </w:t>
      </w:r>
      <w:r>
        <w:rPr>
          <w:lang w:val="nl-NL"/>
        </w:rPr>
        <w:t xml:space="preserve">overheidsinstanties blijven. Zeker op nationaal en internationaal niveau </w:t>
      </w:r>
      <w:r w:rsidR="00911F12">
        <w:rPr>
          <w:lang w:val="nl-NL"/>
        </w:rPr>
        <w:t>kan het zicht worden verbeterd</w:t>
      </w:r>
      <w:r>
        <w:rPr>
          <w:lang w:val="nl-NL"/>
        </w:rPr>
        <w:t>. Samenhang en structuur in de aanpak ontbreekt en (</w:t>
      </w:r>
      <w:proofErr w:type="spellStart"/>
      <w:r>
        <w:rPr>
          <w:lang w:val="nl-NL"/>
        </w:rPr>
        <w:t>inter</w:t>
      </w:r>
      <w:proofErr w:type="spellEnd"/>
      <w:r>
        <w:rPr>
          <w:lang w:val="nl-NL"/>
        </w:rPr>
        <w:t>)nationale samenwerking vindt nog te vaak op ad-hoc basis plaats</w:t>
      </w:r>
      <w:r w:rsidR="00D41452">
        <w:rPr>
          <w:lang w:val="nl-NL"/>
        </w:rPr>
        <w:t xml:space="preserve">. </w:t>
      </w:r>
      <w:r>
        <w:rPr>
          <w:lang w:val="nl-NL"/>
        </w:rPr>
        <w:t xml:space="preserve">Hierdoor worden duurzame relaties en wederzijds vertrouwen onvoldoende opgebouwd. </w:t>
      </w:r>
      <w:r w:rsidR="00DE7C00">
        <w:rPr>
          <w:lang w:val="nl-NL"/>
        </w:rPr>
        <w:t>Daarnaast is door gebrek aan tijd en overzicht vaak sprake van symptoombestrijding. Kortom, w</w:t>
      </w:r>
      <w:r>
        <w:rPr>
          <w:lang w:val="nl-NL"/>
        </w:rPr>
        <w:t xml:space="preserve">e tasten nog te vaak in het duister en treden daardoor nog te vaak reactief in plaats van proactief op. </w:t>
      </w:r>
    </w:p>
    <w:p w:rsidR="00D65865" w:rsidRDefault="00D65865">
      <w:pPr>
        <w:rPr>
          <w:lang w:val="nl-NL"/>
        </w:rPr>
      </w:pPr>
    </w:p>
    <w:p w:rsidRPr="00973B12" w:rsidR="00EA4D24" w:rsidP="00E04133" w:rsidRDefault="00EA4D24">
      <w:pPr>
        <w:pStyle w:val="Kop4"/>
        <w:rPr>
          <w:sz w:val="22"/>
          <w:szCs w:val="22"/>
          <w:lang w:val="fr-FR"/>
        </w:rPr>
      </w:pPr>
      <w:r w:rsidRPr="00973B12">
        <w:rPr>
          <w:sz w:val="22"/>
          <w:szCs w:val="22"/>
          <w:lang w:val="fr-FR"/>
        </w:rPr>
        <w:lastRenderedPageBreak/>
        <w:t>Data gedreven aanpak op systemen/fenom</w:t>
      </w:r>
      <w:r w:rsidRPr="00973B12" w:rsidR="00E04133">
        <w:rPr>
          <w:sz w:val="22"/>
          <w:szCs w:val="22"/>
          <w:lang w:val="fr-FR"/>
        </w:rPr>
        <w:t>en</w:t>
      </w:r>
      <w:r w:rsidRPr="00973B12">
        <w:rPr>
          <w:sz w:val="22"/>
          <w:szCs w:val="22"/>
          <w:lang w:val="fr-FR"/>
        </w:rPr>
        <w:t>en</w:t>
      </w:r>
    </w:p>
    <w:p w:rsidR="00A97B82" w:rsidP="001C73A8" w:rsidRDefault="00911F12">
      <w:pPr>
        <w:rPr>
          <w:lang w:val="nl-NL"/>
        </w:rPr>
      </w:pPr>
      <w:r>
        <w:rPr>
          <w:lang w:val="nl-NL"/>
        </w:rPr>
        <w:t xml:space="preserve">Het MIT zal het </w:t>
      </w:r>
      <w:r w:rsidR="005A5DDA">
        <w:rPr>
          <w:lang w:val="nl-NL"/>
        </w:rPr>
        <w:t xml:space="preserve">zicht </w:t>
      </w:r>
      <w:r>
        <w:rPr>
          <w:lang w:val="nl-NL"/>
        </w:rPr>
        <w:t>vergaand verbeteren</w:t>
      </w:r>
      <w:r w:rsidR="005A5DDA">
        <w:rPr>
          <w:lang w:val="nl-NL"/>
        </w:rPr>
        <w:t xml:space="preserve">. Door informatie, kennis en expertise van verschillende partijen structureel te verzamelen, samen te voegen en </w:t>
      </w:r>
      <w:r w:rsidR="00973B12">
        <w:rPr>
          <w:lang w:val="nl-NL"/>
        </w:rPr>
        <w:t xml:space="preserve">te </w:t>
      </w:r>
      <w:r w:rsidR="005A5DDA">
        <w:rPr>
          <w:lang w:val="nl-NL"/>
        </w:rPr>
        <w:t xml:space="preserve">analyseren ontstaat een </w:t>
      </w:r>
      <w:r w:rsidR="0044091A">
        <w:rPr>
          <w:lang w:val="nl-NL"/>
        </w:rPr>
        <w:t xml:space="preserve">helderder </w:t>
      </w:r>
      <w:r w:rsidR="005A5DDA">
        <w:rPr>
          <w:lang w:val="nl-NL"/>
        </w:rPr>
        <w:t>beeld</w:t>
      </w:r>
      <w:r w:rsidR="008F2A63">
        <w:rPr>
          <w:lang w:val="nl-NL"/>
        </w:rPr>
        <w:t xml:space="preserve"> </w:t>
      </w:r>
      <w:r w:rsidR="005A5DDA">
        <w:rPr>
          <w:lang w:val="nl-NL"/>
        </w:rPr>
        <w:t xml:space="preserve">dan de beelden </w:t>
      </w:r>
      <w:r w:rsidR="008F2A63">
        <w:rPr>
          <w:lang w:val="nl-NL"/>
        </w:rPr>
        <w:t>die a</w:t>
      </w:r>
      <w:r w:rsidR="005A5DDA">
        <w:rPr>
          <w:lang w:val="nl-NL"/>
        </w:rPr>
        <w:t xml:space="preserve">fzonderlijke organisaties kunnen </w:t>
      </w:r>
      <w:r w:rsidR="008F2A63">
        <w:rPr>
          <w:lang w:val="nl-NL"/>
        </w:rPr>
        <w:t>maken</w:t>
      </w:r>
      <w:r w:rsidR="005A5DDA">
        <w:rPr>
          <w:lang w:val="nl-NL"/>
        </w:rPr>
        <w:t xml:space="preserve">. Op basis van </w:t>
      </w:r>
      <w:r w:rsidR="0044091A">
        <w:rPr>
          <w:lang w:val="nl-NL"/>
        </w:rPr>
        <w:t xml:space="preserve">gezamenlijke </w:t>
      </w:r>
      <w:r w:rsidR="005A5DDA">
        <w:rPr>
          <w:lang w:val="nl-NL"/>
        </w:rPr>
        <w:t>intelligence kunnen we anticiperen op toekomstige ontwikkelingen. He</w:t>
      </w:r>
      <w:r>
        <w:rPr>
          <w:lang w:val="nl-NL"/>
        </w:rPr>
        <w:t>t MIT fungeert als ‘koplamp</w:t>
      </w:r>
      <w:r w:rsidR="005A5DDA">
        <w:rPr>
          <w:lang w:val="nl-NL"/>
        </w:rPr>
        <w:t xml:space="preserve">’ </w:t>
      </w:r>
      <w:r w:rsidR="00D41452">
        <w:rPr>
          <w:lang w:val="nl-NL"/>
        </w:rPr>
        <w:t xml:space="preserve">door helderheid te brengen </w:t>
      </w:r>
      <w:r w:rsidR="005A5DDA">
        <w:rPr>
          <w:lang w:val="nl-NL"/>
        </w:rPr>
        <w:t>en tegelijkertijd als ‘</w:t>
      </w:r>
      <w:r>
        <w:rPr>
          <w:lang w:val="nl-NL"/>
        </w:rPr>
        <w:t>claxon</w:t>
      </w:r>
      <w:r w:rsidR="005A5DDA">
        <w:rPr>
          <w:lang w:val="nl-NL"/>
        </w:rPr>
        <w:t xml:space="preserve">’ door te waarschuwen voor toekomstige dreigingen. </w:t>
      </w:r>
    </w:p>
    <w:p w:rsidRPr="00E04133" w:rsidR="00D65865" w:rsidP="00973B12" w:rsidRDefault="005A5DDA">
      <w:pPr>
        <w:rPr>
          <w:lang w:val="fr-FR"/>
        </w:rPr>
      </w:pPr>
      <w:r>
        <w:rPr>
          <w:lang w:val="nl-NL"/>
        </w:rPr>
        <w:t>Hierbij ligt de nadruk op fenomenen,</w:t>
      </w:r>
      <w:r w:rsidR="00EA4D24">
        <w:rPr>
          <w:lang w:val="nl-NL"/>
        </w:rPr>
        <w:t xml:space="preserve"> het verdienmodel,</w:t>
      </w:r>
      <w:r>
        <w:rPr>
          <w:lang w:val="nl-NL"/>
        </w:rPr>
        <w:t xml:space="preserve"> financiële geldstromen en </w:t>
      </w:r>
      <w:r w:rsidR="00EA4D24">
        <w:rPr>
          <w:lang w:val="nl-NL"/>
        </w:rPr>
        <w:t xml:space="preserve">achterliggende </w:t>
      </w:r>
      <w:r>
        <w:rPr>
          <w:lang w:val="nl-NL"/>
        </w:rPr>
        <w:t>bedrijfsstructuren, en veel minder op personen en goederen</w:t>
      </w:r>
      <w:r w:rsidR="00EA4D24">
        <w:rPr>
          <w:lang w:val="nl-NL"/>
        </w:rPr>
        <w:t xml:space="preserve">. </w:t>
      </w:r>
      <w:r>
        <w:rPr>
          <w:lang w:val="nl-NL"/>
        </w:rPr>
        <w:t>Ook andere betrokken partijen, zowel regionaal als (</w:t>
      </w:r>
      <w:proofErr w:type="spellStart"/>
      <w:r>
        <w:rPr>
          <w:lang w:val="nl-NL"/>
        </w:rPr>
        <w:t>inter</w:t>
      </w:r>
      <w:proofErr w:type="spellEnd"/>
      <w:r>
        <w:rPr>
          <w:lang w:val="nl-NL"/>
        </w:rPr>
        <w:t xml:space="preserve">)nationaal, publiek en </w:t>
      </w:r>
      <w:r w:rsidR="00E258A2">
        <w:rPr>
          <w:lang w:val="nl-NL"/>
        </w:rPr>
        <w:t>privaat</w:t>
      </w:r>
      <w:r>
        <w:rPr>
          <w:lang w:val="nl-NL"/>
        </w:rPr>
        <w:t xml:space="preserve"> zullen gaan profiteren van dit rijkere beeld. Het MIT is uniek in deze aanpak waarbij het </w:t>
      </w:r>
      <w:r w:rsidR="001C73A8">
        <w:rPr>
          <w:lang w:val="nl-NL"/>
        </w:rPr>
        <w:t>geen ‘achteruitkijkspiegel’ maar ‘</w:t>
      </w:r>
      <w:r w:rsidR="00911F12">
        <w:rPr>
          <w:lang w:val="nl-NL"/>
        </w:rPr>
        <w:t>routeplanner</w:t>
      </w:r>
      <w:r>
        <w:rPr>
          <w:lang w:val="nl-NL"/>
        </w:rPr>
        <w:t xml:space="preserve">’ </w:t>
      </w:r>
      <w:r w:rsidR="001C73A8">
        <w:rPr>
          <w:lang w:val="nl-NL"/>
        </w:rPr>
        <w:t>is</w:t>
      </w:r>
      <w:r>
        <w:rPr>
          <w:lang w:val="nl-NL"/>
        </w:rPr>
        <w:t xml:space="preserve">. Het MIT zoekt doorlopend actief de samenwerking met </w:t>
      </w:r>
      <w:r w:rsidR="0044091A">
        <w:rPr>
          <w:lang w:val="nl-NL"/>
        </w:rPr>
        <w:t>partners</w:t>
      </w:r>
      <w:r>
        <w:rPr>
          <w:lang w:val="nl-NL"/>
        </w:rPr>
        <w:t>. Zo organiseert het MIT samenwerking en fungeert het als vliegwiel voor het aanbrengen van samenhang in de aanpak van georganiseerde ondermijnende criminaliteit.</w:t>
      </w:r>
    </w:p>
    <w:p w:rsidRPr="00973B12" w:rsidR="00EA4D24" w:rsidP="00E04133" w:rsidRDefault="00EA4D24">
      <w:pPr>
        <w:pStyle w:val="Kop4"/>
        <w:rPr>
          <w:sz w:val="22"/>
          <w:szCs w:val="22"/>
          <w:lang w:val="fr-FR"/>
        </w:rPr>
      </w:pPr>
      <w:r w:rsidRPr="00973B12">
        <w:rPr>
          <w:sz w:val="22"/>
          <w:szCs w:val="22"/>
          <w:lang w:val="fr-FR"/>
        </w:rPr>
        <w:t>Gecoördineerde multi</w:t>
      </w:r>
      <w:r w:rsidRPr="00973B12" w:rsidR="00004EE8">
        <w:rPr>
          <w:sz w:val="22"/>
          <w:szCs w:val="22"/>
          <w:lang w:val="fr-FR"/>
        </w:rPr>
        <w:t>disciplinaire</w:t>
      </w:r>
      <w:r w:rsidRPr="00973B12">
        <w:rPr>
          <w:sz w:val="22"/>
          <w:szCs w:val="22"/>
          <w:lang w:val="fr-FR"/>
        </w:rPr>
        <w:t xml:space="preserve"> aanpak</w:t>
      </w:r>
    </w:p>
    <w:p w:rsidR="00D41452" w:rsidP="006C5C6A" w:rsidRDefault="005A5DDA">
      <w:pPr>
        <w:rPr>
          <w:lang w:val="nl-NL"/>
        </w:rPr>
      </w:pPr>
      <w:r>
        <w:rPr>
          <w:lang w:val="nl-NL"/>
        </w:rPr>
        <w:t xml:space="preserve">Naast scherper zicht, brengt het </w:t>
      </w:r>
      <w:r w:rsidR="00676799">
        <w:rPr>
          <w:lang w:val="nl-NL"/>
        </w:rPr>
        <w:t xml:space="preserve">samenwerkingsverband </w:t>
      </w:r>
      <w:r>
        <w:rPr>
          <w:lang w:val="nl-NL"/>
        </w:rPr>
        <w:t xml:space="preserve">MIT slagkracht: het MIT beschikt straks over </w:t>
      </w:r>
      <w:r w:rsidR="00676799">
        <w:rPr>
          <w:lang w:val="nl-NL"/>
        </w:rPr>
        <w:t xml:space="preserve">mensen en </w:t>
      </w:r>
      <w:r>
        <w:rPr>
          <w:lang w:val="nl-NL"/>
        </w:rPr>
        <w:t>middelen om verkregen inzichten om te zetten in slimme en innovatieve interventies</w:t>
      </w:r>
      <w:r w:rsidR="008F2A63">
        <w:rPr>
          <w:lang w:val="nl-NL"/>
        </w:rPr>
        <w:t xml:space="preserve">. </w:t>
      </w:r>
      <w:r>
        <w:rPr>
          <w:lang w:val="nl-NL"/>
        </w:rPr>
        <w:t xml:space="preserve">Interventies kunnen variëren van preventief tot repressief, kunnen zowel binnen maar zeker ook buiten het strafrecht plaatsvinden en kunnen in samenwerking met zowel private als publieke partijen worden uitgevoerd. </w:t>
      </w:r>
      <w:r w:rsidR="00284578">
        <w:rPr>
          <w:lang w:val="nl-NL"/>
        </w:rPr>
        <w:t xml:space="preserve">Voorafgaand aan deze interventies vindt </w:t>
      </w:r>
      <w:r w:rsidR="00004EE8">
        <w:rPr>
          <w:lang w:val="nl-NL"/>
        </w:rPr>
        <w:t>i</w:t>
      </w:r>
      <w:r>
        <w:rPr>
          <w:lang w:val="nl-NL"/>
        </w:rPr>
        <w:t xml:space="preserve">ntensieve afstemming </w:t>
      </w:r>
      <w:r w:rsidR="00284578">
        <w:rPr>
          <w:lang w:val="nl-NL"/>
        </w:rPr>
        <w:t>en coördinatie met partners van het MIT en het wettelijk gezag plaats</w:t>
      </w:r>
      <w:r>
        <w:rPr>
          <w:lang w:val="nl-NL"/>
        </w:rPr>
        <w:t xml:space="preserve">, zodat op de juiste wijze, op het juiste moment én op de juiste plek wordt opgetreden waardoor het grootste effect wordt behaald. Het MIT zal samen met de partners dit samenspel organiseren, zowel </w:t>
      </w:r>
      <w:r w:rsidR="00887523">
        <w:rPr>
          <w:lang w:val="nl-NL"/>
        </w:rPr>
        <w:t>in</w:t>
      </w:r>
      <w:r>
        <w:rPr>
          <w:lang w:val="nl-NL"/>
        </w:rPr>
        <w:t xml:space="preserve"> interventies als</w:t>
      </w:r>
      <w:r w:rsidR="00887523">
        <w:rPr>
          <w:lang w:val="nl-NL"/>
        </w:rPr>
        <w:t xml:space="preserve"> bij het </w:t>
      </w:r>
      <w:r>
        <w:rPr>
          <w:lang w:val="nl-NL"/>
        </w:rPr>
        <w:t>combineren van</w:t>
      </w:r>
      <w:r w:rsidR="00887523">
        <w:rPr>
          <w:lang w:val="nl-NL"/>
        </w:rPr>
        <w:t xml:space="preserve"> verschillende soorten</w:t>
      </w:r>
      <w:r>
        <w:rPr>
          <w:lang w:val="nl-NL"/>
        </w:rPr>
        <w:t xml:space="preserve"> informatie. </w:t>
      </w:r>
      <w:r w:rsidR="000C6423">
        <w:rPr>
          <w:lang w:val="nl-NL"/>
        </w:rPr>
        <w:t xml:space="preserve">Alle </w:t>
      </w:r>
      <w:r w:rsidRPr="006C5C6A" w:rsidR="006C5C6A">
        <w:rPr>
          <w:lang w:val="nl-NL"/>
        </w:rPr>
        <w:t>moederorganisaties van het MIT</w:t>
      </w:r>
      <w:r w:rsidR="000C6423">
        <w:rPr>
          <w:lang w:val="nl-NL"/>
        </w:rPr>
        <w:t xml:space="preserve"> zijn hierbij gelijkwaardig en zijn</w:t>
      </w:r>
      <w:r w:rsidRPr="006C5C6A" w:rsidR="006C5C6A">
        <w:rPr>
          <w:lang w:val="nl-NL"/>
        </w:rPr>
        <w:t xml:space="preserve"> betrokken bij het keuzeproces rondom de operatie.</w:t>
      </w:r>
      <w:r w:rsidR="000C6423">
        <w:rPr>
          <w:lang w:val="nl-NL"/>
        </w:rPr>
        <w:t xml:space="preserve"> </w:t>
      </w:r>
    </w:p>
    <w:p w:rsidR="00DE7C00" w:rsidP="006C5C6A" w:rsidRDefault="00DE7C00">
      <w:pPr>
        <w:rPr>
          <w:lang w:val="nl-NL"/>
        </w:rPr>
      </w:pPr>
    </w:p>
    <w:p w:rsidR="00D65865" w:rsidP="0075371C" w:rsidRDefault="005A5DDA">
      <w:pPr>
        <w:rPr>
          <w:lang w:val="nl-NL"/>
        </w:rPr>
      </w:pPr>
      <w:r>
        <w:rPr>
          <w:lang w:val="nl-NL"/>
        </w:rPr>
        <w:t>De slag</w:t>
      </w:r>
      <w:r w:rsidR="006C5C6A">
        <w:rPr>
          <w:lang w:val="nl-NL"/>
        </w:rPr>
        <w:t>kracht van het MIT kan tenslotte</w:t>
      </w:r>
      <w:r>
        <w:rPr>
          <w:lang w:val="nl-NL"/>
        </w:rPr>
        <w:t xml:space="preserve"> ‘as a service’ worden ingezet: als middel ten behoeve van scherper zicht, ten behoeve van partners en als toekomstgerichte interventie. Het MIT is dus nadrukkeli</w:t>
      </w:r>
      <w:r w:rsidR="00683EEC">
        <w:rPr>
          <w:lang w:val="nl-NL"/>
        </w:rPr>
        <w:t xml:space="preserve">jk géén nieuwe opsporingsdienst, </w:t>
      </w:r>
      <w:r w:rsidR="000C6423">
        <w:rPr>
          <w:lang w:val="nl-NL"/>
        </w:rPr>
        <w:t>maar combineert bevoegdheden, kennis en expertise van alle moederorganisaties</w:t>
      </w:r>
      <w:r w:rsidR="0075371C">
        <w:rPr>
          <w:lang w:val="nl-NL"/>
        </w:rPr>
        <w:t xml:space="preserve">. Daarbij past een ophanging naast en tussen die organisaties. </w:t>
      </w:r>
    </w:p>
    <w:p w:rsidRPr="00973B12" w:rsidR="00D65865" w:rsidRDefault="005A5DDA">
      <w:pPr>
        <w:pStyle w:val="Kop2"/>
        <w:rPr>
          <w:sz w:val="22"/>
          <w:szCs w:val="22"/>
        </w:rPr>
      </w:pPr>
      <w:r w:rsidRPr="00973B12">
        <w:rPr>
          <w:sz w:val="22"/>
          <w:szCs w:val="22"/>
        </w:rPr>
        <w:t>MIT stand van zaken</w:t>
      </w:r>
    </w:p>
    <w:p w:rsidR="00D65865" w:rsidP="00217E06" w:rsidRDefault="005A5DDA">
      <w:pPr>
        <w:rPr>
          <w:lang w:val="nl-NL"/>
        </w:rPr>
      </w:pPr>
      <w:r>
        <w:rPr>
          <w:lang w:val="nl-NL"/>
        </w:rPr>
        <w:t xml:space="preserve">Het MIT is een samenwerkingsverband in opbouw. Inmiddels werken in het MIT ongeveer 85 </w:t>
      </w:r>
      <w:r w:rsidR="00887523">
        <w:rPr>
          <w:lang w:val="nl-NL"/>
        </w:rPr>
        <w:t>medewerkers</w:t>
      </w:r>
      <w:r>
        <w:rPr>
          <w:lang w:val="nl-NL"/>
        </w:rPr>
        <w:t xml:space="preserve">, van wie grofweg een derde extern geworven is. Gedurende de programmatische bouw van het MIT worden vernieuwende concepten reeds in de praktijk beproefd. Onderstaand worden enkele concepten uitgelicht en wordt hun praktische meerwaarde – voor zover de </w:t>
      </w:r>
      <w:proofErr w:type="spellStart"/>
      <w:r>
        <w:rPr>
          <w:lang w:val="nl-NL"/>
        </w:rPr>
        <w:t>operatiën</w:t>
      </w:r>
      <w:proofErr w:type="spellEnd"/>
      <w:r>
        <w:rPr>
          <w:lang w:val="nl-NL"/>
        </w:rPr>
        <w:t xml:space="preserve"> dat toelaten – toegelicht.</w:t>
      </w:r>
      <w:r w:rsidR="00004EE8">
        <w:rPr>
          <w:lang w:val="nl-NL"/>
        </w:rPr>
        <w:t xml:space="preserve"> </w:t>
      </w:r>
      <w:r w:rsidRPr="00C25D5B" w:rsidR="00004EE8">
        <w:rPr>
          <w:lang w:val="nl-NL"/>
        </w:rPr>
        <w:t>Met graagte wordt een nadere toelichting</w:t>
      </w:r>
      <w:r w:rsidR="00A97B82">
        <w:rPr>
          <w:lang w:val="nl-NL"/>
        </w:rPr>
        <w:t>,</w:t>
      </w:r>
      <w:r w:rsidR="00004EE8">
        <w:rPr>
          <w:lang w:val="nl-NL"/>
        </w:rPr>
        <w:t xml:space="preserve"> in aanvulling</w:t>
      </w:r>
      <w:r w:rsidRPr="00C25D5B" w:rsidR="00004EE8">
        <w:rPr>
          <w:lang w:val="nl-NL"/>
        </w:rPr>
        <w:t xml:space="preserve"> </w:t>
      </w:r>
      <w:r w:rsidR="00004EE8">
        <w:rPr>
          <w:lang w:val="nl-NL"/>
        </w:rPr>
        <w:t xml:space="preserve">op dit </w:t>
      </w:r>
      <w:proofErr w:type="spellStart"/>
      <w:r w:rsidR="00004EE8">
        <w:rPr>
          <w:lang w:val="nl-NL"/>
        </w:rPr>
        <w:t>position</w:t>
      </w:r>
      <w:proofErr w:type="spellEnd"/>
      <w:r w:rsidR="00004EE8">
        <w:rPr>
          <w:lang w:val="nl-NL"/>
        </w:rPr>
        <w:t xml:space="preserve"> paper</w:t>
      </w:r>
      <w:r w:rsidR="00A97B82">
        <w:rPr>
          <w:lang w:val="nl-NL"/>
        </w:rPr>
        <w:t>,</w:t>
      </w:r>
      <w:r w:rsidR="00004EE8">
        <w:rPr>
          <w:lang w:val="nl-NL"/>
        </w:rPr>
        <w:t xml:space="preserve"> gegeven in </w:t>
      </w:r>
      <w:r w:rsidR="00E04133">
        <w:rPr>
          <w:lang w:val="nl-NL"/>
        </w:rPr>
        <w:t xml:space="preserve">bijvoorbeeld in </w:t>
      </w:r>
      <w:r w:rsidR="00004EE8">
        <w:rPr>
          <w:lang w:val="nl-NL"/>
        </w:rPr>
        <w:t>een technische briefing.</w:t>
      </w:r>
    </w:p>
    <w:p w:rsidRPr="00973B12" w:rsidR="00D65865" w:rsidRDefault="005A5DDA">
      <w:pPr>
        <w:pStyle w:val="Kop4"/>
        <w:rPr>
          <w:sz w:val="22"/>
          <w:szCs w:val="22"/>
          <w:lang w:val="fr-FR"/>
        </w:rPr>
      </w:pPr>
      <w:proofErr w:type="spellStart"/>
      <w:r w:rsidRPr="00973B12">
        <w:rPr>
          <w:sz w:val="22"/>
          <w:szCs w:val="22"/>
          <w:lang w:val="fr-FR"/>
        </w:rPr>
        <w:t>Multidisciplinair</w:t>
      </w:r>
      <w:proofErr w:type="spellEnd"/>
      <w:r w:rsidRPr="00973B12">
        <w:rPr>
          <w:sz w:val="22"/>
          <w:szCs w:val="22"/>
          <w:lang w:val="fr-FR"/>
        </w:rPr>
        <w:t xml:space="preserve"> Data Center (MDC) &amp; Intelligence concept</w:t>
      </w:r>
    </w:p>
    <w:p w:rsidR="00D65865" w:rsidP="00C25D5B" w:rsidRDefault="005A5DDA">
      <w:pPr>
        <w:rPr>
          <w:lang w:val="nl-NL"/>
        </w:rPr>
      </w:pPr>
      <w:r>
        <w:rPr>
          <w:lang w:val="nl-NL"/>
        </w:rPr>
        <w:t>Het MIT is een data(</w:t>
      </w:r>
      <w:proofErr w:type="spellStart"/>
      <w:r>
        <w:rPr>
          <w:lang w:val="nl-NL"/>
        </w:rPr>
        <w:t>science</w:t>
      </w:r>
      <w:proofErr w:type="spellEnd"/>
      <w:r>
        <w:rPr>
          <w:lang w:val="nl-NL"/>
        </w:rPr>
        <w:t>) gedreven organisatie. Kort samengevat is het MDC de verzamelplaats van data(</w:t>
      </w:r>
      <w:proofErr w:type="spellStart"/>
      <w:r>
        <w:rPr>
          <w:lang w:val="nl-NL"/>
        </w:rPr>
        <w:t>science</w:t>
      </w:r>
      <w:proofErr w:type="spellEnd"/>
      <w:r>
        <w:rPr>
          <w:lang w:val="nl-NL"/>
        </w:rPr>
        <w:t xml:space="preserve">) die binnen het MIT wordt samengebracht om inzicht te krijgen in (systemische) dreigingen van ondermijnende criminaliteit. Zoals het hele MIT, wordt ook het MDC gebouwd vanuit een strikt juridisch en helder ethisch kader. Zo wordt niet louter gedaan wat mag, maar wordt beoordeeld of dat ook zou moeten. De in het MDC samengebrachte data zal door middel van het unieke MIT Intelligence concept omgezet worden tot werkelijke kennis en (voorspellende) systemische inzichten. </w:t>
      </w:r>
    </w:p>
    <w:p w:rsidR="00D65865" w:rsidRDefault="00D65865">
      <w:pPr>
        <w:rPr>
          <w:lang w:val="nl-NL"/>
        </w:rPr>
      </w:pPr>
    </w:p>
    <w:p w:rsidR="00D65865" w:rsidRDefault="005A5DDA">
      <w:pPr>
        <w:rPr>
          <w:lang w:val="nl-NL"/>
        </w:rPr>
      </w:pPr>
      <w:r>
        <w:rPr>
          <w:lang w:val="nl-NL"/>
        </w:rPr>
        <w:t xml:space="preserve">In 2020 en 2021 is het MDC al gebouwd, waardoor het momenteel gereed is voor operationeel gebruik. Bij de bouw van het MDC is als uitgangspunt gehanteerd dat niet </w:t>
      </w:r>
      <w:r>
        <w:rPr>
          <w:lang w:val="nl-NL"/>
        </w:rPr>
        <w:lastRenderedPageBreak/>
        <w:t>alleen het MIT maar ook de moederorganisaties kunnen profiteren van de ontwikkelde infrastructuur. Zo is de infrastructuur reeds ter beschikking gesteld (</w:t>
      </w:r>
      <w:r w:rsidR="00D6614D">
        <w:rPr>
          <w:lang w:val="nl-NL"/>
        </w:rPr>
        <w:t>‘</w:t>
      </w:r>
      <w:r>
        <w:rPr>
          <w:i/>
          <w:iCs/>
          <w:lang w:val="nl-NL"/>
        </w:rPr>
        <w:t>warehouse as a service</w:t>
      </w:r>
      <w:r w:rsidR="00D6614D">
        <w:rPr>
          <w:i/>
          <w:iCs/>
          <w:lang w:val="nl-NL"/>
        </w:rPr>
        <w:t>’</w:t>
      </w:r>
      <w:r>
        <w:rPr>
          <w:lang w:val="nl-NL"/>
        </w:rPr>
        <w:t>) aan de landelijke eenheid van politie en aan de FIOD ten behoeve van internetonderzoek.</w:t>
      </w:r>
    </w:p>
    <w:p w:rsidRPr="00217E06" w:rsidR="00D65865" w:rsidRDefault="005A5DDA">
      <w:pPr>
        <w:pStyle w:val="Kop4"/>
        <w:rPr>
          <w:sz w:val="22"/>
          <w:szCs w:val="22"/>
        </w:rPr>
      </w:pPr>
      <w:r w:rsidRPr="00217E06">
        <w:rPr>
          <w:sz w:val="22"/>
          <w:szCs w:val="22"/>
        </w:rPr>
        <w:t>Samenwerking en samenhang</w:t>
      </w:r>
    </w:p>
    <w:p w:rsidR="00D65865" w:rsidRDefault="005A5DDA">
      <w:pPr>
        <w:rPr>
          <w:lang w:val="nl-NL"/>
        </w:rPr>
      </w:pPr>
      <w:r>
        <w:rPr>
          <w:lang w:val="nl-NL"/>
        </w:rPr>
        <w:t>In het multidisciplinaire operationele proces van het MIT staat te allen tijde een vooraf vastgesteld te behalen effect centraal</w:t>
      </w:r>
      <w:r w:rsidR="000C2CDF">
        <w:rPr>
          <w:lang w:val="nl-NL"/>
        </w:rPr>
        <w:t xml:space="preserve"> en </w:t>
      </w:r>
      <w:r>
        <w:rPr>
          <w:lang w:val="nl-NL"/>
        </w:rPr>
        <w:t xml:space="preserve">wordt de juiste partij op de juiste plaats </w:t>
      </w:r>
      <w:r w:rsidR="00EA1307">
        <w:rPr>
          <w:lang w:val="nl-NL"/>
        </w:rPr>
        <w:t>in</w:t>
      </w:r>
      <w:r>
        <w:rPr>
          <w:lang w:val="nl-NL"/>
        </w:rPr>
        <w:t xml:space="preserve">gezet: nadrukkelijk wordt bekeken welke MIT moederorganisatie of externe publieke- of private partner betrokken kan/moet worden voor het beoogde effect. Doordat het MIT een budget gestuurde organisatie is, kan </w:t>
      </w:r>
      <w:r w:rsidR="00D6614D">
        <w:rPr>
          <w:lang w:val="nl-NL"/>
        </w:rPr>
        <w:t xml:space="preserve">(tijdelijk) </w:t>
      </w:r>
      <w:r>
        <w:rPr>
          <w:lang w:val="nl-NL"/>
        </w:rPr>
        <w:t xml:space="preserve">benodigde expertise bovendien flexibel </w:t>
      </w:r>
      <w:r w:rsidR="00D6614D">
        <w:rPr>
          <w:lang w:val="nl-NL"/>
        </w:rPr>
        <w:t xml:space="preserve">worden geworven. </w:t>
      </w:r>
    </w:p>
    <w:p w:rsidR="00C37976" w:rsidRDefault="00C37976">
      <w:pPr>
        <w:rPr>
          <w:lang w:val="nl-NL"/>
        </w:rPr>
      </w:pPr>
    </w:p>
    <w:p w:rsidR="00C37976" w:rsidP="00C42CFA" w:rsidRDefault="00C37976">
      <w:pPr>
        <w:rPr>
          <w:lang w:val="nl-NL"/>
        </w:rPr>
      </w:pPr>
      <w:r w:rsidRPr="00C37976">
        <w:rPr>
          <w:lang w:val="nl-NL"/>
        </w:rPr>
        <w:t xml:space="preserve">Om samenhang in de uitvoering aan te brengen zijn gremia ingericht </w:t>
      </w:r>
      <w:r w:rsidR="00676799">
        <w:rPr>
          <w:lang w:val="nl-NL"/>
        </w:rPr>
        <w:t>waarin alle wettelijke gezagen en de deelnemende organisaties</w:t>
      </w:r>
      <w:r w:rsidR="00284578">
        <w:rPr>
          <w:lang w:val="nl-NL"/>
        </w:rPr>
        <w:t xml:space="preserve">, </w:t>
      </w:r>
      <w:r w:rsidRPr="00C37976">
        <w:rPr>
          <w:lang w:val="nl-NL"/>
        </w:rPr>
        <w:t>samen met het MIT prioriteiten stellen.</w:t>
      </w:r>
      <w:r w:rsidR="00284578">
        <w:rPr>
          <w:lang w:val="nl-NL"/>
        </w:rPr>
        <w:t xml:space="preserve"> Hierdoor worden prioriteiten en interventies op elkaar afgestemd en worden </w:t>
      </w:r>
      <w:proofErr w:type="spellStart"/>
      <w:r w:rsidR="00284578">
        <w:rPr>
          <w:lang w:val="nl-NL"/>
        </w:rPr>
        <w:t>dubbelingen</w:t>
      </w:r>
      <w:proofErr w:type="spellEnd"/>
      <w:r w:rsidR="00284578">
        <w:rPr>
          <w:lang w:val="nl-NL"/>
        </w:rPr>
        <w:t xml:space="preserve"> voorkomen.</w:t>
      </w:r>
      <w:r w:rsidRPr="00C37976">
        <w:rPr>
          <w:lang w:val="nl-NL"/>
        </w:rPr>
        <w:t xml:space="preserve"> Een regelmatige cadans in deze overleggen zorgt voor wendbaarheid.</w:t>
      </w:r>
    </w:p>
    <w:p w:rsidRPr="00217E06" w:rsidR="00D65865" w:rsidRDefault="005A5DDA">
      <w:pPr>
        <w:pStyle w:val="Kop3"/>
        <w:rPr>
          <w:sz w:val="22"/>
          <w:szCs w:val="22"/>
        </w:rPr>
      </w:pPr>
      <w:r w:rsidRPr="00217E06">
        <w:rPr>
          <w:sz w:val="22"/>
          <w:szCs w:val="22"/>
        </w:rPr>
        <w:t>Praktische meerwaarde MIT</w:t>
      </w:r>
      <w:r w:rsidRPr="00217E06" w:rsidR="007000C6">
        <w:rPr>
          <w:sz w:val="22"/>
          <w:szCs w:val="22"/>
        </w:rPr>
        <w:t xml:space="preserve"> in bouwfase</w:t>
      </w:r>
    </w:p>
    <w:p w:rsidR="00D65865" w:rsidRDefault="005A5DDA">
      <w:pPr>
        <w:rPr>
          <w:lang w:val="nl-NL"/>
        </w:rPr>
      </w:pPr>
      <w:r>
        <w:rPr>
          <w:lang w:val="nl-NL"/>
        </w:rPr>
        <w:t>Zoals eerder benoemd levert het MIT ook al in de bouwfase al een bijdrage aan de bestrijding van georganiseerde ondermijnende crimi</w:t>
      </w:r>
      <w:r w:rsidR="00887523">
        <w:rPr>
          <w:lang w:val="nl-NL"/>
        </w:rPr>
        <w:t>nalit</w:t>
      </w:r>
      <w:r w:rsidR="006C766C">
        <w:rPr>
          <w:lang w:val="nl-NL"/>
        </w:rPr>
        <w:t xml:space="preserve">eit. Dat gebeurt in </w:t>
      </w:r>
      <w:proofErr w:type="spellStart"/>
      <w:r w:rsidR="006C766C">
        <w:rPr>
          <w:lang w:val="nl-NL"/>
        </w:rPr>
        <w:t>MIT</w:t>
      </w:r>
      <w:r w:rsidR="002E5269">
        <w:rPr>
          <w:lang w:val="nl-NL"/>
        </w:rPr>
        <w:t>L</w:t>
      </w:r>
      <w:r w:rsidR="006C766C">
        <w:rPr>
          <w:lang w:val="nl-NL"/>
        </w:rPr>
        <w:t>abs</w:t>
      </w:r>
      <w:proofErr w:type="spellEnd"/>
      <w:r>
        <w:rPr>
          <w:lang w:val="nl-NL"/>
        </w:rPr>
        <w:t xml:space="preserve"> en in een concreet operationeel project. </w:t>
      </w:r>
    </w:p>
    <w:p w:rsidRPr="00217E06" w:rsidR="00D65865" w:rsidRDefault="005A5DDA">
      <w:pPr>
        <w:pStyle w:val="Kop4"/>
        <w:rPr>
          <w:sz w:val="22"/>
          <w:szCs w:val="22"/>
        </w:rPr>
      </w:pPr>
      <w:proofErr w:type="spellStart"/>
      <w:r w:rsidRPr="00217E06">
        <w:rPr>
          <w:sz w:val="22"/>
          <w:szCs w:val="22"/>
        </w:rPr>
        <w:t>MITLab</w:t>
      </w:r>
      <w:r w:rsidRPr="00217E06" w:rsidR="006C766C">
        <w:rPr>
          <w:sz w:val="22"/>
          <w:szCs w:val="22"/>
        </w:rPr>
        <w:t>s</w:t>
      </w:r>
      <w:proofErr w:type="spellEnd"/>
    </w:p>
    <w:p w:rsidRPr="00BE4022" w:rsidR="00D65865" w:rsidP="006C766C" w:rsidRDefault="005A5DDA">
      <w:pPr>
        <w:rPr>
          <w:lang w:val="nl-NL"/>
        </w:rPr>
      </w:pPr>
      <w:r>
        <w:rPr>
          <w:lang w:val="nl-NL"/>
        </w:rPr>
        <w:t xml:space="preserve">In </w:t>
      </w:r>
      <w:r w:rsidR="006C766C">
        <w:rPr>
          <w:lang w:val="nl-NL"/>
        </w:rPr>
        <w:t xml:space="preserve">de </w:t>
      </w:r>
      <w:proofErr w:type="spellStart"/>
      <w:r w:rsidR="006C766C">
        <w:rPr>
          <w:lang w:val="nl-NL"/>
        </w:rPr>
        <w:t>MIT</w:t>
      </w:r>
      <w:r>
        <w:rPr>
          <w:lang w:val="nl-NL"/>
        </w:rPr>
        <w:t>Lab</w:t>
      </w:r>
      <w:r w:rsidR="006C766C">
        <w:rPr>
          <w:lang w:val="nl-NL"/>
        </w:rPr>
        <w:t>s</w:t>
      </w:r>
      <w:proofErr w:type="spellEnd"/>
      <w:r>
        <w:rPr>
          <w:lang w:val="nl-NL"/>
        </w:rPr>
        <w:t xml:space="preserve"> werken momenteel zes teams aan een nieuwe aanpak van hardnekkige problemen op het gebied van georganiseerde ondermijnende criminaliteit, met een bijzondere focus op de onderliggende criminele verdienmodellen.</w:t>
      </w:r>
      <w:r>
        <w:rPr>
          <w:vertAlign w:val="superscript"/>
        </w:rPr>
        <w:footnoteReference w:id="4"/>
      </w:r>
      <w:r>
        <w:rPr>
          <w:lang w:val="nl-NL"/>
        </w:rPr>
        <w:t xml:space="preserve"> De teams bestaan uit MIT-medewerkers, medewerkers van moederorganisaties en van andere publieke en private partijen. Onder begeleiding van coaches uit de wetenschap en praktijk werken de teams nog tot november 2021 aan een diepgaande probleemverkenning, zoveel mogelijk gebruikmakend van het hierboven geschetste intelligence concept. </w:t>
      </w:r>
    </w:p>
    <w:p w:rsidRPr="00217E06" w:rsidR="00D65865" w:rsidRDefault="005A5DDA">
      <w:pPr>
        <w:pStyle w:val="Kop4"/>
        <w:rPr>
          <w:sz w:val="22"/>
          <w:szCs w:val="22"/>
        </w:rPr>
      </w:pPr>
      <w:r w:rsidRPr="00217E06">
        <w:rPr>
          <w:sz w:val="22"/>
          <w:szCs w:val="22"/>
        </w:rPr>
        <w:t>Operationeel project</w:t>
      </w:r>
    </w:p>
    <w:p w:rsidR="00D65865" w:rsidP="00C37976" w:rsidRDefault="005A5DDA">
      <w:pPr>
        <w:rPr>
          <w:lang w:val="nl-NL"/>
        </w:rPr>
      </w:pPr>
      <w:r>
        <w:rPr>
          <w:lang w:val="nl-NL"/>
        </w:rPr>
        <w:t>Afgelopen zomer is een eerste operationeel project</w:t>
      </w:r>
      <w:r w:rsidR="00C37976">
        <w:rPr>
          <w:lang w:val="nl-NL"/>
        </w:rPr>
        <w:t xml:space="preserve"> verkend</w:t>
      </w:r>
      <w:r>
        <w:rPr>
          <w:lang w:val="nl-NL"/>
        </w:rPr>
        <w:t xml:space="preserve">. Hiervoor heeft een inventarisatieronde plaatsgevonden voor kansrijke signalen bij onder andere de moederorganisaties. </w:t>
      </w:r>
    </w:p>
    <w:p w:rsidRPr="00217E06" w:rsidR="00D65865" w:rsidRDefault="005A5DDA">
      <w:pPr>
        <w:pStyle w:val="Kop2"/>
        <w:rPr>
          <w:sz w:val="22"/>
          <w:szCs w:val="22"/>
        </w:rPr>
      </w:pPr>
      <w:r w:rsidRPr="00217E06">
        <w:rPr>
          <w:sz w:val="22"/>
          <w:szCs w:val="22"/>
        </w:rPr>
        <w:t>Behoeften en slot</w:t>
      </w:r>
    </w:p>
    <w:p w:rsidR="000C2CDF" w:rsidP="00F55BCC" w:rsidRDefault="005A5DDA">
      <w:pPr>
        <w:rPr>
          <w:lang w:val="nl-NL"/>
        </w:rPr>
      </w:pPr>
      <w:r>
        <w:rPr>
          <w:lang w:val="nl-NL"/>
        </w:rPr>
        <w:t>De veiligheid in onze samenleving en onze democratische rechtsstaat staan onder steeds verder oplopende druk. Dat vraagt om een vernieuwende en verbrede aanpak. Het MIT is daar in</w:t>
      </w:r>
      <w:r w:rsidR="00BC0E9B">
        <w:rPr>
          <w:lang w:val="nl-NL"/>
        </w:rPr>
        <w:t xml:space="preserve"> aanvulling</w:t>
      </w:r>
      <w:r w:rsidR="000C6423">
        <w:rPr>
          <w:lang w:val="nl-NL"/>
        </w:rPr>
        <w:t xml:space="preserve">, </w:t>
      </w:r>
      <w:r w:rsidR="00BC0E9B">
        <w:rPr>
          <w:lang w:val="nl-NL"/>
        </w:rPr>
        <w:t xml:space="preserve">en </w:t>
      </w:r>
      <w:r>
        <w:rPr>
          <w:lang w:val="nl-NL"/>
        </w:rPr>
        <w:t>samen met bestaande diensten</w:t>
      </w:r>
      <w:r w:rsidR="000C6423">
        <w:rPr>
          <w:lang w:val="nl-NL"/>
        </w:rPr>
        <w:t>,</w:t>
      </w:r>
      <w:r>
        <w:rPr>
          <w:lang w:val="nl-NL"/>
        </w:rPr>
        <w:t xml:space="preserve"> de oplossing voor</w:t>
      </w:r>
      <w:r w:rsidR="00F55BCC">
        <w:rPr>
          <w:lang w:val="nl-NL"/>
        </w:rPr>
        <w:t xml:space="preserve"> </w:t>
      </w:r>
      <w:r w:rsidR="006C766C">
        <w:rPr>
          <w:lang w:val="nl-NL"/>
        </w:rPr>
        <w:t xml:space="preserve">en richt zich op </w:t>
      </w:r>
      <w:r>
        <w:rPr>
          <w:lang w:val="nl-NL"/>
        </w:rPr>
        <w:t>lacunes in de aanpak van georganiseerde criminaliteit. De bouw van het MIT maakt progressie</w:t>
      </w:r>
      <w:r w:rsidR="00BC0E9B">
        <w:rPr>
          <w:lang w:val="nl-NL"/>
        </w:rPr>
        <w:t>.</w:t>
      </w:r>
      <w:r w:rsidR="000C2CDF">
        <w:rPr>
          <w:lang w:val="nl-NL"/>
        </w:rPr>
        <w:t xml:space="preserve"> </w:t>
      </w:r>
      <w:r w:rsidR="00BC0E9B">
        <w:rPr>
          <w:lang w:val="nl-NL"/>
        </w:rPr>
        <w:t>E</w:t>
      </w:r>
      <w:r w:rsidR="000C2CDF">
        <w:rPr>
          <w:lang w:val="nl-NL"/>
        </w:rPr>
        <w:t xml:space="preserve">en convenant en </w:t>
      </w:r>
      <w:r w:rsidR="003346EC">
        <w:rPr>
          <w:lang w:val="nl-NL"/>
        </w:rPr>
        <w:t>privacy protocol</w:t>
      </w:r>
      <w:r w:rsidR="000C2CDF">
        <w:rPr>
          <w:lang w:val="nl-NL"/>
        </w:rPr>
        <w:t xml:space="preserve"> </w:t>
      </w:r>
      <w:r w:rsidR="00C37976">
        <w:rPr>
          <w:lang w:val="nl-NL"/>
        </w:rPr>
        <w:t xml:space="preserve">zijn </w:t>
      </w:r>
      <w:r w:rsidR="007000C6">
        <w:rPr>
          <w:lang w:val="nl-NL"/>
        </w:rPr>
        <w:t>in de maak en</w:t>
      </w:r>
      <w:r w:rsidR="000C2CDF">
        <w:rPr>
          <w:lang w:val="nl-NL"/>
        </w:rPr>
        <w:t xml:space="preserve"> zullen zorgen </w:t>
      </w:r>
      <w:r w:rsidR="00C37976">
        <w:rPr>
          <w:lang w:val="nl-NL"/>
        </w:rPr>
        <w:t xml:space="preserve">voor een </w:t>
      </w:r>
      <w:r w:rsidR="007000C6">
        <w:rPr>
          <w:lang w:val="nl-NL"/>
        </w:rPr>
        <w:t xml:space="preserve">adequate </w:t>
      </w:r>
      <w:r w:rsidR="00C37976">
        <w:rPr>
          <w:lang w:val="nl-NL"/>
        </w:rPr>
        <w:t>juridische basis</w:t>
      </w:r>
      <w:r w:rsidR="000C2CDF">
        <w:rPr>
          <w:lang w:val="nl-NL"/>
        </w:rPr>
        <w:t xml:space="preserve"> v</w:t>
      </w:r>
      <w:r w:rsidR="00BC0E9B">
        <w:rPr>
          <w:lang w:val="nl-NL"/>
        </w:rPr>
        <w:t>oor</w:t>
      </w:r>
      <w:r w:rsidR="000C2CDF">
        <w:rPr>
          <w:lang w:val="nl-NL"/>
        </w:rPr>
        <w:t xml:space="preserve"> informatiedeling </w:t>
      </w:r>
      <w:r w:rsidR="007000C6">
        <w:rPr>
          <w:lang w:val="nl-NL"/>
        </w:rPr>
        <w:t xml:space="preserve">ten behoeve van </w:t>
      </w:r>
      <w:r w:rsidR="000C2CDF">
        <w:rPr>
          <w:lang w:val="nl-NL"/>
        </w:rPr>
        <w:t>het MIT</w:t>
      </w:r>
      <w:r>
        <w:rPr>
          <w:lang w:val="nl-NL"/>
        </w:rPr>
        <w:t xml:space="preserve">. </w:t>
      </w:r>
      <w:r w:rsidR="00F55BCC">
        <w:rPr>
          <w:lang w:val="nl-NL"/>
        </w:rPr>
        <w:t>O</w:t>
      </w:r>
      <w:r w:rsidR="007000C6">
        <w:rPr>
          <w:lang w:val="nl-NL"/>
        </w:rPr>
        <w:t xml:space="preserve">m het MIT </w:t>
      </w:r>
      <w:r w:rsidR="000C2CDF">
        <w:rPr>
          <w:lang w:val="nl-NL"/>
        </w:rPr>
        <w:t>op termijn o</w:t>
      </w:r>
      <w:r w:rsidR="007000C6">
        <w:rPr>
          <w:lang w:val="nl-NL"/>
        </w:rPr>
        <w:t xml:space="preserve">ptimaal te </w:t>
      </w:r>
      <w:r w:rsidR="00BC0E9B">
        <w:rPr>
          <w:lang w:val="nl-NL"/>
        </w:rPr>
        <w:t>laten functioneren</w:t>
      </w:r>
      <w:r w:rsidR="00F55BCC">
        <w:rPr>
          <w:lang w:val="nl-NL"/>
        </w:rPr>
        <w:t xml:space="preserve"> en de waarde van een samenwerkingsverband met toezichts-, handhavings- en opsporingsorganisaties volledig te benutten</w:t>
      </w:r>
      <w:r w:rsidR="007000C6">
        <w:rPr>
          <w:lang w:val="nl-NL"/>
        </w:rPr>
        <w:t xml:space="preserve">, </w:t>
      </w:r>
      <w:r w:rsidR="000C2CDF">
        <w:rPr>
          <w:lang w:val="nl-NL"/>
        </w:rPr>
        <w:t>zal</w:t>
      </w:r>
      <w:r>
        <w:rPr>
          <w:lang w:val="nl-NL"/>
        </w:rPr>
        <w:t xml:space="preserve"> een </w:t>
      </w:r>
      <w:r w:rsidR="000C2CDF">
        <w:rPr>
          <w:lang w:val="nl-NL"/>
        </w:rPr>
        <w:t xml:space="preserve">op het MIT toegesneden </w:t>
      </w:r>
      <w:r>
        <w:rPr>
          <w:lang w:val="nl-NL"/>
        </w:rPr>
        <w:t>juridisch kader voor data- en informatie uitwisseling</w:t>
      </w:r>
      <w:r w:rsidR="000C2CDF">
        <w:rPr>
          <w:lang w:val="nl-NL"/>
        </w:rPr>
        <w:t xml:space="preserve"> nodig zijn.</w:t>
      </w:r>
      <w:r>
        <w:rPr>
          <w:lang w:val="nl-NL"/>
        </w:rPr>
        <w:t xml:space="preserve"> </w:t>
      </w:r>
    </w:p>
    <w:p w:rsidR="00D65865" w:rsidRDefault="00D65865">
      <w:pPr>
        <w:rPr>
          <w:lang w:val="nl-NL"/>
        </w:rPr>
      </w:pPr>
    </w:p>
    <w:p w:rsidRPr="00C25D5B" w:rsidR="00D65865" w:rsidP="00F55BCC" w:rsidRDefault="00F55BCC">
      <w:pPr>
        <w:rPr>
          <w:b/>
          <w:lang w:val="nl-NL"/>
        </w:rPr>
      </w:pPr>
      <w:r>
        <w:rPr>
          <w:lang w:val="nl-NL"/>
        </w:rPr>
        <w:t>H</w:t>
      </w:r>
      <w:r w:rsidR="005A5DDA">
        <w:rPr>
          <w:lang w:val="nl-NL"/>
        </w:rPr>
        <w:t xml:space="preserve">et MIT </w:t>
      </w:r>
      <w:r>
        <w:rPr>
          <w:lang w:val="nl-NL"/>
        </w:rPr>
        <w:t xml:space="preserve">is </w:t>
      </w:r>
      <w:r w:rsidR="005A5DDA">
        <w:rPr>
          <w:lang w:val="nl-NL"/>
        </w:rPr>
        <w:t xml:space="preserve">een nieuwe organisatie waar reeds bestaande partijen nog aan moeten wennen. Dit vraagt tijd. Om te komen tot een effectief MIT is zorgvuldigheid, vertrouwen, commitment en ruimte onontbeerlijk. Het is daarbij begrijpelijk dat er vragen bestaan en er moet altijd ruimte zijn en blijven voor </w:t>
      </w:r>
      <w:r>
        <w:rPr>
          <w:lang w:val="nl-NL"/>
        </w:rPr>
        <w:t xml:space="preserve">opbouwende </w:t>
      </w:r>
      <w:r w:rsidR="005A5DDA">
        <w:rPr>
          <w:lang w:val="nl-NL"/>
        </w:rPr>
        <w:t xml:space="preserve">kritiek. Het MIT bouwen we samen en elke bijdrage is daarbij welkom. Hier zullen alle partijen in de aanpak van </w:t>
      </w:r>
      <w:r w:rsidR="007000C6">
        <w:rPr>
          <w:lang w:val="nl-NL"/>
        </w:rPr>
        <w:t>de georganiseerde criminaliteit</w:t>
      </w:r>
      <w:r w:rsidR="005A5DDA">
        <w:rPr>
          <w:lang w:val="nl-NL"/>
        </w:rPr>
        <w:t xml:space="preserve"> en de samenleving als geheel, uiteindelijk van profiteren. </w:t>
      </w:r>
    </w:p>
    <w:sectPr w:rsidRPr="00C25D5B" w:rsidR="00D65865">
      <w:headerReference w:type="default" r:id="rId7"/>
      <w:pgSz w:w="11920" w:h="16840"/>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FD0" w:rsidRDefault="00BD2FD0">
      <w:r>
        <w:separator/>
      </w:r>
    </w:p>
  </w:endnote>
  <w:endnote w:type="continuationSeparator" w:id="0">
    <w:p w:rsidR="00BD2FD0" w:rsidRDefault="00BD2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FD0" w:rsidRDefault="00BD2FD0">
      <w:r>
        <w:separator/>
      </w:r>
    </w:p>
  </w:footnote>
  <w:footnote w:type="continuationSeparator" w:id="0">
    <w:p w:rsidR="00BD2FD0" w:rsidRDefault="00BD2FD0">
      <w:r>
        <w:continuationSeparator/>
      </w:r>
    </w:p>
  </w:footnote>
  <w:footnote w:type="continuationNotice" w:id="1">
    <w:p w:rsidR="00BD2FD0" w:rsidRDefault="00BD2FD0"/>
  </w:footnote>
  <w:footnote w:id="2">
    <w:p w:rsidR="00D65865" w:rsidRPr="0044091A" w:rsidRDefault="005A5DDA">
      <w:pPr>
        <w:pStyle w:val="Voetnoottekst"/>
        <w:rPr>
          <w:rFonts w:ascii="Arial" w:hAnsi="Arial" w:cs="Arial"/>
        </w:rPr>
      </w:pPr>
      <w:r w:rsidRPr="0044091A">
        <w:rPr>
          <w:rFonts w:ascii="Arial" w:hAnsi="Arial" w:cs="Arial"/>
          <w:vertAlign w:val="superscript"/>
        </w:rPr>
        <w:footnoteRef/>
      </w:r>
      <w:r w:rsidRPr="0044091A">
        <w:rPr>
          <w:rFonts w:ascii="Arial" w:eastAsia="Arial Unicode MS" w:hAnsi="Arial" w:cs="Arial"/>
        </w:rPr>
        <w:t xml:space="preserve"> </w:t>
      </w:r>
      <w:r w:rsidRPr="0044091A">
        <w:rPr>
          <w:rFonts w:ascii="Arial" w:eastAsia="Arial Unicode MS" w:hAnsi="Arial" w:cs="Arial"/>
          <w:sz w:val="18"/>
          <w:szCs w:val="18"/>
        </w:rPr>
        <w:t>Kamerstukken II 2019/20, 29 911, nr. 256; Kamerstukken II 2019/20, 29 911, nr. 254.</w:t>
      </w:r>
    </w:p>
  </w:footnote>
  <w:footnote w:id="3">
    <w:p w:rsidR="00D65865" w:rsidRDefault="005A5DDA">
      <w:pPr>
        <w:pStyle w:val="Voetnoottekst"/>
      </w:pPr>
      <w:r w:rsidRPr="0044091A">
        <w:rPr>
          <w:rFonts w:ascii="Arial" w:hAnsi="Arial" w:cs="Arial"/>
          <w:vertAlign w:val="superscript"/>
        </w:rPr>
        <w:footnoteRef/>
      </w:r>
      <w:r w:rsidRPr="0044091A">
        <w:rPr>
          <w:rFonts w:ascii="Arial" w:eastAsia="Arial Unicode MS" w:hAnsi="Arial" w:cs="Arial"/>
        </w:rPr>
        <w:t xml:space="preserve"> </w:t>
      </w:r>
      <w:r w:rsidRPr="0044091A">
        <w:rPr>
          <w:rFonts w:ascii="Arial" w:eastAsia="Arial Unicode MS" w:hAnsi="Arial" w:cs="Arial"/>
          <w:sz w:val="18"/>
          <w:szCs w:val="18"/>
        </w:rPr>
        <w:t>Kamerstukken II 2020/21, 29 911, nr. 308.</w:t>
      </w:r>
    </w:p>
  </w:footnote>
  <w:footnote w:id="4">
    <w:p w:rsidR="00D65865" w:rsidRDefault="005A5DDA">
      <w:pPr>
        <w:pStyle w:val="Voetnoottekst"/>
      </w:pPr>
      <w:r>
        <w:rPr>
          <w:vertAlign w:val="superscript"/>
        </w:rPr>
        <w:footnoteRef/>
      </w:r>
      <w:r>
        <w:rPr>
          <w:rFonts w:eastAsia="Arial Unicode MS" w:cs="Arial Unicode MS"/>
        </w:rPr>
        <w:t xml:space="preserve"> Zie ook </w:t>
      </w:r>
      <w:r>
        <w:rPr>
          <w:rFonts w:eastAsia="Arial Unicode MS" w:cs="Arial Unicode MS"/>
          <w:sz w:val="18"/>
          <w:szCs w:val="18"/>
        </w:rPr>
        <w:t>Kamerstukken II 2020/21, 29 911, nr. 308.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865" w:rsidRDefault="00D65865">
    <w:pPr>
      <w:pStyle w:val="Koptekst"/>
      <w:tabs>
        <w:tab w:val="clear" w:pos="9072"/>
        <w:tab w:val="right" w:pos="906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865"/>
    <w:rsid w:val="00004EE8"/>
    <w:rsid w:val="00040A4D"/>
    <w:rsid w:val="0007242D"/>
    <w:rsid w:val="000767F6"/>
    <w:rsid w:val="000C2CDF"/>
    <w:rsid w:val="000C5429"/>
    <w:rsid w:val="000C6423"/>
    <w:rsid w:val="00132E94"/>
    <w:rsid w:val="001474C2"/>
    <w:rsid w:val="001B4FF7"/>
    <w:rsid w:val="001C73A8"/>
    <w:rsid w:val="001E069C"/>
    <w:rsid w:val="00202FCB"/>
    <w:rsid w:val="00217E06"/>
    <w:rsid w:val="00280A5A"/>
    <w:rsid w:val="00284578"/>
    <w:rsid w:val="002E5269"/>
    <w:rsid w:val="00321C3A"/>
    <w:rsid w:val="003330CA"/>
    <w:rsid w:val="003346EC"/>
    <w:rsid w:val="0033618A"/>
    <w:rsid w:val="00361B06"/>
    <w:rsid w:val="003C096F"/>
    <w:rsid w:val="0044091A"/>
    <w:rsid w:val="004B0191"/>
    <w:rsid w:val="005A5DDA"/>
    <w:rsid w:val="005A6DAE"/>
    <w:rsid w:val="005E3B0A"/>
    <w:rsid w:val="0062028E"/>
    <w:rsid w:val="00626B6F"/>
    <w:rsid w:val="00676799"/>
    <w:rsid w:val="00683EEC"/>
    <w:rsid w:val="006C5C6A"/>
    <w:rsid w:val="006C766C"/>
    <w:rsid w:val="007000C6"/>
    <w:rsid w:val="0075371C"/>
    <w:rsid w:val="00835282"/>
    <w:rsid w:val="008625A5"/>
    <w:rsid w:val="00887523"/>
    <w:rsid w:val="008A0833"/>
    <w:rsid w:val="008B3CA0"/>
    <w:rsid w:val="008C2D34"/>
    <w:rsid w:val="008F2A63"/>
    <w:rsid w:val="008F6F66"/>
    <w:rsid w:val="00911F12"/>
    <w:rsid w:val="00920623"/>
    <w:rsid w:val="00956EDB"/>
    <w:rsid w:val="009614DE"/>
    <w:rsid w:val="00973B12"/>
    <w:rsid w:val="009776BA"/>
    <w:rsid w:val="009A18D2"/>
    <w:rsid w:val="00A00A31"/>
    <w:rsid w:val="00A22B76"/>
    <w:rsid w:val="00A35D25"/>
    <w:rsid w:val="00A97B82"/>
    <w:rsid w:val="00B17A57"/>
    <w:rsid w:val="00BC0E9B"/>
    <w:rsid w:val="00BD1D91"/>
    <w:rsid w:val="00BD2FD0"/>
    <w:rsid w:val="00BE4022"/>
    <w:rsid w:val="00C25D5B"/>
    <w:rsid w:val="00C37976"/>
    <w:rsid w:val="00C4014B"/>
    <w:rsid w:val="00C42CFA"/>
    <w:rsid w:val="00CC2E7B"/>
    <w:rsid w:val="00D41452"/>
    <w:rsid w:val="00D65865"/>
    <w:rsid w:val="00D6614D"/>
    <w:rsid w:val="00DE7C00"/>
    <w:rsid w:val="00E04133"/>
    <w:rsid w:val="00E258A2"/>
    <w:rsid w:val="00E26D8F"/>
    <w:rsid w:val="00E84675"/>
    <w:rsid w:val="00E91EA1"/>
    <w:rsid w:val="00EA1307"/>
    <w:rsid w:val="00EA4D24"/>
    <w:rsid w:val="00F35B86"/>
    <w:rsid w:val="00F55BCC"/>
    <w:rsid w:val="00FD00C4"/>
    <w:rsid w:val="00FD506E"/>
    <w:rsid w:val="00FE29F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EA8E1B4-9794-4D33-B48D-3C70D155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widowControl w:val="0"/>
    </w:pPr>
    <w:rPr>
      <w:rFonts w:ascii="Arial" w:hAnsi="Arial" w:cs="Arial Unicode MS"/>
      <w:color w:val="000000"/>
      <w:sz w:val="22"/>
      <w:szCs w:val="22"/>
      <w:u w:color="000000"/>
      <w:lang w:val="en-US"/>
      <w14:textOutline w14:w="0" w14:cap="flat" w14:cmpd="sng" w14:algn="ctr">
        <w14:noFill/>
        <w14:prstDash w14:val="solid"/>
        <w14:bevel/>
      </w14:textOutline>
    </w:rPr>
  </w:style>
  <w:style w:type="paragraph" w:styleId="Kop1">
    <w:name w:val="heading 1"/>
    <w:next w:val="Standaard"/>
    <w:pPr>
      <w:keepNext/>
      <w:keepLines/>
      <w:widowControl w:val="0"/>
      <w:spacing w:before="240"/>
      <w:outlineLvl w:val="0"/>
    </w:pPr>
    <w:rPr>
      <w:rFonts w:ascii="Cambria" w:hAnsi="Cambria" w:cs="Arial Unicode MS"/>
      <w:color w:val="365F91"/>
      <w:sz w:val="32"/>
      <w:szCs w:val="32"/>
      <w:u w:color="365F91"/>
      <w:lang w:val="en-US"/>
    </w:rPr>
  </w:style>
  <w:style w:type="paragraph" w:styleId="Kop2">
    <w:name w:val="heading 2"/>
    <w:next w:val="Standaard"/>
    <w:pPr>
      <w:keepNext/>
      <w:keepLines/>
      <w:spacing w:before="240" w:line="276" w:lineRule="auto"/>
      <w:outlineLvl w:val="1"/>
    </w:pPr>
    <w:rPr>
      <w:rFonts w:ascii="Arial" w:hAnsi="Arial" w:cs="Arial Unicode MS"/>
      <w:b/>
      <w:bCs/>
      <w:color w:val="004682"/>
      <w:sz w:val="18"/>
      <w:szCs w:val="18"/>
      <w:u w:color="004682"/>
    </w:rPr>
  </w:style>
  <w:style w:type="paragraph" w:styleId="Kop3">
    <w:name w:val="heading 3"/>
    <w:next w:val="Standaard"/>
    <w:pPr>
      <w:keepNext/>
      <w:keepLines/>
      <w:spacing w:before="160" w:line="276" w:lineRule="auto"/>
      <w:outlineLvl w:val="2"/>
    </w:pPr>
    <w:rPr>
      <w:rFonts w:ascii="Arial" w:hAnsi="Arial" w:cs="Arial Unicode MS"/>
      <w:b/>
      <w:bCs/>
      <w:color w:val="000000"/>
      <w:sz w:val="18"/>
      <w:szCs w:val="18"/>
      <w:u w:color="000000"/>
    </w:rPr>
  </w:style>
  <w:style w:type="paragraph" w:styleId="Kop4">
    <w:name w:val="heading 4"/>
    <w:next w:val="Standaard"/>
    <w:pPr>
      <w:keepNext/>
      <w:keepLines/>
      <w:spacing w:before="160" w:line="276" w:lineRule="auto"/>
      <w:outlineLvl w:val="3"/>
    </w:pPr>
    <w:rPr>
      <w:rFonts w:ascii="Arial" w:hAnsi="Arial" w:cs="Arial Unicode MS"/>
      <w:b/>
      <w:bCs/>
      <w:i/>
      <w:iCs/>
      <w:color w:val="000000"/>
      <w:sz w:val="18"/>
      <w:szCs w:val="18"/>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widowControl w:val="0"/>
      <w:tabs>
        <w:tab w:val="center" w:pos="4536"/>
        <w:tab w:val="right" w:pos="9072"/>
      </w:tabs>
    </w:pPr>
    <w:rPr>
      <w:rFonts w:ascii="Arial" w:hAnsi="Arial" w:cs="Arial Unicode MS"/>
      <w:color w:val="000000"/>
      <w:sz w:val="22"/>
      <w:szCs w:val="22"/>
      <w:u w:color="000000"/>
      <w:lang w:val="en-US"/>
      <w14:textOutline w14:w="0" w14:cap="flat" w14:cmpd="sng" w14:algn="ctr">
        <w14:noFill/>
        <w14:prstDash w14:val="solid"/>
        <w14:bevel/>
      </w14:textOutline>
    </w:rPr>
  </w:style>
  <w:style w:type="paragraph" w:styleId="Bijschrift">
    <w:name w:val="caption"/>
    <w:pPr>
      <w:suppressAutoHyphens/>
      <w:outlineLvl w:val="0"/>
    </w:pPr>
    <w:rPr>
      <w:rFonts w:ascii="Calibri" w:hAnsi="Calibri" w:cs="Arial Unicode MS"/>
      <w:color w:val="000000"/>
      <w:sz w:val="36"/>
      <w:szCs w:val="36"/>
      <w14:textOutline w14:w="12700" w14:cap="flat" w14:cmpd="sng" w14:algn="ctr">
        <w14:noFill/>
        <w14:prstDash w14:val="solid"/>
        <w14:miter w14:lim="400000"/>
      </w14:textOutline>
    </w:rPr>
  </w:style>
  <w:style w:type="paragraph" w:customStyle="1" w:styleId="Kop-envoettekst">
    <w:name w:val="Kop- en voettekst"/>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Plattetekst">
    <w:name w:val="Body Text"/>
    <w:pPr>
      <w:widowControl w:val="0"/>
    </w:pPr>
    <w:rPr>
      <w:rFonts w:ascii="Arial" w:eastAsia="Arial" w:hAnsi="Arial" w:cs="Arial"/>
      <w:color w:val="000000"/>
      <w:sz w:val="18"/>
      <w:szCs w:val="18"/>
      <w:u w:color="000000"/>
      <w:lang w:val="en-US"/>
    </w:rPr>
  </w:style>
  <w:style w:type="paragraph" w:styleId="Voetnoottekst">
    <w:name w:val="footnote text"/>
    <w:rPr>
      <w:rFonts w:ascii="Calibri" w:eastAsia="Calibri" w:hAnsi="Calibri" w:cs="Calibri"/>
      <w:color w:val="000000"/>
      <w:u w:color="000000"/>
    </w:rPr>
  </w:style>
  <w:style w:type="paragraph" w:customStyle="1" w:styleId="Default">
    <w:name w:val="Default"/>
    <w:rsid w:val="00F35B8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4B019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0191"/>
    <w:rPr>
      <w:rFonts w:ascii="Segoe UI" w:hAnsi="Segoe UI" w:cs="Segoe UI"/>
      <w:color w:val="000000"/>
      <w:sz w:val="18"/>
      <w:szCs w:val="18"/>
      <w:u w:color="000000"/>
      <w:lang w:val="en-US"/>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sid w:val="00E91EA1"/>
    <w:rPr>
      <w:sz w:val="16"/>
      <w:szCs w:val="16"/>
    </w:rPr>
  </w:style>
  <w:style w:type="paragraph" w:styleId="Tekstopmerking">
    <w:name w:val="annotation text"/>
    <w:basedOn w:val="Standaard"/>
    <w:link w:val="TekstopmerkingChar"/>
    <w:uiPriority w:val="99"/>
    <w:semiHidden/>
    <w:unhideWhenUsed/>
    <w:rsid w:val="00E91EA1"/>
    <w:rPr>
      <w:sz w:val="20"/>
      <w:szCs w:val="20"/>
    </w:rPr>
  </w:style>
  <w:style w:type="character" w:customStyle="1" w:styleId="TekstopmerkingChar">
    <w:name w:val="Tekst opmerking Char"/>
    <w:basedOn w:val="Standaardalinea-lettertype"/>
    <w:link w:val="Tekstopmerking"/>
    <w:uiPriority w:val="99"/>
    <w:semiHidden/>
    <w:rsid w:val="00E91EA1"/>
    <w:rPr>
      <w:rFonts w:ascii="Arial" w:hAnsi="Arial" w:cs="Arial Unicode MS"/>
      <w:color w:val="000000"/>
      <w:u w:color="000000"/>
      <w:lang w:val="en-US"/>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E91EA1"/>
    <w:rPr>
      <w:b/>
      <w:bCs/>
    </w:rPr>
  </w:style>
  <w:style w:type="character" w:customStyle="1" w:styleId="OnderwerpvanopmerkingChar">
    <w:name w:val="Onderwerp van opmerking Char"/>
    <w:basedOn w:val="TekstopmerkingChar"/>
    <w:link w:val="Onderwerpvanopmerking"/>
    <w:uiPriority w:val="99"/>
    <w:semiHidden/>
    <w:rsid w:val="00E91EA1"/>
    <w:rPr>
      <w:rFonts w:ascii="Arial" w:hAnsi="Arial" w:cs="Arial Unicode MS"/>
      <w:b/>
      <w:bCs/>
      <w:color w:val="000000"/>
      <w:u w:color="000000"/>
      <w:lang w:val="en-US"/>
      <w14:textOutline w14:w="0" w14:cap="flat" w14:cmpd="sng" w14:algn="ctr">
        <w14:noFill/>
        <w14:prstDash w14:val="solid"/>
        <w14:bevel/>
      </w14:textOutline>
    </w:rPr>
  </w:style>
  <w:style w:type="paragraph" w:styleId="Voettekst">
    <w:name w:val="footer"/>
    <w:basedOn w:val="Standaard"/>
    <w:link w:val="VoettekstChar"/>
    <w:uiPriority w:val="99"/>
    <w:unhideWhenUsed/>
    <w:rsid w:val="00C4014B"/>
    <w:pPr>
      <w:tabs>
        <w:tab w:val="center" w:pos="4536"/>
        <w:tab w:val="right" w:pos="9072"/>
      </w:tabs>
    </w:pPr>
  </w:style>
  <w:style w:type="character" w:customStyle="1" w:styleId="VoettekstChar">
    <w:name w:val="Voettekst Char"/>
    <w:basedOn w:val="Standaardalinea-lettertype"/>
    <w:link w:val="Voettekst"/>
    <w:uiPriority w:val="99"/>
    <w:rsid w:val="00C4014B"/>
    <w:rPr>
      <w:rFonts w:ascii="Arial" w:hAnsi="Arial" w:cs="Arial Unicode MS"/>
      <w:color w:val="000000"/>
      <w:sz w:val="22"/>
      <w:szCs w:val="22"/>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3</ap:Pages>
  <ap:Words>1624</ap:Words>
  <ap:Characters>8938</ap:Characters>
  <ap:DocSecurity>4</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2021-09-13T14:32:00.0000000Z</dcterms:created>
  <dcterms:modified xsi:type="dcterms:W3CDTF">2021-09-13T14:32:00.0000000Z</dcterms:modified>
  <dc:description>------------------------</dc:description>
  <dc:subject/>
  <dc:title/>
  <keywords/>
  <version/>
  <category/>
</coreProperties>
</file>