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F403C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BUZA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F403C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13 september</w:t>
                            </w:r>
                            <w:r w:rsidR="00E02D08">
                              <w:t xml:space="preserve"> 2021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F403C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BUZA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F403C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13 september</w:t>
                      </w:r>
                      <w:r w:rsidR="00E02D08">
                        <w:t xml:space="preserve"> 2021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Pr="00566AE4">
        <w:rPr>
          <w:sz w:val="16"/>
          <w:szCs w:val="18"/>
        </w:rPr>
        <w:t xml:space="preserve">tussen </w:t>
      </w:r>
      <w:r w:rsidRPr="00566AE4" w:rsidR="00566AE4">
        <w:rPr>
          <w:b/>
          <w:sz w:val="16"/>
          <w:szCs w:val="18"/>
        </w:rPr>
        <w:t>7 juli 2021</w:t>
      </w:r>
      <w:r w:rsidRPr="00566AE4">
        <w:rPr>
          <w:b/>
          <w:sz w:val="16"/>
          <w:szCs w:val="18"/>
        </w:rPr>
        <w:t xml:space="preserve"> en </w:t>
      </w:r>
      <w:r w:rsidR="00F403C7">
        <w:rPr>
          <w:b/>
          <w:sz w:val="16"/>
          <w:szCs w:val="18"/>
        </w:rPr>
        <w:t>9 september 2021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</w:p>
    <w:p w:rsidR="006E5214" w:rsidP="00566AE4" w:rsidRDefault="00566AE4">
      <w:pPr>
        <w:ind w:firstLine="709"/>
        <w:rPr>
          <w:szCs w:val="18"/>
        </w:rPr>
      </w:pPr>
      <w:r>
        <w:rPr>
          <w:szCs w:val="18"/>
        </w:rPr>
        <w:t>Geen.</w:t>
      </w:r>
      <w:r>
        <w:rPr>
          <w:szCs w:val="18"/>
        </w:rPr>
        <w:br/>
      </w: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>
      <w:pPr>
        <w:rPr>
          <w:szCs w:val="18"/>
        </w:rPr>
      </w:pPr>
    </w:p>
    <w:p w:rsidR="002A4BD8" w:rsidP="002A4BD8" w:rsidRDefault="002A4BD8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2A4BD8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2A4BD8" w:rsidP="004636D5" w:rsidRDefault="002A4BD8">
            <w:pPr>
              <w:pStyle w:val="Lijstalinea"/>
              <w:numPr>
                <w:ilvl w:val="0"/>
                <w:numId w:val="10"/>
              </w:num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4636D5" w:rsidP="003A21AA" w:rsidRDefault="00F403C7">
            <w:pPr>
              <w:spacing w:after="240"/>
              <w:rPr>
                <w:szCs w:val="18"/>
              </w:rPr>
            </w:pPr>
            <w:r w:rsidRPr="00F403C7">
              <w:rPr>
                <w:szCs w:val="18"/>
              </w:rPr>
              <w:t>Voorstel</w:t>
            </w:r>
            <w:r w:rsidR="00CF4DA2">
              <w:rPr>
                <w:szCs w:val="18"/>
              </w:rPr>
              <w:t>len</w:t>
            </w:r>
            <w:r w:rsidRPr="00F403C7">
              <w:rPr>
                <w:szCs w:val="18"/>
              </w:rPr>
              <w:t xml:space="preserve"> voor een BESLUIT VAN DE RAAD inzake het namens de Europese Unie in te nemen standpunt in de Associatieraad die is ingesteld bij de Europees-mediterrane overeenkomst waarbij een associatie tot stand wordt gebracht tussen de Europese Gemeenschap en haar lidstaten, enerzijds, en </w:t>
            </w:r>
            <w:r w:rsidR="00CF4DA2">
              <w:rPr>
                <w:szCs w:val="18"/>
              </w:rPr>
              <w:t xml:space="preserve">ondergenoemde landen </w:t>
            </w:r>
            <w:r w:rsidRPr="00F403C7">
              <w:rPr>
                <w:szCs w:val="18"/>
              </w:rPr>
              <w:t xml:space="preserve">anderzijds, over de geplande vaststelling van een besluit tot verlenging van de partnerschapsprioriteiten totdat </w:t>
            </w:r>
          </w:p>
          <w:p w:rsidR="004636D5" w:rsidP="003A21AA" w:rsidRDefault="00F403C7">
            <w:pPr>
              <w:spacing w:after="240"/>
              <w:rPr>
                <w:szCs w:val="18"/>
              </w:rPr>
            </w:pPr>
            <w:r w:rsidRPr="00F403C7">
              <w:rPr>
                <w:szCs w:val="18"/>
              </w:rPr>
              <w:t xml:space="preserve">de EU en Algerije </w:t>
            </w:r>
            <w:r w:rsidRPr="00F403C7" w:rsidR="004636D5">
              <w:rPr>
                <w:szCs w:val="18"/>
              </w:rPr>
              <w:t xml:space="preserve">(Besluit, </w:t>
            </w:r>
            <w:hyperlink w:history="1" r:id="rId11">
              <w:r w:rsidRPr="00F403C7" w:rsidR="004636D5">
                <w:rPr>
                  <w:rStyle w:val="Hyperlink"/>
                  <w:rFonts w:cs="Calibri"/>
                  <w:szCs w:val="18"/>
                </w:rPr>
                <w:t>COM (2021) 317</w:t>
              </w:r>
            </w:hyperlink>
            <w:r w:rsidRPr="00F403C7" w:rsidR="004636D5">
              <w:rPr>
                <w:rFonts w:cs="Calibri"/>
                <w:color w:val="0000FF"/>
                <w:szCs w:val="18"/>
                <w:u w:val="single"/>
              </w:rPr>
              <w:t>)</w:t>
            </w:r>
          </w:p>
          <w:p w:rsidR="004636D5" w:rsidP="003A21AA" w:rsidRDefault="004636D5">
            <w:pPr>
              <w:spacing w:after="240"/>
              <w:rPr>
                <w:rFonts w:cs="Calibri"/>
                <w:color w:val="0000FF"/>
                <w:szCs w:val="18"/>
                <w:u w:val="single"/>
              </w:rPr>
            </w:pPr>
            <w:r w:rsidRPr="00F403C7">
              <w:rPr>
                <w:szCs w:val="18"/>
              </w:rPr>
              <w:t xml:space="preserve">de EU en Egypte </w:t>
            </w:r>
            <w:r>
              <w:rPr>
                <w:szCs w:val="18"/>
              </w:rPr>
              <w:t xml:space="preserve"> </w:t>
            </w:r>
            <w:r w:rsidRPr="00F403C7">
              <w:rPr>
                <w:szCs w:val="18"/>
              </w:rPr>
              <w:t xml:space="preserve">(Besluit, </w:t>
            </w:r>
            <w:hyperlink w:history="1" r:id="rId12">
              <w:r w:rsidRPr="00F403C7">
                <w:rPr>
                  <w:rStyle w:val="Hyperlink"/>
                  <w:rFonts w:cs="Calibri"/>
                  <w:szCs w:val="18"/>
                </w:rPr>
                <w:t>COM (2021) 318</w:t>
              </w:r>
            </w:hyperlink>
            <w:r w:rsidRPr="00F403C7">
              <w:rPr>
                <w:rFonts w:cs="Calibri"/>
                <w:color w:val="0000FF"/>
                <w:szCs w:val="18"/>
                <w:u w:val="single"/>
              </w:rPr>
              <w:t>)</w:t>
            </w:r>
          </w:p>
          <w:p w:rsidR="004636D5" w:rsidP="003A21AA" w:rsidRDefault="004636D5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</w:t>
            </w:r>
            <w:r w:rsidRPr="00566AE4">
              <w:rPr>
                <w:szCs w:val="18"/>
              </w:rPr>
              <w:t>e EU en Jordanië (Besluit,</w:t>
            </w:r>
            <w:r w:rsidRPr="00566AE4">
              <w:rPr>
                <w:b/>
                <w:szCs w:val="18"/>
              </w:rPr>
              <w:t xml:space="preserve"> </w:t>
            </w:r>
            <w:hyperlink w:history="1" r:id="rId13">
              <w:r>
                <w:rPr>
                  <w:rStyle w:val="Hyperlink"/>
                  <w:rFonts w:cs="Calibri"/>
                  <w:szCs w:val="18"/>
                </w:rPr>
                <w:t>COM (2021) 319</w:t>
              </w:r>
            </w:hyperlink>
            <w:r>
              <w:rPr>
                <w:rFonts w:cs="Calibri"/>
                <w:color w:val="0000FF"/>
                <w:szCs w:val="18"/>
                <w:u w:val="single"/>
              </w:rPr>
              <w:t>)</w:t>
            </w:r>
          </w:p>
          <w:p w:rsidRPr="004636D5" w:rsidR="004636D5" w:rsidP="004636D5" w:rsidRDefault="004636D5">
            <w:pPr>
              <w:spacing w:after="240"/>
              <w:rPr>
                <w:szCs w:val="18"/>
              </w:rPr>
            </w:pPr>
            <w:r w:rsidRPr="004636D5">
              <w:rPr>
                <w:szCs w:val="18"/>
              </w:rPr>
              <w:t xml:space="preserve">de EU en Tunesië (Besluit, </w:t>
            </w:r>
            <w:hyperlink w:history="1" r:id="rId14">
              <w:r w:rsidRPr="004636D5">
                <w:rPr>
                  <w:rStyle w:val="Hyperlink"/>
                  <w:szCs w:val="18"/>
                </w:rPr>
                <w:t>COM (2021) 320</w:t>
              </w:r>
            </w:hyperlink>
            <w:r w:rsidRPr="004636D5">
              <w:rPr>
                <w:szCs w:val="18"/>
                <w:u w:val="single"/>
              </w:rPr>
              <w:t>)</w:t>
            </w:r>
          </w:p>
          <w:p w:rsidR="004636D5" w:rsidP="004636D5" w:rsidRDefault="00CF4DA2">
            <w:pPr>
              <w:spacing w:after="240"/>
              <w:rPr>
                <w:szCs w:val="18"/>
              </w:rPr>
            </w:pPr>
            <w:r w:rsidRPr="00566AE4">
              <w:rPr>
                <w:szCs w:val="18"/>
              </w:rPr>
              <w:t>de EU en Libanon (Besluit,</w:t>
            </w:r>
            <w:r w:rsidRPr="00566AE4">
              <w:rPr>
                <w:b/>
                <w:szCs w:val="18"/>
              </w:rPr>
              <w:t xml:space="preserve"> </w:t>
            </w:r>
            <w:hyperlink w:history="1" r:id="rId15">
              <w:r>
                <w:rPr>
                  <w:rStyle w:val="Hyperlink"/>
                  <w:rFonts w:cs="Calibri"/>
                  <w:szCs w:val="18"/>
                </w:rPr>
                <w:t>COM (2021) 406</w:t>
              </w:r>
            </w:hyperlink>
            <w:r>
              <w:rPr>
                <w:rFonts w:cs="Calibri"/>
                <w:color w:val="0000FF"/>
                <w:szCs w:val="18"/>
                <w:u w:val="single"/>
              </w:rPr>
              <w:t>)</w:t>
            </w:r>
          </w:p>
          <w:p w:rsidRPr="00F403C7" w:rsidR="002A4BD8" w:rsidP="004636D5" w:rsidRDefault="00F403C7">
            <w:pPr>
              <w:spacing w:after="240"/>
              <w:rPr>
                <w:color w:val="595959" w:themeColor="text1" w:themeTint="A6"/>
                <w:szCs w:val="18"/>
              </w:rPr>
            </w:pPr>
            <w:r w:rsidRPr="00F403C7">
              <w:rPr>
                <w:szCs w:val="18"/>
              </w:rPr>
              <w:t>geactualiseerde gezamenlijke documenten hebben vastgesteld</w:t>
            </w:r>
            <w:r w:rsidR="00736CE0">
              <w:rPr>
                <w:szCs w:val="18"/>
              </w:rPr>
              <w:t>.</w:t>
            </w:r>
            <w:r w:rsidRPr="00F403C7">
              <w:rPr>
                <w:szCs w:val="18"/>
              </w:rPr>
              <w:t xml:space="preserve"> </w:t>
            </w:r>
          </w:p>
        </w:tc>
      </w:tr>
      <w:tr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2A4BD8" w:rsidP="003A21AA" w:rsidRDefault="002A4BD8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2A4BD8" w:rsidP="003A21AA" w:rsidRDefault="002A4BD8">
            <w:pPr>
              <w:spacing w:after="240"/>
              <w:rPr>
                <w:szCs w:val="18"/>
              </w:rPr>
            </w:pPr>
            <w:r w:rsidRPr="00566AE4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F403C7" w:rsidR="002A4BD8" w:rsidP="003A21AA" w:rsidRDefault="00F403C7">
            <w:pPr>
              <w:spacing w:after="240"/>
              <w:rPr>
                <w:szCs w:val="18"/>
              </w:rPr>
            </w:pPr>
            <w:r w:rsidRPr="00F403C7">
              <w:rPr>
                <w:szCs w:val="18"/>
              </w:rPr>
              <w:t xml:space="preserve">Voor kennisgeving aannemen. </w:t>
            </w:r>
          </w:p>
        </w:tc>
      </w:tr>
      <w:tr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2A4BD8" w:rsidP="00736CE0" w:rsidRDefault="00CF4DA2">
            <w:pPr>
              <w:spacing w:after="240"/>
              <w:rPr>
                <w:color w:val="595959" w:themeColor="text1" w:themeTint="A6"/>
                <w:szCs w:val="18"/>
              </w:rPr>
            </w:pPr>
            <w:r w:rsidRPr="00571C23">
              <w:rPr>
                <w:szCs w:val="18"/>
              </w:rPr>
              <w:t>Het betreft vijftal voorstellen tot een besluit van de Raad om in het kader van de Associatieraad die is ingesteld bij de Europees-mediterrane overeenkomst</w:t>
            </w:r>
            <w:r w:rsidRPr="00571C23" w:rsidR="00782B2B">
              <w:rPr>
                <w:szCs w:val="18"/>
              </w:rPr>
              <w:t>,</w:t>
            </w:r>
            <w:r w:rsidRPr="00571C23">
              <w:rPr>
                <w:szCs w:val="18"/>
              </w:rPr>
              <w:t xml:space="preserve"> de partnerschapsprioriteiten </w:t>
            </w:r>
            <w:r w:rsidRPr="00571C23" w:rsidR="00736CE0">
              <w:rPr>
                <w:szCs w:val="18"/>
              </w:rPr>
              <w:t xml:space="preserve">te verlengen. Dit met als doel om de </w:t>
            </w:r>
            <w:r w:rsidRPr="00571C23">
              <w:rPr>
                <w:szCs w:val="18"/>
              </w:rPr>
              <w:t xml:space="preserve">EU en genoemde landen </w:t>
            </w:r>
            <w:r w:rsidRPr="00571C23" w:rsidR="00736CE0">
              <w:rPr>
                <w:szCs w:val="18"/>
              </w:rPr>
              <w:t>meer tijd te geven om geactualiseerde gezamenlijke documenten vast te stellen ten aanzien van deze prioriteiten.</w:t>
            </w:r>
          </w:p>
        </w:tc>
      </w:tr>
    </w:tbl>
    <w:p w:rsidR="002A4BD8" w:rsidP="002A4BD8" w:rsidRDefault="002A4BD8">
      <w:pPr>
        <w:rPr>
          <w:szCs w:val="18"/>
        </w:rPr>
      </w:pPr>
    </w:p>
    <w:p w:rsidR="002A4BD8" w:rsidP="002A4BD8" w:rsidRDefault="002A4BD8">
      <w:pPr>
        <w:rPr>
          <w:szCs w:val="18"/>
        </w:rPr>
      </w:pPr>
    </w:p>
    <w:p w:rsidR="00DF5A2E" w:rsidP="002A4BD8" w:rsidRDefault="00DF5A2E">
      <w:pPr>
        <w:rPr>
          <w:szCs w:val="18"/>
        </w:rPr>
      </w:pPr>
    </w:p>
    <w:p w:rsidR="00DF5A2E" w:rsidP="002A4BD8" w:rsidRDefault="00DF5A2E">
      <w:pPr>
        <w:rPr>
          <w:szCs w:val="18"/>
        </w:rPr>
      </w:pPr>
    </w:p>
    <w:p w:rsidR="006E5214" w:rsidP="002A4BD8" w:rsidRDefault="006E5214">
      <w:pPr>
        <w:rPr>
          <w:szCs w:val="18"/>
        </w:rPr>
      </w:pPr>
    </w:p>
    <w:p w:rsidR="006E5214" w:rsidP="002A4BD8" w:rsidRDefault="006E5214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F403C7" w:rsidTr="00814616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F403C7" w:rsidP="00814616" w:rsidRDefault="00F403C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403C7" w:rsidP="00814616" w:rsidRDefault="00F403C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75535" w:rsidR="00F403C7" w:rsidP="00814616" w:rsidRDefault="00F403C7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 w:rsidRPr="00F403C7">
              <w:rPr>
                <w:szCs w:val="18"/>
              </w:rPr>
              <w:t>VERSLAG VAN DE COMMISSIE AAN HET EUROPEES PARLEMENT EN DE RAAD betreffende artikel 7, punt a, van Verordening (EG) nr. 2271/96 van de Raad (de “blokkeringsverordening”) (Verslag,</w:t>
            </w:r>
            <w:r w:rsidRPr="00F403C7">
              <w:rPr>
                <w:b/>
                <w:szCs w:val="18"/>
              </w:rPr>
              <w:t xml:space="preserve"> </w:t>
            </w:r>
            <w:hyperlink w:history="1" r:id="rId16">
              <w:r>
                <w:rPr>
                  <w:rStyle w:val="Hyperlink"/>
                  <w:rFonts w:cs="Calibri"/>
                  <w:szCs w:val="18"/>
                </w:rPr>
                <w:t>COM (2021) 535</w:t>
              </w:r>
            </w:hyperlink>
            <w:r>
              <w:rPr>
                <w:rFonts w:cs="Calibri"/>
                <w:color w:val="0000FF"/>
                <w:szCs w:val="18"/>
                <w:u w:val="single"/>
              </w:rPr>
              <w:t>)</w:t>
            </w:r>
          </w:p>
        </w:tc>
      </w:tr>
      <w:tr w:rsidR="00F403C7" w:rsidTr="00814616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F403C7" w:rsidP="00814616" w:rsidRDefault="00F403C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F403C7" w:rsidP="00814616" w:rsidRDefault="00F403C7">
            <w:pPr>
              <w:spacing w:after="240"/>
              <w:rPr>
                <w:szCs w:val="18"/>
              </w:rPr>
            </w:pPr>
            <w:r w:rsidRPr="00566AE4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F403C7" w:rsidP="00814616" w:rsidRDefault="00F403C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Voor kennisgeving aannemen. </w:t>
            </w:r>
          </w:p>
        </w:tc>
      </w:tr>
      <w:tr w:rsidR="00F403C7" w:rsidTr="00814616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403C7" w:rsidP="00814616" w:rsidRDefault="00F403C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403C7" w:rsidP="00814616" w:rsidRDefault="00F403C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571C23" w:rsidR="00F403C7" w:rsidP="00782B2B" w:rsidRDefault="00BE4E99">
            <w:pPr>
              <w:spacing w:after="240"/>
              <w:rPr>
                <w:szCs w:val="18"/>
              </w:rPr>
            </w:pPr>
            <w:r w:rsidRPr="00571C23">
              <w:rPr>
                <w:szCs w:val="18"/>
              </w:rPr>
              <w:t xml:space="preserve">Het betreft een verslag over de </w:t>
            </w:r>
            <w:r w:rsidRPr="00571C23" w:rsidR="004712EA">
              <w:rPr>
                <w:szCs w:val="18"/>
              </w:rPr>
              <w:t>zogeheten “</w:t>
            </w:r>
            <w:r w:rsidRPr="00571C23">
              <w:rPr>
                <w:szCs w:val="18"/>
              </w:rPr>
              <w:t>blokkeringsverordening</w:t>
            </w:r>
            <w:r w:rsidRPr="00571C23" w:rsidR="004712EA">
              <w:rPr>
                <w:szCs w:val="18"/>
              </w:rPr>
              <w:t>”</w:t>
            </w:r>
            <w:r w:rsidRPr="00571C23">
              <w:rPr>
                <w:szCs w:val="18"/>
              </w:rPr>
              <w:t xml:space="preserve">. Sommige landen buiten de EU passen sancties extraterritoriaal toe, d.w.z. zij verwachten dat burgers en bedrijven van derde landen, met inbegrip van EU-landen, in overeenstemming met die sancties handelen. In beginsel is de EU van mening dat </w:t>
            </w:r>
            <w:r w:rsidRPr="00571C23" w:rsidR="004712EA">
              <w:rPr>
                <w:szCs w:val="18"/>
              </w:rPr>
              <w:t xml:space="preserve">een dergelijke </w:t>
            </w:r>
            <w:r w:rsidRPr="00571C23">
              <w:rPr>
                <w:szCs w:val="18"/>
              </w:rPr>
              <w:t xml:space="preserve">extraterritoriale toepassing van sancties in strijd is met het internationaal recht. </w:t>
            </w:r>
            <w:r w:rsidRPr="00571C23" w:rsidR="00782B2B">
              <w:rPr>
                <w:szCs w:val="18"/>
              </w:rPr>
              <w:t>D</w:t>
            </w:r>
            <w:r w:rsidRPr="00571C23">
              <w:rPr>
                <w:szCs w:val="18"/>
              </w:rPr>
              <w:t xml:space="preserve">e </w:t>
            </w:r>
            <w:r w:rsidRPr="00571C23" w:rsidR="00782B2B">
              <w:rPr>
                <w:szCs w:val="18"/>
              </w:rPr>
              <w:t xml:space="preserve">genoemde </w:t>
            </w:r>
            <w:r w:rsidRPr="00571C23" w:rsidR="004712EA">
              <w:rPr>
                <w:szCs w:val="18"/>
              </w:rPr>
              <w:t>EU-</w:t>
            </w:r>
            <w:r w:rsidRPr="00571C23">
              <w:rPr>
                <w:szCs w:val="18"/>
              </w:rPr>
              <w:t xml:space="preserve">blokkeringsverordening </w:t>
            </w:r>
            <w:r w:rsidRPr="00571C23" w:rsidR="004712EA">
              <w:rPr>
                <w:szCs w:val="18"/>
              </w:rPr>
              <w:t>is</w:t>
            </w:r>
            <w:r w:rsidRPr="00571C23" w:rsidR="00782B2B">
              <w:rPr>
                <w:szCs w:val="18"/>
              </w:rPr>
              <w:t xml:space="preserve"> (uitsluitend) van toepassing op dergelijke sancties van de Verenigde Staten tegen Iran en Cuba. </w:t>
            </w:r>
            <w:r w:rsidRPr="00571C23" w:rsidR="004712EA">
              <w:rPr>
                <w:szCs w:val="18"/>
              </w:rPr>
              <w:t xml:space="preserve">Dit verslag geeft een overzicht van </w:t>
            </w:r>
            <w:r w:rsidRPr="00571C23" w:rsidR="00782B2B">
              <w:rPr>
                <w:szCs w:val="18"/>
              </w:rPr>
              <w:t>recente ervaringen met genoemde verordening.</w:t>
            </w:r>
            <w:r w:rsidRPr="00571C23" w:rsidR="004712EA">
              <w:rPr>
                <w:szCs w:val="18"/>
              </w:rPr>
              <w:t xml:space="preserve"> </w:t>
            </w:r>
          </w:p>
        </w:tc>
      </w:tr>
    </w:tbl>
    <w:p w:rsidR="00F403C7" w:rsidP="002A4BD8" w:rsidRDefault="00F403C7">
      <w:pPr>
        <w:rPr>
          <w:szCs w:val="18"/>
        </w:rPr>
      </w:pPr>
    </w:p>
    <w:sectPr w:rsidR="00F403C7" w:rsidSect="00BF62AD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6D" w:rsidRDefault="0017206D">
      <w:r>
        <w:separator/>
      </w:r>
    </w:p>
  </w:endnote>
  <w:endnote w:type="continuationSeparator" w:id="0">
    <w:p w:rsidR="0017206D" w:rsidRDefault="0017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71C2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71C2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71C2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71C2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6D" w:rsidRDefault="0017206D">
      <w:r>
        <w:separator/>
      </w:r>
    </w:p>
  </w:footnote>
  <w:footnote w:type="continuationSeparator" w:id="0">
    <w:p w:rsidR="0017206D" w:rsidRDefault="0017206D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769C9AF8"/>
    <w:lvl w:ilvl="0" w:tplc="25FEF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206D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20B2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36D5"/>
    <w:rsid w:val="00464184"/>
    <w:rsid w:val="004712EA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5011"/>
    <w:rsid w:val="00566AE4"/>
    <w:rsid w:val="00571C23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CE0"/>
    <w:rsid w:val="007417AC"/>
    <w:rsid w:val="007439D7"/>
    <w:rsid w:val="00745D31"/>
    <w:rsid w:val="00755534"/>
    <w:rsid w:val="00757AA5"/>
    <w:rsid w:val="0076080B"/>
    <w:rsid w:val="007642F9"/>
    <w:rsid w:val="00770A61"/>
    <w:rsid w:val="00773074"/>
    <w:rsid w:val="00773C33"/>
    <w:rsid w:val="00781A50"/>
    <w:rsid w:val="00782B2B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E4E99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4DA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924C2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0037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3C7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eur-lex.europa.eu/search.html?DTA=2021&amp;SUBDOM_INIT=ALL_ALL&amp;DB_TYPE_OF_ACT=comJoin&amp;DTS_SUBDOM=ALL_ALL&amp;typeOfActStatus=COM_JOIN&amp;DTS_DOM=ALL&amp;type=advanced&amp;excConsLeg=true&amp;qid=1628071313450&amp;DTN=0319" TargetMode="External" Id="rId13" /><Relationship Type="http://schemas.openxmlformats.org/officeDocument/2006/relationships/footer" Target="footer2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ur-lex.europa.eu/search.html?DTA=2021&amp;SUBDOM_INIT=ALL_ALL&amp;DB_TYPE_OF_ACT=comJoin&amp;DTS_SUBDOM=ALL_ALL&amp;typeOfActStatus=COM_JOIN&amp;DTS_DOM=ALL&amp;type=advanced&amp;excConsLeg=true&amp;qid=1627464980217&amp;DTN=0318" TargetMode="External" Id="rId12" /><Relationship Type="http://schemas.openxmlformats.org/officeDocument/2006/relationships/header" Target="header2.xml" Id="rId17" /><Relationship Type="http://schemas.openxmlformats.org/officeDocument/2006/relationships/hyperlink" Target="https://eur-lex.europa.eu/search.html?DTA=2021&amp;SUBDOM_INIT=ALL_ALL&amp;DB_TYPE_OF_ACT=comJoin&amp;DTS_SUBDOM=ALL_ALL&amp;typeOfActStatus=COM_JOIN&amp;DTS_DOM=ALL&amp;type=advanced&amp;excConsLeg=true&amp;qid=1631019443437&amp;DTN=0535" TargetMode="Externa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hyperlink" Target="https://eur-lex.europa.eu/search.html?DTA=2021&amp;SUBDOM_INIT=ALL_ALL&amp;DB_TYPE_OF_ACT=comJoin&amp;DTS_SUBDOM=ALL_ALL&amp;typeOfActStatus=COM_JOIN&amp;DTS_DOM=ALL&amp;type=advanced&amp;excConsLeg=true&amp;qid=1627464665087&amp;DTN=0317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eur-lex.europa.eu/search.html?DTA=2021&amp;SUBDOM_INIT=ALL_ALL&amp;DTS_SUBDOM=ALL_ALL&amp;DTS_DOM=ALL&amp;type=advanced&amp;excConsLeg=true&amp;qid=1628071138281&amp;DTN=0406" TargetMode="External" Id="rId15" /><Relationship Type="http://schemas.openxmlformats.org/officeDocument/2006/relationships/footer" Target="footer1.xm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https://eur-lex.europa.eu/search.html?DTA=2021&amp;SUBDOM_INIT=ALL_ALL&amp;DB_TYPE_OF_ACT=comJoin&amp;DTS_SUBDOM=ALL_ALL&amp;typeOfActStatus=COM_JOIN&amp;DTS_DOM=ALL&amp;type=advanced&amp;excConsLeg=true&amp;qid=1628071402496&amp;DTN=0320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569</ap:Words>
  <ap:Characters>3133</ap:Characters>
  <ap:DocSecurity>0</ap:DocSecurity>
  <ap:Lines>26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2021-09-13T11:11:00.0000000Z</dcterms:created>
  <dcterms:modified xsi:type="dcterms:W3CDTF">2021-09-13T11:27:00.0000000Z</dcterms:modified>
  <dc:description>------------------------</dc:description>
  <dc:subject/>
  <keywords/>
  <version/>
  <category/>
</coreProperties>
</file>