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11774219">
                            <w:pPr>
                              <w:pStyle w:val="Huisstijl-Agendatitel"/>
                              <w:ind w:left="0" w:firstLine="0"/>
                              <w:jc w:val="right"/>
                            </w:pPr>
                            <w:r>
                              <w:t xml:space="preserve">Commissie </w:t>
                            </w:r>
                            <w:r w:rsidR="00471679">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1B2596" w14:paraId="258EB843" w14:textId="602946E8">
                            <w:pPr>
                              <w:pStyle w:val="Huisstijl-Agendatitel"/>
                              <w:ind w:left="0" w:firstLine="0"/>
                              <w:jc w:val="right"/>
                            </w:pPr>
                            <w:r>
                              <w:t>10 september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11774219">
                      <w:pPr>
                        <w:pStyle w:val="Huisstijl-Agendatitel"/>
                        <w:ind w:left="0" w:firstLine="0"/>
                        <w:jc w:val="right"/>
                      </w:pPr>
                      <w:r>
                        <w:t xml:space="preserve">Commissie </w:t>
                      </w:r>
                      <w:r w:rsidR="00471679">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1B2596" w14:paraId="258EB843" w14:textId="602946E8">
                      <w:pPr>
                        <w:pStyle w:val="Huisstijl-Agendatitel"/>
                        <w:ind w:left="0" w:firstLine="0"/>
                        <w:jc w:val="right"/>
                      </w:pPr>
                      <w:r>
                        <w:t>10 september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FA4964" w:rsidR="006F2511" w:rsidP="00C727FA" w:rsidRDefault="006F2511" w14:paraId="5B687A43" w14:textId="485670F3">
      <w:pPr>
        <w:rPr>
          <w:szCs w:val="18"/>
        </w:rPr>
      </w:pPr>
      <w:r w:rsidRPr="00FA4964">
        <w:rPr>
          <w:szCs w:val="18"/>
        </w:rPr>
        <w:t>De</w:t>
      </w:r>
      <w:r w:rsidRPr="00FA4964">
        <w:rPr>
          <w:b/>
          <w:szCs w:val="18"/>
        </w:rPr>
        <w:t xml:space="preserve"> </w:t>
      </w:r>
      <w:r w:rsidRPr="00FA4964">
        <w:rPr>
          <w:szCs w:val="18"/>
        </w:rPr>
        <w:t>Europese Commissie heeft</w:t>
      </w:r>
      <w:r w:rsidRPr="00FA4964" w:rsidR="00FA4964">
        <w:rPr>
          <w:szCs w:val="18"/>
        </w:rPr>
        <w:t xml:space="preserve"> in de periode sinds de vorige lijst met EU-voorstellen (die is besproken in de vorige procedurevergadering) </w:t>
      </w:r>
      <w:r w:rsidRPr="00FA4964">
        <w:rPr>
          <w:szCs w:val="18"/>
        </w:rPr>
        <w:t xml:space="preserve">de volgende voor </w:t>
      </w:r>
      <w:r w:rsidRPr="00FA4964" w:rsidR="00E02D08">
        <w:rPr>
          <w:szCs w:val="18"/>
        </w:rPr>
        <w:t>de</w:t>
      </w:r>
      <w:r w:rsidRPr="00FA4964" w:rsidR="00405747">
        <w:rPr>
          <w:szCs w:val="18"/>
        </w:rPr>
        <w:t>ze</w:t>
      </w:r>
      <w:r w:rsidRPr="00FA4964" w:rsidR="00E02D08">
        <w:rPr>
          <w:szCs w:val="18"/>
        </w:rPr>
        <w:t xml:space="preserve"> </w:t>
      </w:r>
      <w:r w:rsidRPr="00FA4964">
        <w:rPr>
          <w:szCs w:val="18"/>
        </w:rPr>
        <w:t>vaste commissie</w:t>
      </w:r>
      <w:r w:rsidRPr="00FA4964">
        <w:rPr>
          <w:b/>
          <w:szCs w:val="18"/>
        </w:rPr>
        <w:t xml:space="preserve"> </w:t>
      </w:r>
      <w:r w:rsidRPr="00FA4964">
        <w:rPr>
          <w:szCs w:val="18"/>
        </w:rPr>
        <w:t>relevante voorstellen voor Europese wetgeving, besluiten en andere beleidsvormende documenten aan de Tweede Kamer gestuurd</w:t>
      </w:r>
      <w:r w:rsidRPr="00FA4964" w:rsidR="002B21B2">
        <w:rPr>
          <w:rStyle w:val="Voetnootmarkering"/>
          <w:szCs w:val="18"/>
        </w:rPr>
        <w:footnoteReference w:id="1"/>
      </w:r>
      <w:r w:rsidRPr="00FA4964">
        <w:rPr>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bookmarkStart w:name="_GoBack" w:id="0"/>
      <w:bookmarkEnd w:id="0"/>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A6013" w:rsidR="002A4BD8" w:rsidTr="002E45B3" w14:paraId="786F79CD" w14:textId="77777777">
        <w:tc>
          <w:tcPr>
            <w:tcW w:w="421" w:type="dxa"/>
            <w:vMerge w:val="restart"/>
            <w:tcBorders>
              <w:top w:val="single" w:color="D9D9D9" w:themeColor="background1" w:themeShade="D9" w:sz="4" w:space="0"/>
              <w:bottom w:val="single" w:color="D9D9D9" w:themeColor="background1" w:themeShade="D9" w:sz="4" w:space="0"/>
              <w:right w:val="single" w:color="auto" w:sz="4" w:space="0"/>
            </w:tcBorders>
            <w:shd w:val="clear" w:color="auto" w:fill="F2F2F2" w:themeFill="background1" w:themeFillShade="F2"/>
          </w:tcPr>
          <w:p w:rsidRPr="002A4BD8"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Borders>
              <w:top w:val="single" w:color="auto" w:sz="4" w:space="0"/>
              <w:left w:val="single" w:color="auto" w:sz="4" w:space="0"/>
              <w:bottom w:val="single" w:color="auto" w:sz="4" w:space="0"/>
              <w:right w:val="single" w:color="auto" w:sz="4" w:space="0"/>
            </w:tcBorders>
          </w:tcPr>
          <w:p w:rsidRPr="00D75535" w:rsidR="002A4BD8" w:rsidP="003A21AA" w:rsidRDefault="002A4BD8" w14:paraId="417B6F7B" w14:textId="77777777">
            <w:pPr>
              <w:spacing w:after="240"/>
              <w:rPr>
                <w:color w:val="595959" w:themeColor="text1" w:themeTint="A6"/>
                <w:szCs w:val="18"/>
              </w:rPr>
            </w:pPr>
            <w:r w:rsidRPr="00D75535">
              <w:rPr>
                <w:color w:val="595959" w:themeColor="text1" w:themeTint="A6"/>
                <w:szCs w:val="18"/>
              </w:rPr>
              <w:t>Titel</w:t>
            </w:r>
          </w:p>
        </w:tc>
        <w:tc>
          <w:tcPr>
            <w:tcW w:w="6529" w:type="dxa"/>
            <w:tcBorders>
              <w:top w:val="single" w:color="auto" w:sz="4" w:space="0"/>
              <w:left w:val="single" w:color="auto" w:sz="4" w:space="0"/>
              <w:bottom w:val="single" w:color="auto" w:sz="4" w:space="0"/>
              <w:right w:val="single" w:color="auto" w:sz="4" w:space="0"/>
            </w:tcBorders>
          </w:tcPr>
          <w:p w:rsidRPr="007A6013" w:rsidR="00030BC7" w:rsidP="00030BC7" w:rsidRDefault="007A6013" w14:paraId="3C0AB2FB" w14:textId="3DE40824">
            <w:pPr>
              <w:spacing w:after="240"/>
              <w:rPr>
                <w:rFonts w:ascii="Calibri" w:hAnsi="Calibri" w:cs="Calibri"/>
                <w:color w:val="0000FF"/>
                <w:sz w:val="22"/>
                <w:u w:val="single"/>
                <w:lang w:eastAsia="nl-NL"/>
              </w:rPr>
            </w:pPr>
            <w:r w:rsidRPr="007A6013">
              <w:rPr>
                <w:rFonts w:ascii="Calibri" w:hAnsi="Calibri" w:cs="Calibri"/>
                <w:color w:val="000000"/>
                <w:sz w:val="22"/>
              </w:rPr>
              <w:t xml:space="preserve">Voorstel voor een Richtlijn van het Europees Parlement en de Raad betreffende consumentenkrediet </w:t>
            </w:r>
            <w:hyperlink w:history="1" r:id="rId14">
              <w:r w:rsidRPr="007A6013" w:rsidR="00030BC7">
                <w:rPr>
                  <w:rStyle w:val="Hyperlink"/>
                  <w:rFonts w:ascii="Calibri" w:hAnsi="Calibri" w:cs="Calibri"/>
                  <w:sz w:val="22"/>
                </w:rPr>
                <w:t>COM (2021) 347</w:t>
              </w:r>
            </w:hyperlink>
          </w:p>
          <w:p w:rsidRPr="007A6013" w:rsidR="002A4BD8" w:rsidP="003A21AA" w:rsidRDefault="002A4BD8" w14:paraId="3770AB7C" w14:textId="4AA728F5">
            <w:pPr>
              <w:spacing w:after="240"/>
              <w:rPr>
                <w:b/>
                <w:color w:val="595959" w:themeColor="text1" w:themeTint="A6"/>
                <w:szCs w:val="18"/>
              </w:rPr>
            </w:pPr>
          </w:p>
        </w:tc>
      </w:tr>
      <w:tr w:rsidR="002A4BD8" w:rsidTr="002E45B3" w14:paraId="3788D6EA" w14:textId="77777777">
        <w:tc>
          <w:tcPr>
            <w:tcW w:w="421" w:type="dxa"/>
            <w:vMerge/>
            <w:tcBorders>
              <w:top w:val="nil"/>
              <w:bottom w:val="single" w:color="D9D9D9" w:themeColor="background1" w:themeShade="D9" w:sz="4" w:space="0"/>
              <w:right w:val="single" w:color="auto" w:sz="4" w:space="0"/>
            </w:tcBorders>
            <w:shd w:val="clear" w:color="auto" w:fill="F2F2F2" w:themeFill="background1" w:themeFillShade="F2"/>
          </w:tcPr>
          <w:p w:rsidRPr="007A6013" w:rsidR="002A4BD8" w:rsidP="003A21AA" w:rsidRDefault="002A4BD8" w14:paraId="67A0B1CB" w14:textId="77777777">
            <w:pPr>
              <w:spacing w:after="240"/>
              <w:rPr>
                <w:szCs w:val="18"/>
              </w:rPr>
            </w:pPr>
          </w:p>
        </w:tc>
        <w:tc>
          <w:tcPr>
            <w:tcW w:w="1035" w:type="dxa"/>
            <w:tcBorders>
              <w:top w:val="single" w:color="auto" w:sz="4" w:space="0"/>
              <w:left w:val="single" w:color="auto" w:sz="4" w:space="0"/>
              <w:bottom w:val="single" w:color="auto" w:sz="4" w:space="0"/>
              <w:right w:val="single" w:color="auto" w:sz="4" w:space="0"/>
            </w:tcBorders>
          </w:tcPr>
          <w:p w:rsidRPr="002A4BD8" w:rsidR="002A4BD8" w:rsidP="003A21AA" w:rsidRDefault="002A4BD8" w14:paraId="1AD1B08F" w14:textId="77777777">
            <w:pPr>
              <w:spacing w:after="240"/>
              <w:rPr>
                <w:szCs w:val="18"/>
              </w:rPr>
            </w:pPr>
            <w:r w:rsidRPr="002A4BD8">
              <w:rPr>
                <w:szCs w:val="18"/>
              </w:rPr>
              <w:t>Voorstel</w:t>
            </w:r>
          </w:p>
        </w:tc>
        <w:tc>
          <w:tcPr>
            <w:tcW w:w="6529" w:type="dxa"/>
            <w:tcBorders>
              <w:top w:val="single" w:color="auto" w:sz="4" w:space="0"/>
              <w:left w:val="single" w:color="auto" w:sz="4" w:space="0"/>
              <w:bottom w:val="single" w:color="auto" w:sz="4" w:space="0"/>
              <w:right w:val="single" w:color="auto" w:sz="4" w:space="0"/>
            </w:tcBorders>
          </w:tcPr>
          <w:p w:rsidRPr="003354A4" w:rsidR="002A4BD8" w:rsidP="00460393" w:rsidRDefault="00460393" w14:paraId="796F226E" w14:textId="5CFC1C9D">
            <w:pPr>
              <w:spacing w:after="240"/>
              <w:rPr>
                <w:szCs w:val="18"/>
                <w:highlight w:val="yellow"/>
              </w:rPr>
            </w:pPr>
            <w:r>
              <w:rPr>
                <w:szCs w:val="18"/>
              </w:rPr>
              <w:t>Samen met het reeds ontvangen BNC-fiche agenderen voor een schriftelijk overleg</w:t>
            </w:r>
          </w:p>
        </w:tc>
      </w:tr>
      <w:tr w:rsidR="002A4BD8" w:rsidTr="002E45B3" w14:paraId="150AC6E2" w14:textId="77777777">
        <w:tc>
          <w:tcPr>
            <w:tcW w:w="421" w:type="dxa"/>
            <w:vMerge/>
            <w:tcBorders>
              <w:top w:val="nil"/>
              <w:bottom w:val="single" w:color="D9D9D9" w:themeColor="background1" w:themeShade="D9" w:sz="4" w:space="0"/>
              <w:right w:val="single" w:color="auto" w:sz="4" w:space="0"/>
            </w:tcBorders>
            <w:shd w:val="clear" w:color="auto" w:fill="F2F2F2" w:themeFill="background1" w:themeFillShade="F2"/>
          </w:tcPr>
          <w:p w:rsidRPr="00D75535" w:rsidR="002A4BD8" w:rsidP="003A21AA" w:rsidRDefault="002A4BD8" w14:paraId="17A999B7" w14:textId="77777777">
            <w:pPr>
              <w:spacing w:after="240"/>
              <w:rPr>
                <w:color w:val="595959" w:themeColor="text1" w:themeTint="A6"/>
                <w:szCs w:val="18"/>
              </w:rPr>
            </w:pPr>
          </w:p>
        </w:tc>
        <w:tc>
          <w:tcPr>
            <w:tcW w:w="1035" w:type="dxa"/>
            <w:tcBorders>
              <w:top w:val="single" w:color="auto" w:sz="4" w:space="0"/>
              <w:left w:val="single" w:color="auto" w:sz="4" w:space="0"/>
              <w:bottom w:val="single" w:color="auto" w:sz="4" w:space="0"/>
              <w:right w:val="single" w:color="auto" w:sz="4" w:space="0"/>
            </w:tcBorders>
          </w:tcPr>
          <w:p w:rsidRPr="00D75535" w:rsidR="002A4BD8" w:rsidP="003A21AA" w:rsidRDefault="002A4BD8" w14:paraId="607AB8A0" w14:textId="77777777">
            <w:pPr>
              <w:spacing w:after="240"/>
              <w:rPr>
                <w:color w:val="595959" w:themeColor="text1" w:themeTint="A6"/>
                <w:szCs w:val="18"/>
              </w:rPr>
            </w:pPr>
            <w:r w:rsidRPr="00D75535">
              <w:rPr>
                <w:color w:val="595959" w:themeColor="text1" w:themeTint="A6"/>
                <w:szCs w:val="18"/>
              </w:rPr>
              <w:t>Noot</w:t>
            </w:r>
          </w:p>
        </w:tc>
        <w:tc>
          <w:tcPr>
            <w:tcW w:w="6529" w:type="dxa"/>
            <w:tcBorders>
              <w:top w:val="single" w:color="auto" w:sz="4" w:space="0"/>
              <w:left w:val="single" w:color="auto" w:sz="4" w:space="0"/>
              <w:bottom w:val="single" w:color="auto" w:sz="4" w:space="0"/>
              <w:right w:val="single" w:color="auto" w:sz="4" w:space="0"/>
            </w:tcBorders>
          </w:tcPr>
          <w:p w:rsidR="003354A4" w:rsidP="003A21AA" w:rsidRDefault="00F97E74" w14:paraId="142F50BE" w14:textId="77777777">
            <w:pPr>
              <w:spacing w:after="240"/>
              <w:rPr>
                <w:color w:val="595959" w:themeColor="text1" w:themeTint="A6"/>
                <w:szCs w:val="18"/>
              </w:rPr>
            </w:pPr>
            <w:r>
              <w:rPr>
                <w:color w:val="595959" w:themeColor="text1" w:themeTint="A6"/>
                <w:szCs w:val="18"/>
              </w:rPr>
              <w:t xml:space="preserve">Dit betreft een herziening van de richtlijn voor consumentenkrediet. Deze richtlijn is al vaker herzien. De huidige verandering betreft vooral het verwerken van de gevolgen van ontwikkelingen op het vlak van digitalisering. </w:t>
            </w:r>
          </w:p>
          <w:p w:rsidRPr="003354A4" w:rsidR="003354A4" w:rsidP="003A21AA" w:rsidRDefault="003354A4" w14:paraId="5F09C656" w14:textId="7CB74A8E">
            <w:pPr>
              <w:spacing w:after="240"/>
              <w:rPr>
                <w:color w:val="595959" w:themeColor="text1" w:themeTint="A6"/>
                <w:szCs w:val="18"/>
              </w:rPr>
            </w:pPr>
            <w:r>
              <w:rPr>
                <w:color w:val="595959" w:themeColor="text1" w:themeTint="A6"/>
                <w:szCs w:val="18"/>
              </w:rPr>
              <w:t xml:space="preserve">Op 3 september jl. heeft de Kamer het </w:t>
            </w:r>
            <w:hyperlink w:history="1" r:id="rId15">
              <w:r w:rsidRPr="003354A4">
                <w:rPr>
                  <w:rStyle w:val="Hyperlink"/>
                  <w:szCs w:val="18"/>
                </w:rPr>
                <w:t>BNC-fiche</w:t>
              </w:r>
            </w:hyperlink>
            <w:r>
              <w:rPr>
                <w:color w:val="595959" w:themeColor="text1" w:themeTint="A6"/>
                <w:szCs w:val="18"/>
              </w:rPr>
              <w:t xml:space="preserve"> ontvangen. </w:t>
            </w:r>
          </w:p>
        </w:tc>
      </w:tr>
    </w:tbl>
    <w:p w:rsidR="002A4BD8" w:rsidP="002A4BD8" w:rsidRDefault="002A4BD8" w14:paraId="597C865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2E45B3" w14:paraId="1B68A20B" w14:textId="77777777">
        <w:tc>
          <w:tcPr>
            <w:tcW w:w="421" w:type="dxa"/>
            <w:vMerge w:val="restart"/>
            <w:tcBorders>
              <w:top w:val="single" w:color="D9D9D9" w:themeColor="background1" w:themeShade="D9" w:sz="4" w:space="0"/>
              <w:bottom w:val="single" w:color="D9D9D9" w:themeColor="background1" w:themeShade="D9" w:sz="4" w:space="0"/>
              <w:right w:val="single" w:color="auto" w:sz="4" w:space="0"/>
            </w:tcBorders>
            <w:shd w:val="clear" w:color="auto" w:fill="F2F2F2" w:themeFill="background1" w:themeFillShade="F2"/>
          </w:tcPr>
          <w:p w:rsidRPr="002A4BD8" w:rsidR="002A4BD8" w:rsidP="003A21AA" w:rsidRDefault="002A4BD8" w14:paraId="1E499B8B" w14:textId="77777777">
            <w:pPr>
              <w:pStyle w:val="Lijstalinea"/>
              <w:numPr>
                <w:ilvl w:val="0"/>
                <w:numId w:val="10"/>
              </w:numPr>
              <w:spacing w:after="240"/>
              <w:ind w:left="312"/>
              <w:rPr>
                <w:color w:val="595959" w:themeColor="text1" w:themeTint="A6"/>
                <w:szCs w:val="18"/>
              </w:rPr>
            </w:pPr>
          </w:p>
        </w:tc>
        <w:tc>
          <w:tcPr>
            <w:tcW w:w="1035" w:type="dxa"/>
            <w:tcBorders>
              <w:top w:val="single" w:color="auto" w:sz="4" w:space="0"/>
              <w:left w:val="single" w:color="auto" w:sz="4" w:space="0"/>
              <w:bottom w:val="single" w:color="auto" w:sz="4" w:space="0"/>
              <w:right w:val="single" w:color="auto" w:sz="4" w:space="0"/>
            </w:tcBorders>
          </w:tcPr>
          <w:p w:rsidRPr="00D75535" w:rsidR="002A4BD8" w:rsidP="003A21AA" w:rsidRDefault="002A4BD8" w14:paraId="08E0E01E" w14:textId="77777777">
            <w:pPr>
              <w:spacing w:after="240"/>
              <w:rPr>
                <w:color w:val="595959" w:themeColor="text1" w:themeTint="A6"/>
                <w:szCs w:val="18"/>
              </w:rPr>
            </w:pPr>
            <w:r w:rsidRPr="00D75535">
              <w:rPr>
                <w:color w:val="595959" w:themeColor="text1" w:themeTint="A6"/>
                <w:szCs w:val="18"/>
              </w:rPr>
              <w:t>Titel</w:t>
            </w:r>
          </w:p>
        </w:tc>
        <w:tc>
          <w:tcPr>
            <w:tcW w:w="6529" w:type="dxa"/>
            <w:tcBorders>
              <w:top w:val="single" w:color="auto" w:sz="4" w:space="0"/>
              <w:left w:val="single" w:color="auto" w:sz="4" w:space="0"/>
              <w:bottom w:val="single" w:color="auto" w:sz="4" w:space="0"/>
              <w:right w:val="single" w:color="auto" w:sz="4" w:space="0"/>
            </w:tcBorders>
          </w:tcPr>
          <w:p w:rsidR="00030BC7" w:rsidP="00030BC7" w:rsidRDefault="00030BC7" w14:paraId="523B50F5" w14:textId="160044AB">
            <w:pPr>
              <w:rPr>
                <w:rFonts w:ascii="Calibri" w:hAnsi="Calibri" w:cs="Calibri"/>
                <w:color w:val="0000FF"/>
                <w:sz w:val="22"/>
                <w:u w:val="single"/>
                <w:lang w:eastAsia="nl-NL"/>
              </w:rPr>
            </w:pPr>
            <w:r>
              <w:rPr>
                <w:rFonts w:ascii="Calibri" w:hAnsi="Calibri" w:cs="Calibri"/>
                <w:color w:val="000000"/>
                <w:sz w:val="22"/>
              </w:rPr>
              <w:t xml:space="preserve">Voorstel voor een Uitvoeringsbesluit van de Raad betreffende de goedkeuring van de beoordeling van het herstel- en veerkrachtplan voor Slovenië  </w:t>
            </w:r>
            <w:hyperlink w:history="1" r:id="rId16">
              <w:r>
                <w:rPr>
                  <w:rStyle w:val="Hyperlink"/>
                  <w:rFonts w:ascii="Calibri" w:hAnsi="Calibri" w:cs="Calibri"/>
                  <w:sz w:val="22"/>
                </w:rPr>
                <w:t>COM (2021) 384</w:t>
              </w:r>
            </w:hyperlink>
          </w:p>
          <w:p w:rsidR="00030BC7" w:rsidP="00030BC7" w:rsidRDefault="00030BC7" w14:paraId="799E4155" w14:textId="11771E95">
            <w:pPr>
              <w:rPr>
                <w:rFonts w:ascii="Calibri" w:hAnsi="Calibri" w:cs="Calibri"/>
                <w:color w:val="000000"/>
                <w:sz w:val="22"/>
                <w:lang w:eastAsia="nl-NL"/>
              </w:rPr>
            </w:pPr>
          </w:p>
          <w:p w:rsidRPr="00D75535" w:rsidR="002A4BD8" w:rsidP="003A21AA" w:rsidRDefault="002A4BD8" w14:paraId="3602905A" w14:textId="4C45A5E4">
            <w:pPr>
              <w:spacing w:after="240"/>
              <w:rPr>
                <w:b/>
                <w:color w:val="595959" w:themeColor="text1" w:themeTint="A6"/>
                <w:szCs w:val="18"/>
              </w:rPr>
            </w:pPr>
          </w:p>
        </w:tc>
      </w:tr>
      <w:tr w:rsidR="002A4BD8" w:rsidTr="002E45B3" w14:paraId="7BB2E967" w14:textId="77777777">
        <w:tc>
          <w:tcPr>
            <w:tcW w:w="421" w:type="dxa"/>
            <w:vMerge/>
            <w:tcBorders>
              <w:top w:val="nil"/>
              <w:bottom w:val="single" w:color="D9D9D9" w:themeColor="background1" w:themeShade="D9" w:sz="4" w:space="0"/>
              <w:right w:val="single" w:color="auto" w:sz="4" w:space="0"/>
            </w:tcBorders>
            <w:shd w:val="clear" w:color="auto" w:fill="F2F2F2" w:themeFill="background1" w:themeFillShade="F2"/>
          </w:tcPr>
          <w:p w:rsidR="002A4BD8" w:rsidP="003A21AA" w:rsidRDefault="002A4BD8" w14:paraId="181D2F34" w14:textId="77777777">
            <w:pPr>
              <w:spacing w:after="240"/>
              <w:rPr>
                <w:szCs w:val="18"/>
              </w:rPr>
            </w:pPr>
          </w:p>
        </w:tc>
        <w:tc>
          <w:tcPr>
            <w:tcW w:w="1035" w:type="dxa"/>
            <w:tcBorders>
              <w:top w:val="single" w:color="auto" w:sz="4" w:space="0"/>
              <w:left w:val="single" w:color="auto" w:sz="4" w:space="0"/>
              <w:bottom w:val="single" w:color="auto" w:sz="4" w:space="0"/>
              <w:right w:val="single" w:color="auto" w:sz="4" w:space="0"/>
            </w:tcBorders>
          </w:tcPr>
          <w:p w:rsidRPr="002A4BD8" w:rsidR="002A4BD8" w:rsidP="003A21AA" w:rsidRDefault="002A4BD8" w14:paraId="32A8A200" w14:textId="77777777">
            <w:pPr>
              <w:spacing w:after="240"/>
              <w:rPr>
                <w:szCs w:val="18"/>
              </w:rPr>
            </w:pPr>
            <w:r w:rsidRPr="002A4BD8">
              <w:rPr>
                <w:szCs w:val="18"/>
              </w:rPr>
              <w:t>Voorstel</w:t>
            </w:r>
          </w:p>
        </w:tc>
        <w:tc>
          <w:tcPr>
            <w:tcW w:w="6529" w:type="dxa"/>
            <w:tcBorders>
              <w:top w:val="single" w:color="auto" w:sz="4" w:space="0"/>
              <w:left w:val="single" w:color="auto" w:sz="4" w:space="0"/>
              <w:bottom w:val="single" w:color="auto" w:sz="4" w:space="0"/>
              <w:right w:val="single" w:color="auto" w:sz="4" w:space="0"/>
            </w:tcBorders>
          </w:tcPr>
          <w:p w:rsidRPr="002A4BD8" w:rsidR="002A4BD8" w:rsidP="003A21AA" w:rsidRDefault="00F97E74" w14:paraId="0A5BB81D" w14:textId="62F1BE0A">
            <w:pPr>
              <w:spacing w:after="240"/>
              <w:rPr>
                <w:szCs w:val="18"/>
              </w:rPr>
            </w:pPr>
            <w:r>
              <w:rPr>
                <w:szCs w:val="18"/>
              </w:rPr>
              <w:t>Voor kennisgeving aannemen</w:t>
            </w:r>
          </w:p>
        </w:tc>
      </w:tr>
      <w:tr w:rsidR="002A4BD8" w:rsidTr="002E45B3" w14:paraId="1AC71080" w14:textId="77777777">
        <w:tc>
          <w:tcPr>
            <w:tcW w:w="421" w:type="dxa"/>
            <w:vMerge/>
            <w:tcBorders>
              <w:top w:val="nil"/>
              <w:bottom w:val="single" w:color="D9D9D9" w:themeColor="background1" w:themeShade="D9" w:sz="4" w:space="0"/>
              <w:right w:val="single" w:color="auto" w:sz="4" w:space="0"/>
            </w:tcBorders>
            <w:shd w:val="clear" w:color="auto" w:fill="F2F2F2" w:themeFill="background1" w:themeFillShade="F2"/>
          </w:tcPr>
          <w:p w:rsidRPr="00D75535" w:rsidR="002A4BD8" w:rsidP="003A21AA" w:rsidRDefault="002A4BD8" w14:paraId="19B10F74" w14:textId="77777777">
            <w:pPr>
              <w:spacing w:after="240"/>
              <w:rPr>
                <w:color w:val="595959" w:themeColor="text1" w:themeTint="A6"/>
                <w:szCs w:val="18"/>
              </w:rPr>
            </w:pPr>
          </w:p>
        </w:tc>
        <w:tc>
          <w:tcPr>
            <w:tcW w:w="1035" w:type="dxa"/>
            <w:tcBorders>
              <w:top w:val="single" w:color="auto" w:sz="4" w:space="0"/>
              <w:left w:val="single" w:color="auto" w:sz="4" w:space="0"/>
              <w:bottom w:val="single" w:color="auto" w:sz="4" w:space="0"/>
              <w:right w:val="single" w:color="auto" w:sz="4" w:space="0"/>
            </w:tcBorders>
          </w:tcPr>
          <w:p w:rsidRPr="00D75535" w:rsidR="002A4BD8" w:rsidP="003A21AA" w:rsidRDefault="002A4BD8" w14:paraId="38AA9282" w14:textId="77777777">
            <w:pPr>
              <w:spacing w:after="240"/>
              <w:rPr>
                <w:color w:val="595959" w:themeColor="text1" w:themeTint="A6"/>
                <w:szCs w:val="18"/>
              </w:rPr>
            </w:pPr>
            <w:r w:rsidRPr="00D75535">
              <w:rPr>
                <w:color w:val="595959" w:themeColor="text1" w:themeTint="A6"/>
                <w:szCs w:val="18"/>
              </w:rPr>
              <w:t>Noot</w:t>
            </w:r>
          </w:p>
        </w:tc>
        <w:tc>
          <w:tcPr>
            <w:tcW w:w="6529" w:type="dxa"/>
            <w:tcBorders>
              <w:top w:val="single" w:color="auto" w:sz="4" w:space="0"/>
              <w:left w:val="single" w:color="auto" w:sz="4" w:space="0"/>
              <w:bottom w:val="single" w:color="auto" w:sz="4" w:space="0"/>
              <w:right w:val="single" w:color="auto" w:sz="4" w:space="0"/>
            </w:tcBorders>
          </w:tcPr>
          <w:p w:rsidRPr="00D75535" w:rsidR="002A4BD8" w:rsidP="003A21AA" w:rsidRDefault="00F97E74" w14:paraId="02C35601" w14:textId="3BB3FABA">
            <w:pPr>
              <w:spacing w:after="240"/>
              <w:rPr>
                <w:color w:val="595959" w:themeColor="text1" w:themeTint="A6"/>
                <w:szCs w:val="18"/>
              </w:rPr>
            </w:pPr>
            <w:r>
              <w:rPr>
                <w:color w:val="595959" w:themeColor="text1" w:themeTint="A6"/>
                <w:szCs w:val="18"/>
              </w:rPr>
              <w:t>Dit betreft het uitvoeringsbesluit in had kader van de RRF. U ontvangt van het kabinet een appreciatie die geagendeerd zal worden voor het eerstvolgende CD Eurogroep/</w:t>
            </w:r>
            <w:proofErr w:type="spellStart"/>
            <w:r>
              <w:rPr>
                <w:color w:val="595959" w:themeColor="text1" w:themeTint="A6"/>
                <w:szCs w:val="18"/>
              </w:rPr>
              <w:t>Ecofinraad</w:t>
            </w:r>
            <w:proofErr w:type="spellEnd"/>
            <w:r>
              <w:rPr>
                <w:color w:val="595959" w:themeColor="text1" w:themeTint="A6"/>
                <w:szCs w:val="18"/>
              </w:rPr>
              <w:t xml:space="preserve">. </w:t>
            </w:r>
            <w:r w:rsidR="00892BFA">
              <w:rPr>
                <w:color w:val="595959" w:themeColor="text1" w:themeTint="A6"/>
                <w:szCs w:val="18"/>
              </w:rPr>
              <w:t xml:space="preserve">Voor de overige uitvoeringsbesluiten die de afgelopen maanden zijn gepubliceerd, zie de website van de RRF: </w:t>
            </w:r>
            <w:hyperlink w:history="1" r:id="rId17">
              <w:r w:rsidRPr="003B1F35" w:rsidR="00892BFA">
                <w:rPr>
                  <w:rStyle w:val="Hyperlink"/>
                  <w:szCs w:val="18"/>
                </w:rPr>
                <w:t>https://ec.europa.eu/info/business-economy-euro/recovery-coronavirus/recovery-and-resilience-facility_en</w:t>
              </w:r>
            </w:hyperlink>
            <w:r w:rsidR="00892BFA">
              <w:rPr>
                <w:color w:val="595959" w:themeColor="text1" w:themeTint="A6"/>
                <w:szCs w:val="18"/>
              </w:rPr>
              <w:t xml:space="preserve"> </w:t>
            </w:r>
          </w:p>
        </w:tc>
      </w:tr>
    </w:tbl>
    <w:p w:rsidR="002A4BD8" w:rsidP="002A4BD8" w:rsidRDefault="002A4BD8" w14:paraId="1B3B3225" w14:textId="147E7BDD">
      <w:pPr>
        <w:rPr>
          <w:szCs w:val="18"/>
        </w:rPr>
      </w:pPr>
    </w:p>
    <w:p w:rsidR="007A7B25" w:rsidP="002A4BD8" w:rsidRDefault="007A7B25" w14:paraId="7C6458C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0007F" w:rsidR="002A4BD8" w:rsidTr="002E45B3" w14:paraId="3F80E343" w14:textId="77777777">
        <w:tc>
          <w:tcPr>
            <w:tcW w:w="421" w:type="dxa"/>
            <w:vMerge w:val="restart"/>
            <w:tcBorders>
              <w:top w:val="single" w:color="D9D9D9" w:themeColor="background1" w:themeShade="D9" w:sz="4" w:space="0"/>
              <w:bottom w:val="single" w:color="D9D9D9" w:themeColor="background1" w:themeShade="D9" w:sz="4" w:space="0"/>
              <w:right w:val="single" w:color="auto" w:sz="4" w:space="0"/>
            </w:tcBorders>
            <w:shd w:val="clear" w:color="auto" w:fill="F2F2F2" w:themeFill="background1" w:themeFillShade="F2"/>
          </w:tcPr>
          <w:p w:rsidRPr="002A4BD8" w:rsidR="002A4BD8" w:rsidP="003A21AA" w:rsidRDefault="002A4BD8" w14:paraId="625199EA" w14:textId="77777777">
            <w:pPr>
              <w:pStyle w:val="Lijstalinea"/>
              <w:numPr>
                <w:ilvl w:val="0"/>
                <w:numId w:val="10"/>
              </w:numPr>
              <w:spacing w:after="240"/>
              <w:ind w:left="312"/>
              <w:rPr>
                <w:color w:val="595959" w:themeColor="text1" w:themeTint="A6"/>
                <w:szCs w:val="18"/>
              </w:rPr>
            </w:pPr>
          </w:p>
        </w:tc>
        <w:tc>
          <w:tcPr>
            <w:tcW w:w="1035" w:type="dxa"/>
            <w:tcBorders>
              <w:top w:val="single" w:color="auto" w:sz="4" w:space="0"/>
              <w:left w:val="single" w:color="auto" w:sz="4" w:space="0"/>
              <w:bottom w:val="single" w:color="auto" w:sz="4" w:space="0"/>
              <w:right w:val="single" w:color="auto" w:sz="4" w:space="0"/>
            </w:tcBorders>
          </w:tcPr>
          <w:p w:rsidRPr="00D75535" w:rsidR="002A4BD8" w:rsidP="003A21AA" w:rsidRDefault="002A4BD8" w14:paraId="6F8A9473" w14:textId="77777777">
            <w:pPr>
              <w:spacing w:after="240"/>
              <w:rPr>
                <w:color w:val="595959" w:themeColor="text1" w:themeTint="A6"/>
                <w:szCs w:val="18"/>
              </w:rPr>
            </w:pPr>
            <w:r w:rsidRPr="00D75535">
              <w:rPr>
                <w:color w:val="595959" w:themeColor="text1" w:themeTint="A6"/>
                <w:szCs w:val="18"/>
              </w:rPr>
              <w:t>Titel</w:t>
            </w:r>
          </w:p>
        </w:tc>
        <w:tc>
          <w:tcPr>
            <w:tcW w:w="6529" w:type="dxa"/>
            <w:tcBorders>
              <w:top w:val="single" w:color="auto" w:sz="4" w:space="0"/>
              <w:left w:val="single" w:color="auto" w:sz="4" w:space="0"/>
              <w:bottom w:val="single" w:color="auto" w:sz="4" w:space="0"/>
              <w:right w:val="single" w:color="auto" w:sz="4" w:space="0"/>
            </w:tcBorders>
          </w:tcPr>
          <w:p w:rsidRPr="0060007F" w:rsidR="007A7B25" w:rsidP="007A7B25" w:rsidRDefault="0060007F" w14:paraId="7987AA88" w14:textId="3401CFCF">
            <w:pPr>
              <w:spacing w:after="240"/>
              <w:rPr>
                <w:rFonts w:ascii="Calibri" w:hAnsi="Calibri" w:cs="Calibri"/>
                <w:color w:val="0000FF"/>
                <w:sz w:val="22"/>
                <w:u w:val="single"/>
                <w:lang w:eastAsia="nl-NL"/>
              </w:rPr>
            </w:pPr>
            <w:r w:rsidRPr="0060007F">
              <w:rPr>
                <w:rFonts w:ascii="Calibri" w:hAnsi="Calibri" w:cs="Calibri"/>
                <w:color w:val="000000"/>
                <w:sz w:val="22"/>
              </w:rPr>
              <w:t>Voorstel voor een VERORDENING VAN HET EUROPEES PARLEMENT EN DE RAAD betreffende Europese groene obligaties</w:t>
            </w:r>
            <w:r>
              <w:rPr>
                <w:rFonts w:ascii="Calibri" w:hAnsi="Calibri" w:cs="Calibri"/>
                <w:color w:val="000000"/>
                <w:sz w:val="22"/>
              </w:rPr>
              <w:t xml:space="preserve"> (</w:t>
            </w:r>
            <w:hyperlink w:history="1" r:id="rId18">
              <w:r w:rsidRPr="0060007F" w:rsidR="007A7B25">
                <w:rPr>
                  <w:rStyle w:val="Hyperlink"/>
                  <w:rFonts w:ascii="Calibri" w:hAnsi="Calibri" w:cs="Calibri"/>
                  <w:sz w:val="22"/>
                </w:rPr>
                <w:t>COM (2021) 391</w:t>
              </w:r>
            </w:hyperlink>
          </w:p>
          <w:p w:rsidRPr="0060007F" w:rsidR="002A4BD8" w:rsidP="003A21AA" w:rsidRDefault="002A4BD8" w14:paraId="326DF5F1" w14:textId="5BA5F994">
            <w:pPr>
              <w:spacing w:after="240"/>
              <w:rPr>
                <w:b/>
                <w:color w:val="595959" w:themeColor="text1" w:themeTint="A6"/>
                <w:szCs w:val="18"/>
              </w:rPr>
            </w:pPr>
          </w:p>
        </w:tc>
      </w:tr>
      <w:tr w:rsidR="002A4BD8" w:rsidTr="002E45B3" w14:paraId="2DE21648" w14:textId="77777777">
        <w:tc>
          <w:tcPr>
            <w:tcW w:w="421" w:type="dxa"/>
            <w:vMerge/>
            <w:tcBorders>
              <w:top w:val="nil"/>
              <w:bottom w:val="single" w:color="D9D9D9" w:themeColor="background1" w:themeShade="D9" w:sz="4" w:space="0"/>
              <w:right w:val="single" w:color="auto" w:sz="4" w:space="0"/>
            </w:tcBorders>
            <w:shd w:val="clear" w:color="auto" w:fill="F2F2F2" w:themeFill="background1" w:themeFillShade="F2"/>
          </w:tcPr>
          <w:p w:rsidRPr="0060007F" w:rsidR="002A4BD8" w:rsidP="003A21AA" w:rsidRDefault="002A4BD8" w14:paraId="4E9B4A78" w14:textId="77777777">
            <w:pPr>
              <w:spacing w:after="240"/>
              <w:rPr>
                <w:szCs w:val="18"/>
              </w:rPr>
            </w:pPr>
          </w:p>
        </w:tc>
        <w:tc>
          <w:tcPr>
            <w:tcW w:w="1035" w:type="dxa"/>
            <w:tcBorders>
              <w:top w:val="single" w:color="auto" w:sz="4" w:space="0"/>
              <w:left w:val="single" w:color="auto" w:sz="4" w:space="0"/>
              <w:bottom w:val="single" w:color="auto" w:sz="4" w:space="0"/>
              <w:right w:val="single" w:color="auto" w:sz="4" w:space="0"/>
            </w:tcBorders>
          </w:tcPr>
          <w:p w:rsidRPr="002A4BD8" w:rsidR="002A4BD8" w:rsidP="003A21AA" w:rsidRDefault="002A4BD8" w14:paraId="3684C239" w14:textId="77777777">
            <w:pPr>
              <w:spacing w:after="240"/>
              <w:rPr>
                <w:szCs w:val="18"/>
              </w:rPr>
            </w:pPr>
            <w:r w:rsidRPr="002A4BD8">
              <w:rPr>
                <w:szCs w:val="18"/>
              </w:rPr>
              <w:t>Voorstel</w:t>
            </w:r>
          </w:p>
        </w:tc>
        <w:tc>
          <w:tcPr>
            <w:tcW w:w="6529" w:type="dxa"/>
            <w:tcBorders>
              <w:top w:val="single" w:color="auto" w:sz="4" w:space="0"/>
              <w:left w:val="single" w:color="auto" w:sz="4" w:space="0"/>
              <w:bottom w:val="single" w:color="auto" w:sz="4" w:space="0"/>
              <w:right w:val="single" w:color="auto" w:sz="4" w:space="0"/>
            </w:tcBorders>
          </w:tcPr>
          <w:p w:rsidRPr="002A4BD8" w:rsidR="002A4BD8" w:rsidP="003A21AA" w:rsidRDefault="00422BDA" w14:paraId="1E1BDC60" w14:textId="5E0E36B1">
            <w:pPr>
              <w:spacing w:after="240"/>
              <w:rPr>
                <w:szCs w:val="18"/>
              </w:rPr>
            </w:pPr>
            <w:r>
              <w:rPr>
                <w:szCs w:val="18"/>
              </w:rPr>
              <w:t xml:space="preserve">Samen met het reeds ontvangen BNC-fiche agenderen voor een schriftelijk overleg. </w:t>
            </w:r>
          </w:p>
        </w:tc>
      </w:tr>
      <w:tr w:rsidR="002A4BD8" w:rsidTr="002E45B3" w14:paraId="502A3854" w14:textId="77777777">
        <w:tc>
          <w:tcPr>
            <w:tcW w:w="421" w:type="dxa"/>
            <w:vMerge/>
            <w:tcBorders>
              <w:top w:val="nil"/>
              <w:bottom w:val="single" w:color="D9D9D9" w:themeColor="background1" w:themeShade="D9" w:sz="4" w:space="0"/>
              <w:right w:val="single" w:color="auto" w:sz="4" w:space="0"/>
            </w:tcBorders>
            <w:shd w:val="clear" w:color="auto" w:fill="F2F2F2" w:themeFill="background1" w:themeFillShade="F2"/>
          </w:tcPr>
          <w:p w:rsidRPr="00D75535" w:rsidR="002A4BD8" w:rsidP="003A21AA" w:rsidRDefault="002A4BD8" w14:paraId="557DA5F7" w14:textId="77777777">
            <w:pPr>
              <w:spacing w:after="240"/>
              <w:rPr>
                <w:color w:val="595959" w:themeColor="text1" w:themeTint="A6"/>
                <w:szCs w:val="18"/>
              </w:rPr>
            </w:pPr>
          </w:p>
        </w:tc>
        <w:tc>
          <w:tcPr>
            <w:tcW w:w="1035" w:type="dxa"/>
            <w:tcBorders>
              <w:top w:val="single" w:color="auto" w:sz="4" w:space="0"/>
              <w:left w:val="single" w:color="auto" w:sz="4" w:space="0"/>
              <w:bottom w:val="single" w:color="auto" w:sz="4" w:space="0"/>
              <w:right w:val="single" w:color="auto" w:sz="4" w:space="0"/>
            </w:tcBorders>
          </w:tcPr>
          <w:p w:rsidRPr="00D75535" w:rsidR="002A4BD8" w:rsidP="003A21AA" w:rsidRDefault="002A4BD8" w14:paraId="5054DE74" w14:textId="77777777">
            <w:pPr>
              <w:spacing w:after="240"/>
              <w:rPr>
                <w:color w:val="595959" w:themeColor="text1" w:themeTint="A6"/>
                <w:szCs w:val="18"/>
              </w:rPr>
            </w:pPr>
            <w:r w:rsidRPr="00D75535">
              <w:rPr>
                <w:color w:val="595959" w:themeColor="text1" w:themeTint="A6"/>
                <w:szCs w:val="18"/>
              </w:rPr>
              <w:t>Noot</w:t>
            </w:r>
          </w:p>
        </w:tc>
        <w:tc>
          <w:tcPr>
            <w:tcW w:w="6529" w:type="dxa"/>
            <w:tcBorders>
              <w:top w:val="single" w:color="auto" w:sz="4" w:space="0"/>
              <w:left w:val="single" w:color="auto" w:sz="4" w:space="0"/>
              <w:bottom w:val="single" w:color="auto" w:sz="4" w:space="0"/>
              <w:right w:val="single" w:color="auto" w:sz="4" w:space="0"/>
            </w:tcBorders>
          </w:tcPr>
          <w:p w:rsidRPr="00D75535" w:rsidR="002A4BD8" w:rsidP="00422BDA" w:rsidRDefault="00F97E74" w14:paraId="62E6ED4B" w14:textId="507A8864">
            <w:pPr>
              <w:spacing w:after="240"/>
              <w:rPr>
                <w:color w:val="595959" w:themeColor="text1" w:themeTint="A6"/>
                <w:szCs w:val="18"/>
              </w:rPr>
            </w:pPr>
            <w:r>
              <w:rPr>
                <w:color w:val="595959" w:themeColor="text1" w:themeTint="A6"/>
                <w:szCs w:val="18"/>
              </w:rPr>
              <w:t xml:space="preserve">Dit betreft een nieuw voorstel voor een vrijwillige standaard voor groene obligaties die de Commissie in ieder geval op de leningen van het RRF wilt toepassen. U </w:t>
            </w:r>
            <w:r w:rsidR="00422BDA">
              <w:rPr>
                <w:color w:val="595959" w:themeColor="text1" w:themeTint="A6"/>
                <w:szCs w:val="18"/>
              </w:rPr>
              <w:t>heeft het</w:t>
            </w:r>
            <w:r>
              <w:rPr>
                <w:color w:val="595959" w:themeColor="text1" w:themeTint="A6"/>
                <w:szCs w:val="18"/>
              </w:rPr>
              <w:t xml:space="preserve"> </w:t>
            </w:r>
            <w:hyperlink w:history="1" r:id="rId19">
              <w:r w:rsidRPr="00422BDA">
                <w:rPr>
                  <w:rStyle w:val="Hyperlink"/>
                  <w:szCs w:val="18"/>
                </w:rPr>
                <w:t>BNC fiche</w:t>
              </w:r>
            </w:hyperlink>
            <w:r w:rsidR="00422BDA">
              <w:rPr>
                <w:color w:val="595959" w:themeColor="text1" w:themeTint="A6"/>
                <w:szCs w:val="18"/>
              </w:rPr>
              <w:t xml:space="preserve"> reeds ontvangen</w:t>
            </w:r>
            <w:r>
              <w:rPr>
                <w:color w:val="595959" w:themeColor="text1" w:themeTint="A6"/>
                <w:szCs w:val="18"/>
              </w:rPr>
              <w:t xml:space="preserve"> van het kabinet. </w:t>
            </w:r>
          </w:p>
        </w:tc>
      </w:tr>
    </w:tbl>
    <w:p w:rsidR="002A4BD8" w:rsidP="002A4BD8" w:rsidRDefault="002A4BD8" w14:paraId="7EBFBF6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2E45B3" w14:paraId="2C7BE4B1" w14:textId="77777777">
        <w:tc>
          <w:tcPr>
            <w:tcW w:w="421" w:type="dxa"/>
            <w:vMerge w:val="restart"/>
            <w:tcBorders>
              <w:top w:val="single" w:color="D9D9D9" w:themeColor="background1" w:themeShade="D9" w:sz="4" w:space="0"/>
              <w:bottom w:val="single" w:color="D9D9D9" w:themeColor="background1" w:themeShade="D9" w:sz="4" w:space="0"/>
              <w:right w:val="single" w:color="auto" w:sz="4" w:space="0"/>
            </w:tcBorders>
            <w:shd w:val="clear" w:color="auto" w:fill="F2F2F2" w:themeFill="background1" w:themeFillShade="F2"/>
          </w:tcPr>
          <w:p w:rsidRPr="002A4BD8" w:rsidR="002A4BD8" w:rsidP="003A21AA" w:rsidRDefault="002A4BD8" w14:paraId="418094B5" w14:textId="77777777">
            <w:pPr>
              <w:pStyle w:val="Lijstalinea"/>
              <w:numPr>
                <w:ilvl w:val="0"/>
                <w:numId w:val="10"/>
              </w:numPr>
              <w:spacing w:after="240"/>
              <w:ind w:left="312"/>
              <w:rPr>
                <w:color w:val="595959" w:themeColor="text1" w:themeTint="A6"/>
                <w:szCs w:val="18"/>
              </w:rPr>
            </w:pPr>
          </w:p>
        </w:tc>
        <w:tc>
          <w:tcPr>
            <w:tcW w:w="1035" w:type="dxa"/>
            <w:tcBorders>
              <w:top w:val="single" w:color="auto" w:sz="4" w:space="0"/>
              <w:left w:val="single" w:color="auto" w:sz="4" w:space="0"/>
              <w:bottom w:val="single" w:color="auto" w:sz="4" w:space="0"/>
              <w:right w:val="single" w:color="auto" w:sz="4" w:space="0"/>
            </w:tcBorders>
          </w:tcPr>
          <w:p w:rsidRPr="00D75535" w:rsidR="002A4BD8" w:rsidP="003A21AA" w:rsidRDefault="002A4BD8" w14:paraId="7CD5C36F" w14:textId="77777777">
            <w:pPr>
              <w:spacing w:after="240"/>
              <w:rPr>
                <w:color w:val="595959" w:themeColor="text1" w:themeTint="A6"/>
                <w:szCs w:val="18"/>
              </w:rPr>
            </w:pPr>
            <w:r w:rsidRPr="00D75535">
              <w:rPr>
                <w:color w:val="595959" w:themeColor="text1" w:themeTint="A6"/>
                <w:szCs w:val="18"/>
              </w:rPr>
              <w:t>Titel</w:t>
            </w:r>
          </w:p>
        </w:tc>
        <w:tc>
          <w:tcPr>
            <w:tcW w:w="6529" w:type="dxa"/>
            <w:tcBorders>
              <w:top w:val="single" w:color="auto" w:sz="4" w:space="0"/>
              <w:left w:val="single" w:color="auto" w:sz="4" w:space="0"/>
              <w:bottom w:val="single" w:color="auto" w:sz="4" w:space="0"/>
              <w:right w:val="single" w:color="auto" w:sz="4" w:space="0"/>
            </w:tcBorders>
          </w:tcPr>
          <w:p w:rsidR="007A7B25" w:rsidP="007A7B25" w:rsidRDefault="007A7B25" w14:paraId="65A1E84C" w14:textId="0C7A19E9">
            <w:pPr>
              <w:rPr>
                <w:rFonts w:ascii="Calibri" w:hAnsi="Calibri" w:cs="Calibri"/>
                <w:color w:val="0000FF"/>
                <w:sz w:val="22"/>
                <w:u w:val="single"/>
                <w:lang w:eastAsia="nl-NL"/>
              </w:rPr>
            </w:pPr>
            <w:r>
              <w:rPr>
                <w:rFonts w:ascii="Calibri" w:hAnsi="Calibri" w:cs="Calibri"/>
                <w:color w:val="000000"/>
                <w:sz w:val="22"/>
              </w:rPr>
              <w:t xml:space="preserve">Voorstel voor een ONTWERP Algemene begroting van de Europese Unie voor het begrotingsjaar 2022 - Algemene inleiding - Totaal uitgaven - Algemene staat van ontvangsten - Staat van ontvangsten en uitgaven per afdeling  </w:t>
            </w:r>
            <w:hyperlink w:history="1" r:id="rId20">
              <w:r>
                <w:rPr>
                  <w:rStyle w:val="Hyperlink"/>
                  <w:rFonts w:ascii="Calibri" w:hAnsi="Calibri" w:cs="Calibri"/>
                  <w:sz w:val="22"/>
                </w:rPr>
                <w:t>COM (2021) 300</w:t>
              </w:r>
            </w:hyperlink>
          </w:p>
          <w:p w:rsidR="007A7B25" w:rsidP="007A7B25" w:rsidRDefault="007A7B25" w14:paraId="08E76858" w14:textId="41258BEC">
            <w:pPr>
              <w:rPr>
                <w:rFonts w:ascii="Calibri" w:hAnsi="Calibri" w:cs="Calibri"/>
                <w:color w:val="000000"/>
                <w:sz w:val="22"/>
                <w:lang w:eastAsia="nl-NL"/>
              </w:rPr>
            </w:pPr>
          </w:p>
          <w:p w:rsidRPr="00D75535" w:rsidR="002A4BD8" w:rsidP="003A21AA" w:rsidRDefault="002A4BD8" w14:paraId="2FB777CE" w14:textId="041B449F">
            <w:pPr>
              <w:spacing w:after="240"/>
              <w:rPr>
                <w:b/>
                <w:color w:val="595959" w:themeColor="text1" w:themeTint="A6"/>
                <w:szCs w:val="18"/>
              </w:rPr>
            </w:pPr>
          </w:p>
        </w:tc>
      </w:tr>
      <w:tr w:rsidR="002A4BD8" w:rsidTr="002E45B3" w14:paraId="27089824" w14:textId="77777777">
        <w:tc>
          <w:tcPr>
            <w:tcW w:w="421" w:type="dxa"/>
            <w:vMerge/>
            <w:tcBorders>
              <w:top w:val="nil"/>
              <w:bottom w:val="single" w:color="D9D9D9" w:themeColor="background1" w:themeShade="D9" w:sz="4" w:space="0"/>
              <w:right w:val="single" w:color="auto" w:sz="4" w:space="0"/>
            </w:tcBorders>
            <w:shd w:val="clear" w:color="auto" w:fill="F2F2F2" w:themeFill="background1" w:themeFillShade="F2"/>
          </w:tcPr>
          <w:p w:rsidR="002A4BD8" w:rsidP="003A21AA" w:rsidRDefault="002A4BD8" w14:paraId="28011F63" w14:textId="77777777">
            <w:pPr>
              <w:spacing w:after="240"/>
              <w:rPr>
                <w:szCs w:val="18"/>
              </w:rPr>
            </w:pPr>
          </w:p>
        </w:tc>
        <w:tc>
          <w:tcPr>
            <w:tcW w:w="1035" w:type="dxa"/>
            <w:tcBorders>
              <w:top w:val="single" w:color="auto" w:sz="4" w:space="0"/>
              <w:left w:val="single" w:color="auto" w:sz="4" w:space="0"/>
              <w:bottom w:val="single" w:color="auto" w:sz="4" w:space="0"/>
              <w:right w:val="single" w:color="auto" w:sz="4" w:space="0"/>
            </w:tcBorders>
          </w:tcPr>
          <w:p w:rsidRPr="002A4BD8" w:rsidR="002A4BD8" w:rsidP="003A21AA" w:rsidRDefault="002A4BD8" w14:paraId="4E1DDE93" w14:textId="77777777">
            <w:pPr>
              <w:spacing w:after="240"/>
              <w:rPr>
                <w:szCs w:val="18"/>
              </w:rPr>
            </w:pPr>
            <w:r w:rsidRPr="002A4BD8">
              <w:rPr>
                <w:szCs w:val="18"/>
              </w:rPr>
              <w:t>Voorstel</w:t>
            </w:r>
          </w:p>
        </w:tc>
        <w:tc>
          <w:tcPr>
            <w:tcW w:w="6529" w:type="dxa"/>
            <w:tcBorders>
              <w:top w:val="single" w:color="auto" w:sz="4" w:space="0"/>
              <w:left w:val="single" w:color="auto" w:sz="4" w:space="0"/>
              <w:bottom w:val="single" w:color="auto" w:sz="4" w:space="0"/>
              <w:right w:val="single" w:color="auto" w:sz="4" w:space="0"/>
            </w:tcBorders>
          </w:tcPr>
          <w:p w:rsidRPr="002A4BD8" w:rsidR="002A4BD8" w:rsidP="003A21AA" w:rsidRDefault="00F97E74" w14:paraId="6AF07D6C" w14:textId="36892F44">
            <w:pPr>
              <w:spacing w:after="240"/>
              <w:rPr>
                <w:szCs w:val="18"/>
              </w:rPr>
            </w:pPr>
            <w:r>
              <w:rPr>
                <w:szCs w:val="18"/>
              </w:rPr>
              <w:t>Voor kennisgeving aannemen</w:t>
            </w:r>
          </w:p>
        </w:tc>
      </w:tr>
      <w:tr w:rsidR="002A4BD8" w:rsidTr="002E45B3" w14:paraId="2276C4DD" w14:textId="77777777">
        <w:tc>
          <w:tcPr>
            <w:tcW w:w="421" w:type="dxa"/>
            <w:vMerge/>
            <w:tcBorders>
              <w:top w:val="nil"/>
              <w:bottom w:val="single" w:color="D9D9D9" w:themeColor="background1" w:themeShade="D9" w:sz="4" w:space="0"/>
              <w:right w:val="single" w:color="auto" w:sz="4" w:space="0"/>
            </w:tcBorders>
            <w:shd w:val="clear" w:color="auto" w:fill="F2F2F2" w:themeFill="background1" w:themeFillShade="F2"/>
          </w:tcPr>
          <w:p w:rsidRPr="00D75535" w:rsidR="002A4BD8" w:rsidP="003A21AA" w:rsidRDefault="002A4BD8" w14:paraId="0FC152F4" w14:textId="77777777">
            <w:pPr>
              <w:spacing w:after="240"/>
              <w:rPr>
                <w:color w:val="595959" w:themeColor="text1" w:themeTint="A6"/>
                <w:szCs w:val="18"/>
              </w:rPr>
            </w:pPr>
          </w:p>
        </w:tc>
        <w:tc>
          <w:tcPr>
            <w:tcW w:w="1035" w:type="dxa"/>
            <w:tcBorders>
              <w:top w:val="single" w:color="auto" w:sz="4" w:space="0"/>
              <w:left w:val="single" w:color="auto" w:sz="4" w:space="0"/>
              <w:bottom w:val="single" w:color="auto" w:sz="4" w:space="0"/>
              <w:right w:val="single" w:color="auto" w:sz="4" w:space="0"/>
            </w:tcBorders>
          </w:tcPr>
          <w:p w:rsidRPr="00D75535" w:rsidR="002A4BD8" w:rsidP="003A21AA" w:rsidRDefault="002A4BD8" w14:paraId="06982520" w14:textId="77777777">
            <w:pPr>
              <w:spacing w:after="240"/>
              <w:rPr>
                <w:color w:val="595959" w:themeColor="text1" w:themeTint="A6"/>
                <w:szCs w:val="18"/>
              </w:rPr>
            </w:pPr>
            <w:r w:rsidRPr="00D75535">
              <w:rPr>
                <w:color w:val="595959" w:themeColor="text1" w:themeTint="A6"/>
                <w:szCs w:val="18"/>
              </w:rPr>
              <w:t>Noot</w:t>
            </w:r>
          </w:p>
        </w:tc>
        <w:tc>
          <w:tcPr>
            <w:tcW w:w="6529" w:type="dxa"/>
            <w:tcBorders>
              <w:top w:val="single" w:color="auto" w:sz="4" w:space="0"/>
              <w:left w:val="single" w:color="auto" w:sz="4" w:space="0"/>
              <w:bottom w:val="single" w:color="auto" w:sz="4" w:space="0"/>
              <w:right w:val="single" w:color="auto" w:sz="4" w:space="0"/>
            </w:tcBorders>
          </w:tcPr>
          <w:p w:rsidRPr="00D75535" w:rsidR="002A4BD8" w:rsidP="003A21AA" w:rsidRDefault="00F97E74" w14:paraId="15D4DEDF" w14:textId="13DDD24E">
            <w:pPr>
              <w:spacing w:after="240"/>
              <w:rPr>
                <w:color w:val="595959" w:themeColor="text1" w:themeTint="A6"/>
                <w:szCs w:val="18"/>
              </w:rPr>
            </w:pPr>
            <w:r>
              <w:rPr>
                <w:color w:val="595959" w:themeColor="text1" w:themeTint="A6"/>
                <w:szCs w:val="18"/>
              </w:rPr>
              <w:t xml:space="preserve">Dit betreft de ontwerpbegroting van de EU voor het jaar 2022. De </w:t>
            </w:r>
            <w:proofErr w:type="spellStart"/>
            <w:r>
              <w:rPr>
                <w:color w:val="595959" w:themeColor="text1" w:themeTint="A6"/>
                <w:szCs w:val="18"/>
              </w:rPr>
              <w:t>Ecofinraad</w:t>
            </w:r>
            <w:proofErr w:type="spellEnd"/>
            <w:r>
              <w:rPr>
                <w:color w:val="595959" w:themeColor="text1" w:themeTint="A6"/>
                <w:szCs w:val="18"/>
              </w:rPr>
              <w:t xml:space="preserve"> zal akkoord moeten gaan met de ontwerpbegroting in het najaar, u ontvangt doorgaans in aanloop hiernaar een kabinetsappreciatie. </w:t>
            </w:r>
          </w:p>
        </w:tc>
      </w:tr>
    </w:tbl>
    <w:p w:rsidR="002A4BD8" w:rsidP="002A4BD8" w:rsidRDefault="002A4BD8" w14:paraId="416B2070" w14:textId="233786FB">
      <w:pPr>
        <w:rPr>
          <w:szCs w:val="18"/>
        </w:rPr>
      </w:pPr>
    </w:p>
    <w:tbl>
      <w:tblPr>
        <w:tblStyle w:val="Tabelraster"/>
        <w:tblW w:w="8073"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5"/>
        <w:gridCol w:w="1046"/>
        <w:gridCol w:w="6602"/>
      </w:tblGrid>
      <w:tr w:rsidR="006E5214" w:rsidTr="002E45B3" w14:paraId="21A1E298" w14:textId="77777777">
        <w:trPr>
          <w:trHeight w:val="320"/>
        </w:trPr>
        <w:tc>
          <w:tcPr>
            <w:tcW w:w="425" w:type="dxa"/>
            <w:vMerge w:val="restart"/>
            <w:tcBorders>
              <w:top w:val="single" w:color="D9D9D9" w:themeColor="background1" w:themeShade="D9" w:sz="4" w:space="0"/>
              <w:bottom w:val="single" w:color="D9D9D9" w:themeColor="background1" w:themeShade="D9" w:sz="4" w:space="0"/>
              <w:right w:val="single" w:color="auto" w:sz="4" w:space="0"/>
            </w:tcBorders>
            <w:shd w:val="clear" w:color="auto" w:fill="F2F2F2" w:themeFill="background1" w:themeFillShade="F2"/>
          </w:tcPr>
          <w:p w:rsidRPr="002A4BD8" w:rsidR="006E5214" w:rsidP="00B20232" w:rsidRDefault="006E5214" w14:paraId="4108B9EB" w14:textId="77777777">
            <w:pPr>
              <w:pStyle w:val="Lijstalinea"/>
              <w:numPr>
                <w:ilvl w:val="0"/>
                <w:numId w:val="10"/>
              </w:numPr>
              <w:spacing w:after="240"/>
              <w:ind w:left="312"/>
              <w:rPr>
                <w:color w:val="595959" w:themeColor="text1" w:themeTint="A6"/>
                <w:szCs w:val="18"/>
              </w:rPr>
            </w:pPr>
          </w:p>
        </w:tc>
        <w:tc>
          <w:tcPr>
            <w:tcW w:w="1046" w:type="dxa"/>
            <w:tcBorders>
              <w:top w:val="single" w:color="auto" w:sz="4" w:space="0"/>
              <w:left w:val="single" w:color="auto" w:sz="4" w:space="0"/>
              <w:bottom w:val="single" w:color="auto" w:sz="4" w:space="0"/>
              <w:right w:val="single" w:color="auto" w:sz="4" w:space="0"/>
            </w:tcBorders>
          </w:tcPr>
          <w:p w:rsidRPr="00D75535" w:rsidR="006E5214" w:rsidP="00B20232" w:rsidRDefault="006E5214" w14:paraId="06D1379A" w14:textId="77777777">
            <w:pPr>
              <w:spacing w:after="240"/>
              <w:rPr>
                <w:color w:val="595959" w:themeColor="text1" w:themeTint="A6"/>
                <w:szCs w:val="18"/>
              </w:rPr>
            </w:pPr>
            <w:r w:rsidRPr="00D75535">
              <w:rPr>
                <w:color w:val="595959" w:themeColor="text1" w:themeTint="A6"/>
                <w:szCs w:val="18"/>
              </w:rPr>
              <w:t>Titel</w:t>
            </w:r>
          </w:p>
        </w:tc>
        <w:tc>
          <w:tcPr>
            <w:tcW w:w="6602" w:type="dxa"/>
            <w:tcBorders>
              <w:top w:val="single" w:color="auto" w:sz="4" w:space="0"/>
              <w:left w:val="single" w:color="auto" w:sz="4" w:space="0"/>
              <w:bottom w:val="single" w:color="auto" w:sz="4" w:space="0"/>
              <w:right w:val="single" w:color="auto" w:sz="4" w:space="0"/>
            </w:tcBorders>
          </w:tcPr>
          <w:p w:rsidRPr="00F97E74" w:rsidR="006E5214" w:rsidP="00F97E74" w:rsidRDefault="007A7B25" w14:paraId="234ED082" w14:textId="3EDFA616">
            <w:pPr>
              <w:rPr>
                <w:rFonts w:ascii="Calibri" w:hAnsi="Calibri" w:cs="Calibri"/>
                <w:color w:val="0000FF"/>
                <w:sz w:val="22"/>
                <w:u w:val="single"/>
                <w:lang w:eastAsia="nl-NL"/>
              </w:rPr>
            </w:pPr>
            <w:r>
              <w:rPr>
                <w:rFonts w:ascii="Calibri" w:hAnsi="Calibri" w:cs="Calibri"/>
                <w:color w:val="000000"/>
                <w:sz w:val="22"/>
              </w:rPr>
              <w:t xml:space="preserve">ONTWERP VAN GEWIJZIGDE BEGROTING NR. 4 BIJ DE ALGEMENE BEGROTING 2021 Actualisering van de ontvangsten als gevolg van de inwerkingtreding op 1 juni 2021 van Besluit (EU, Euratom) 2020/2053 van de Raad betreffende het stelsel van eigen middelen van de Europese Unie, de herziene raming van de eigen middelen en overige ontvangsten  </w:t>
            </w:r>
            <w:hyperlink w:history="1" r:id="rId21">
              <w:r>
                <w:rPr>
                  <w:rStyle w:val="Hyperlink"/>
                  <w:rFonts w:ascii="Calibri" w:hAnsi="Calibri" w:cs="Calibri"/>
                  <w:sz w:val="22"/>
                </w:rPr>
                <w:t>COM (2021) 444</w:t>
              </w:r>
            </w:hyperlink>
          </w:p>
        </w:tc>
      </w:tr>
      <w:tr w:rsidR="006E5214" w:rsidTr="002E45B3" w14:paraId="208E6567" w14:textId="77777777">
        <w:trPr>
          <w:trHeight w:val="342"/>
        </w:trPr>
        <w:tc>
          <w:tcPr>
            <w:tcW w:w="425" w:type="dxa"/>
            <w:vMerge/>
            <w:tcBorders>
              <w:top w:val="nil"/>
              <w:bottom w:val="single" w:color="D9D9D9" w:themeColor="background1" w:themeShade="D9" w:sz="4" w:space="0"/>
              <w:right w:val="single" w:color="auto" w:sz="4" w:space="0"/>
            </w:tcBorders>
            <w:shd w:val="clear" w:color="auto" w:fill="F2F2F2" w:themeFill="background1" w:themeFillShade="F2"/>
          </w:tcPr>
          <w:p w:rsidR="006E5214" w:rsidP="00B20232" w:rsidRDefault="006E5214" w14:paraId="5A7EB31D" w14:textId="77777777">
            <w:pPr>
              <w:spacing w:after="240"/>
              <w:rPr>
                <w:szCs w:val="18"/>
              </w:rPr>
            </w:pPr>
          </w:p>
        </w:tc>
        <w:tc>
          <w:tcPr>
            <w:tcW w:w="1046" w:type="dxa"/>
            <w:tcBorders>
              <w:top w:val="single" w:color="auto" w:sz="4" w:space="0"/>
              <w:left w:val="single" w:color="auto" w:sz="4" w:space="0"/>
              <w:bottom w:val="single" w:color="auto" w:sz="4" w:space="0"/>
              <w:right w:val="single" w:color="auto" w:sz="4" w:space="0"/>
            </w:tcBorders>
          </w:tcPr>
          <w:p w:rsidRPr="002A4BD8" w:rsidR="006E5214" w:rsidP="00B20232" w:rsidRDefault="006E5214" w14:paraId="49AA4DD4" w14:textId="77777777">
            <w:pPr>
              <w:spacing w:after="240"/>
              <w:rPr>
                <w:szCs w:val="18"/>
              </w:rPr>
            </w:pPr>
            <w:r w:rsidRPr="002A4BD8">
              <w:rPr>
                <w:szCs w:val="18"/>
              </w:rPr>
              <w:t>Voorstel</w:t>
            </w:r>
          </w:p>
        </w:tc>
        <w:tc>
          <w:tcPr>
            <w:tcW w:w="6602" w:type="dxa"/>
            <w:tcBorders>
              <w:top w:val="single" w:color="auto" w:sz="4" w:space="0"/>
              <w:left w:val="single" w:color="auto" w:sz="4" w:space="0"/>
              <w:bottom w:val="single" w:color="auto" w:sz="4" w:space="0"/>
              <w:right w:val="single" w:color="auto" w:sz="4" w:space="0"/>
            </w:tcBorders>
          </w:tcPr>
          <w:p w:rsidRPr="002A4BD8" w:rsidR="006E5214" w:rsidP="00B20232" w:rsidRDefault="00F97E74" w14:paraId="2578A63E" w14:textId="4672D682">
            <w:pPr>
              <w:spacing w:after="240"/>
              <w:rPr>
                <w:szCs w:val="18"/>
              </w:rPr>
            </w:pPr>
            <w:r>
              <w:rPr>
                <w:szCs w:val="18"/>
              </w:rPr>
              <w:t xml:space="preserve">Voor kennisgeving aannemen </w:t>
            </w:r>
          </w:p>
        </w:tc>
      </w:tr>
      <w:tr w:rsidR="006E5214" w:rsidTr="002E45B3" w14:paraId="3C118CCA" w14:textId="77777777">
        <w:trPr>
          <w:trHeight w:val="320"/>
        </w:trPr>
        <w:tc>
          <w:tcPr>
            <w:tcW w:w="425" w:type="dxa"/>
            <w:vMerge/>
            <w:tcBorders>
              <w:top w:val="nil"/>
              <w:bottom w:val="single" w:color="D9D9D9" w:themeColor="background1" w:themeShade="D9" w:sz="4" w:space="0"/>
              <w:right w:val="single" w:color="auto" w:sz="4" w:space="0"/>
            </w:tcBorders>
            <w:shd w:val="clear" w:color="auto" w:fill="F2F2F2" w:themeFill="background1" w:themeFillShade="F2"/>
          </w:tcPr>
          <w:p w:rsidRPr="00D75535" w:rsidR="006E5214" w:rsidP="00B20232" w:rsidRDefault="006E5214" w14:paraId="11D4E1D5" w14:textId="77777777">
            <w:pPr>
              <w:spacing w:after="240"/>
              <w:rPr>
                <w:color w:val="595959" w:themeColor="text1" w:themeTint="A6"/>
                <w:szCs w:val="18"/>
              </w:rPr>
            </w:pPr>
          </w:p>
        </w:tc>
        <w:tc>
          <w:tcPr>
            <w:tcW w:w="1046" w:type="dxa"/>
            <w:tcBorders>
              <w:top w:val="single" w:color="auto" w:sz="4" w:space="0"/>
              <w:left w:val="single" w:color="auto" w:sz="4" w:space="0"/>
              <w:bottom w:val="single" w:color="auto" w:sz="4" w:space="0"/>
              <w:right w:val="single" w:color="auto" w:sz="4" w:space="0"/>
            </w:tcBorders>
          </w:tcPr>
          <w:p w:rsidRPr="00D75535" w:rsidR="006E5214" w:rsidP="00B20232" w:rsidRDefault="006E5214" w14:paraId="2EE871CF" w14:textId="77777777">
            <w:pPr>
              <w:spacing w:after="240"/>
              <w:rPr>
                <w:color w:val="595959" w:themeColor="text1" w:themeTint="A6"/>
                <w:szCs w:val="18"/>
              </w:rPr>
            </w:pPr>
            <w:r w:rsidRPr="00D75535">
              <w:rPr>
                <w:color w:val="595959" w:themeColor="text1" w:themeTint="A6"/>
                <w:szCs w:val="18"/>
              </w:rPr>
              <w:t>Noot</w:t>
            </w:r>
          </w:p>
        </w:tc>
        <w:tc>
          <w:tcPr>
            <w:tcW w:w="6602" w:type="dxa"/>
            <w:tcBorders>
              <w:top w:val="single" w:color="auto" w:sz="4" w:space="0"/>
              <w:left w:val="single" w:color="auto" w:sz="4" w:space="0"/>
              <w:bottom w:val="single" w:color="auto" w:sz="4" w:space="0"/>
              <w:right w:val="single" w:color="auto" w:sz="4" w:space="0"/>
            </w:tcBorders>
          </w:tcPr>
          <w:p w:rsidRPr="00D75535" w:rsidR="006E5214" w:rsidP="00F97E74" w:rsidRDefault="00F97E74" w14:paraId="2662EC57" w14:textId="64CEB61E">
            <w:pPr>
              <w:spacing w:after="240"/>
              <w:rPr>
                <w:color w:val="595959" w:themeColor="text1" w:themeTint="A6"/>
                <w:szCs w:val="18"/>
              </w:rPr>
            </w:pPr>
            <w:r>
              <w:rPr>
                <w:color w:val="595959" w:themeColor="text1" w:themeTint="A6"/>
                <w:szCs w:val="18"/>
              </w:rPr>
              <w:t xml:space="preserve">De begroting van de EU wordt regelmatig herzien op basis van de meer actuele data ten aanzien van </w:t>
            </w:r>
            <w:proofErr w:type="spellStart"/>
            <w:r w:rsidR="00F677B1">
              <w:rPr>
                <w:color w:val="595959" w:themeColor="text1" w:themeTint="A6"/>
                <w:szCs w:val="18"/>
              </w:rPr>
              <w:t>bni</w:t>
            </w:r>
            <w:proofErr w:type="spellEnd"/>
            <w:r w:rsidR="00F677B1">
              <w:rPr>
                <w:color w:val="595959" w:themeColor="text1" w:themeTint="A6"/>
                <w:szCs w:val="18"/>
              </w:rPr>
              <w:t>-inkomsten</w:t>
            </w:r>
            <w:r>
              <w:rPr>
                <w:color w:val="595959" w:themeColor="text1" w:themeTint="A6"/>
                <w:szCs w:val="18"/>
              </w:rPr>
              <w:t xml:space="preserve">, </w:t>
            </w:r>
            <w:r w:rsidR="00F677B1">
              <w:rPr>
                <w:color w:val="595959" w:themeColor="text1" w:themeTint="A6"/>
                <w:szCs w:val="18"/>
              </w:rPr>
              <w:t>btw-inkomsten</w:t>
            </w:r>
            <w:r>
              <w:rPr>
                <w:color w:val="595959" w:themeColor="text1" w:themeTint="A6"/>
                <w:szCs w:val="18"/>
              </w:rPr>
              <w:t xml:space="preserve"> of inkomsten vanuit de heffing op plastic. </w:t>
            </w:r>
          </w:p>
        </w:tc>
      </w:tr>
    </w:tbl>
    <w:p w:rsidR="006E5214" w:rsidP="002A4BD8" w:rsidRDefault="006E5214" w14:paraId="6D6A1961" w14:textId="0C285556">
      <w:pPr>
        <w:rPr>
          <w:szCs w:val="18"/>
        </w:rPr>
      </w:pPr>
    </w:p>
    <w:tbl>
      <w:tblPr>
        <w:tblStyle w:val="Tabelraster"/>
        <w:tblW w:w="8073"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5"/>
        <w:gridCol w:w="1046"/>
        <w:gridCol w:w="6602"/>
      </w:tblGrid>
      <w:tr w:rsidRPr="00D75535" w:rsidR="007A7B25" w:rsidTr="002E45B3" w14:paraId="5D92403C" w14:textId="77777777">
        <w:trPr>
          <w:trHeight w:val="320"/>
        </w:trPr>
        <w:tc>
          <w:tcPr>
            <w:tcW w:w="425" w:type="dxa"/>
            <w:vMerge w:val="restart"/>
            <w:tcBorders>
              <w:top w:val="single" w:color="D9D9D9" w:themeColor="background1" w:themeShade="D9" w:sz="4" w:space="0"/>
              <w:bottom w:val="single" w:color="D9D9D9" w:themeColor="background1" w:themeShade="D9" w:sz="4" w:space="0"/>
              <w:right w:val="single" w:color="auto" w:sz="4" w:space="0"/>
            </w:tcBorders>
            <w:shd w:val="clear" w:color="auto" w:fill="F2F2F2" w:themeFill="background1" w:themeFillShade="F2"/>
          </w:tcPr>
          <w:p w:rsidRPr="002A4BD8" w:rsidR="007A7B25" w:rsidP="00FE0F1A" w:rsidRDefault="007A7B25" w14:paraId="678645BD" w14:textId="77777777">
            <w:pPr>
              <w:pStyle w:val="Lijstalinea"/>
              <w:numPr>
                <w:ilvl w:val="0"/>
                <w:numId w:val="10"/>
              </w:numPr>
              <w:spacing w:after="240"/>
              <w:ind w:left="312"/>
              <w:rPr>
                <w:color w:val="595959" w:themeColor="text1" w:themeTint="A6"/>
                <w:szCs w:val="18"/>
              </w:rPr>
            </w:pPr>
          </w:p>
        </w:tc>
        <w:tc>
          <w:tcPr>
            <w:tcW w:w="1046" w:type="dxa"/>
            <w:tcBorders>
              <w:top w:val="single" w:color="auto" w:sz="4" w:space="0"/>
              <w:left w:val="single" w:color="auto" w:sz="4" w:space="0"/>
              <w:bottom w:val="single" w:color="auto" w:sz="4" w:space="0"/>
              <w:right w:val="single" w:color="auto" w:sz="4" w:space="0"/>
            </w:tcBorders>
          </w:tcPr>
          <w:p w:rsidRPr="00D75535" w:rsidR="007A7B25" w:rsidP="00FE0F1A" w:rsidRDefault="007A7B25" w14:paraId="252E45D1" w14:textId="77777777">
            <w:pPr>
              <w:spacing w:after="240"/>
              <w:rPr>
                <w:color w:val="595959" w:themeColor="text1" w:themeTint="A6"/>
                <w:szCs w:val="18"/>
              </w:rPr>
            </w:pPr>
            <w:r w:rsidRPr="00D75535">
              <w:rPr>
                <w:color w:val="595959" w:themeColor="text1" w:themeTint="A6"/>
                <w:szCs w:val="18"/>
              </w:rPr>
              <w:t>Titel</w:t>
            </w:r>
          </w:p>
        </w:tc>
        <w:tc>
          <w:tcPr>
            <w:tcW w:w="6602" w:type="dxa"/>
            <w:tcBorders>
              <w:top w:val="single" w:color="auto" w:sz="4" w:space="0"/>
              <w:left w:val="single" w:color="auto" w:sz="4" w:space="0"/>
              <w:bottom w:val="single" w:color="auto" w:sz="4" w:space="0"/>
              <w:right w:val="single" w:color="auto" w:sz="4" w:space="0"/>
            </w:tcBorders>
          </w:tcPr>
          <w:p w:rsidRPr="00F677B1" w:rsidR="007A7B25" w:rsidP="00FE0F1A" w:rsidRDefault="00C765A3" w14:paraId="7B393AD0" w14:textId="1DF71BCF">
            <w:pPr>
              <w:spacing w:after="240"/>
              <w:rPr>
                <w:rFonts w:ascii="Calibri" w:hAnsi="Calibri" w:cs="Calibri"/>
                <w:color w:val="0000FF"/>
                <w:sz w:val="22"/>
                <w:u w:val="single"/>
                <w:lang w:eastAsia="nl-NL"/>
              </w:rPr>
            </w:pPr>
            <w:r>
              <w:rPr>
                <w:rFonts w:ascii="Calibri" w:hAnsi="Calibri" w:cs="Calibri"/>
                <w:color w:val="000000"/>
                <w:sz w:val="22"/>
              </w:rPr>
              <w:t xml:space="preserve">Voorstel voor een VERORDENING VAN DE RAAD houdende tijdelijke schorsing van de autonome rechten van het gemeenschappelijk douanetarief op de invoer van bepaalde industrieproducten in de Canarische Eilanden  </w:t>
            </w:r>
            <w:hyperlink w:history="1" r:id="rId22">
              <w:r>
                <w:rPr>
                  <w:rStyle w:val="Hyperlink"/>
                  <w:rFonts w:ascii="Calibri" w:hAnsi="Calibri" w:cs="Calibri"/>
                  <w:sz w:val="22"/>
                </w:rPr>
                <w:t>COM (2021) 392</w:t>
              </w:r>
            </w:hyperlink>
          </w:p>
        </w:tc>
      </w:tr>
      <w:tr w:rsidRPr="002A4BD8" w:rsidR="007A7B25" w:rsidTr="002E45B3" w14:paraId="30CE5AE4" w14:textId="77777777">
        <w:trPr>
          <w:trHeight w:val="342"/>
        </w:trPr>
        <w:tc>
          <w:tcPr>
            <w:tcW w:w="425" w:type="dxa"/>
            <w:vMerge/>
            <w:tcBorders>
              <w:top w:val="nil"/>
              <w:bottom w:val="single" w:color="D9D9D9" w:themeColor="background1" w:themeShade="D9" w:sz="4" w:space="0"/>
              <w:right w:val="single" w:color="auto" w:sz="4" w:space="0"/>
            </w:tcBorders>
            <w:shd w:val="clear" w:color="auto" w:fill="F2F2F2" w:themeFill="background1" w:themeFillShade="F2"/>
          </w:tcPr>
          <w:p w:rsidR="007A7B25" w:rsidP="00FE0F1A" w:rsidRDefault="007A7B25" w14:paraId="4EB7359B" w14:textId="77777777">
            <w:pPr>
              <w:spacing w:after="240"/>
              <w:rPr>
                <w:szCs w:val="18"/>
              </w:rPr>
            </w:pPr>
          </w:p>
        </w:tc>
        <w:tc>
          <w:tcPr>
            <w:tcW w:w="1046" w:type="dxa"/>
            <w:tcBorders>
              <w:top w:val="single" w:color="auto" w:sz="4" w:space="0"/>
              <w:left w:val="single" w:color="auto" w:sz="4" w:space="0"/>
              <w:bottom w:val="single" w:color="auto" w:sz="4" w:space="0"/>
              <w:right w:val="single" w:color="auto" w:sz="4" w:space="0"/>
            </w:tcBorders>
          </w:tcPr>
          <w:p w:rsidRPr="002A4BD8" w:rsidR="007A7B25" w:rsidP="00FE0F1A" w:rsidRDefault="007A7B25" w14:paraId="65906628" w14:textId="77777777">
            <w:pPr>
              <w:spacing w:after="240"/>
              <w:rPr>
                <w:szCs w:val="18"/>
              </w:rPr>
            </w:pPr>
            <w:r w:rsidRPr="002A4BD8">
              <w:rPr>
                <w:szCs w:val="18"/>
              </w:rPr>
              <w:t>Voorstel</w:t>
            </w:r>
          </w:p>
        </w:tc>
        <w:tc>
          <w:tcPr>
            <w:tcW w:w="6602" w:type="dxa"/>
            <w:tcBorders>
              <w:top w:val="single" w:color="auto" w:sz="4" w:space="0"/>
              <w:left w:val="single" w:color="auto" w:sz="4" w:space="0"/>
              <w:bottom w:val="single" w:color="auto" w:sz="4" w:space="0"/>
              <w:right w:val="single" w:color="auto" w:sz="4" w:space="0"/>
            </w:tcBorders>
          </w:tcPr>
          <w:p w:rsidRPr="002A4BD8" w:rsidR="007A7B25" w:rsidP="00FE0F1A" w:rsidRDefault="00F677B1" w14:paraId="6FABE71E" w14:textId="503E70CF">
            <w:pPr>
              <w:spacing w:after="240"/>
              <w:rPr>
                <w:szCs w:val="18"/>
              </w:rPr>
            </w:pPr>
            <w:r>
              <w:rPr>
                <w:szCs w:val="18"/>
              </w:rPr>
              <w:t xml:space="preserve">Voor kennisgeving </w:t>
            </w:r>
            <w:r w:rsidR="008C7E4E">
              <w:rPr>
                <w:szCs w:val="18"/>
              </w:rPr>
              <w:t>aannemen</w:t>
            </w:r>
          </w:p>
        </w:tc>
      </w:tr>
      <w:tr w:rsidRPr="00D75535" w:rsidR="007A7B25" w:rsidTr="002E45B3" w14:paraId="04445BC3" w14:textId="77777777">
        <w:trPr>
          <w:trHeight w:val="320"/>
        </w:trPr>
        <w:tc>
          <w:tcPr>
            <w:tcW w:w="425" w:type="dxa"/>
            <w:vMerge/>
            <w:tcBorders>
              <w:top w:val="nil"/>
              <w:bottom w:val="single" w:color="D9D9D9" w:themeColor="background1" w:themeShade="D9" w:sz="4" w:space="0"/>
              <w:right w:val="single" w:color="auto" w:sz="4" w:space="0"/>
            </w:tcBorders>
            <w:shd w:val="clear" w:color="auto" w:fill="F2F2F2" w:themeFill="background1" w:themeFillShade="F2"/>
          </w:tcPr>
          <w:p w:rsidRPr="00D75535" w:rsidR="007A7B25" w:rsidP="00FE0F1A" w:rsidRDefault="007A7B25" w14:paraId="7781B35E" w14:textId="77777777">
            <w:pPr>
              <w:spacing w:after="240"/>
              <w:rPr>
                <w:color w:val="595959" w:themeColor="text1" w:themeTint="A6"/>
                <w:szCs w:val="18"/>
              </w:rPr>
            </w:pPr>
          </w:p>
        </w:tc>
        <w:tc>
          <w:tcPr>
            <w:tcW w:w="1046" w:type="dxa"/>
            <w:tcBorders>
              <w:top w:val="single" w:color="auto" w:sz="4" w:space="0"/>
              <w:left w:val="single" w:color="auto" w:sz="4" w:space="0"/>
              <w:bottom w:val="single" w:color="auto" w:sz="4" w:space="0"/>
              <w:right w:val="single" w:color="auto" w:sz="4" w:space="0"/>
            </w:tcBorders>
          </w:tcPr>
          <w:p w:rsidRPr="00D75535" w:rsidR="007A7B25" w:rsidP="00FE0F1A" w:rsidRDefault="007A7B25" w14:paraId="45CB157C" w14:textId="77777777">
            <w:pPr>
              <w:spacing w:after="240"/>
              <w:rPr>
                <w:color w:val="595959" w:themeColor="text1" w:themeTint="A6"/>
                <w:szCs w:val="18"/>
              </w:rPr>
            </w:pPr>
            <w:r w:rsidRPr="00D75535">
              <w:rPr>
                <w:color w:val="595959" w:themeColor="text1" w:themeTint="A6"/>
                <w:szCs w:val="18"/>
              </w:rPr>
              <w:t>Noot</w:t>
            </w:r>
          </w:p>
        </w:tc>
        <w:tc>
          <w:tcPr>
            <w:tcW w:w="6602" w:type="dxa"/>
            <w:tcBorders>
              <w:top w:val="single" w:color="auto" w:sz="4" w:space="0"/>
              <w:left w:val="single" w:color="auto" w:sz="4" w:space="0"/>
              <w:bottom w:val="single" w:color="auto" w:sz="4" w:space="0"/>
              <w:right w:val="single" w:color="auto" w:sz="4" w:space="0"/>
            </w:tcBorders>
          </w:tcPr>
          <w:p w:rsidRPr="00D75535" w:rsidR="007A7B25" w:rsidP="00FE0F1A" w:rsidRDefault="00F677B1" w14:paraId="1B040519" w14:textId="4066C819">
            <w:pPr>
              <w:spacing w:after="240"/>
              <w:rPr>
                <w:color w:val="595959" w:themeColor="text1" w:themeTint="A6"/>
                <w:szCs w:val="18"/>
              </w:rPr>
            </w:pPr>
            <w:r>
              <w:rPr>
                <w:color w:val="595959" w:themeColor="text1" w:themeTint="A6"/>
                <w:szCs w:val="18"/>
              </w:rPr>
              <w:t xml:space="preserve">Met dit besluit wordt het de Spaanse eilanden toegestaan bepaalde derogaties toe te passen op de regels rondom Douaneheffingen. </w:t>
            </w:r>
          </w:p>
        </w:tc>
      </w:tr>
    </w:tbl>
    <w:p w:rsidR="007A7B25" w:rsidP="002A4BD8" w:rsidRDefault="007A7B25" w14:paraId="025E88BB" w14:textId="5777254F">
      <w:pPr>
        <w:rPr>
          <w:szCs w:val="18"/>
        </w:rPr>
      </w:pPr>
    </w:p>
    <w:tbl>
      <w:tblPr>
        <w:tblStyle w:val="Tabelraster"/>
        <w:tblW w:w="8073"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5"/>
        <w:gridCol w:w="1046"/>
        <w:gridCol w:w="6602"/>
      </w:tblGrid>
      <w:tr w:rsidRPr="00D75535" w:rsidR="007A7B25" w:rsidTr="00FE0F1A" w14:paraId="0233BE2C" w14:textId="77777777">
        <w:trPr>
          <w:trHeight w:val="320"/>
        </w:trPr>
        <w:tc>
          <w:tcPr>
            <w:tcW w:w="425"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7A7B25" w:rsidP="00FE0F1A" w:rsidRDefault="007A7B25" w14:paraId="087E9570" w14:textId="77777777">
            <w:pPr>
              <w:pStyle w:val="Lijstalinea"/>
              <w:numPr>
                <w:ilvl w:val="0"/>
                <w:numId w:val="10"/>
              </w:numPr>
              <w:spacing w:after="240"/>
              <w:ind w:left="312"/>
              <w:rPr>
                <w:color w:val="595959" w:themeColor="text1" w:themeTint="A6"/>
                <w:szCs w:val="18"/>
              </w:rPr>
            </w:pPr>
          </w:p>
        </w:tc>
        <w:tc>
          <w:tcPr>
            <w:tcW w:w="1046" w:type="dxa"/>
          </w:tcPr>
          <w:p w:rsidRPr="00D75535" w:rsidR="007A7B25" w:rsidP="00FE0F1A" w:rsidRDefault="007A7B25" w14:paraId="7B37B0DE" w14:textId="77777777">
            <w:pPr>
              <w:spacing w:after="240"/>
              <w:rPr>
                <w:color w:val="595959" w:themeColor="text1" w:themeTint="A6"/>
                <w:szCs w:val="18"/>
              </w:rPr>
            </w:pPr>
            <w:r w:rsidRPr="00D75535">
              <w:rPr>
                <w:color w:val="595959" w:themeColor="text1" w:themeTint="A6"/>
                <w:szCs w:val="18"/>
              </w:rPr>
              <w:t>Titel</w:t>
            </w:r>
          </w:p>
        </w:tc>
        <w:tc>
          <w:tcPr>
            <w:tcW w:w="6602" w:type="dxa"/>
          </w:tcPr>
          <w:p w:rsidR="00892BFA" w:rsidP="00892BFA" w:rsidRDefault="00C765A3" w14:paraId="4F4F2BE4" w14:textId="77777777">
            <w:pPr>
              <w:rPr>
                <w:rStyle w:val="Hyperlink"/>
                <w:rFonts w:ascii="Calibri" w:hAnsi="Calibri" w:cs="Calibri"/>
                <w:sz w:val="22"/>
              </w:rPr>
            </w:pPr>
            <w:r>
              <w:rPr>
                <w:rFonts w:ascii="Calibri" w:hAnsi="Calibri" w:cs="Calibri"/>
                <w:color w:val="000000"/>
                <w:sz w:val="22"/>
              </w:rPr>
              <w:t>Voorstel voor een VERORDENING VAN HET EUROPEES PARLEMENT EN DE RAAD tot wijziging van Verordening (EU) nr. 1286/2014 wat betreft de verlenging van de overgangsregeling voor beheermaatschappijen, beleggingsmaatschappijen en personen die advies geven over rechten van deelneming in instellingen voor collectieve belegging in effecten (</w:t>
            </w:r>
            <w:proofErr w:type="spellStart"/>
            <w:r>
              <w:rPr>
                <w:rFonts w:ascii="Calibri" w:hAnsi="Calibri" w:cs="Calibri"/>
                <w:color w:val="000000"/>
                <w:sz w:val="22"/>
              </w:rPr>
              <w:t>icbe's</w:t>
            </w:r>
            <w:proofErr w:type="spellEnd"/>
            <w:r>
              <w:rPr>
                <w:rFonts w:ascii="Calibri" w:hAnsi="Calibri" w:cs="Calibri"/>
                <w:color w:val="000000"/>
                <w:sz w:val="22"/>
              </w:rPr>
              <w:t>) en niet-</w:t>
            </w:r>
            <w:proofErr w:type="spellStart"/>
            <w:r>
              <w:rPr>
                <w:rFonts w:ascii="Calibri" w:hAnsi="Calibri" w:cs="Calibri"/>
                <w:color w:val="000000"/>
                <w:sz w:val="22"/>
              </w:rPr>
              <w:t>icbe’s</w:t>
            </w:r>
            <w:proofErr w:type="spellEnd"/>
            <w:r>
              <w:rPr>
                <w:rFonts w:ascii="Calibri" w:hAnsi="Calibri" w:cs="Calibri"/>
                <w:color w:val="000000"/>
                <w:sz w:val="22"/>
              </w:rPr>
              <w:t xml:space="preserve"> of deze verkopen  </w:t>
            </w:r>
            <w:hyperlink w:history="1" r:id="rId23">
              <w:r>
                <w:rPr>
                  <w:rStyle w:val="Hyperlink"/>
                  <w:rFonts w:ascii="Calibri" w:hAnsi="Calibri" w:cs="Calibri"/>
                  <w:sz w:val="22"/>
                </w:rPr>
                <w:t>COM (2021) 397</w:t>
              </w:r>
            </w:hyperlink>
          </w:p>
          <w:p w:rsidRPr="00892BFA" w:rsidR="007A7B25" w:rsidP="00892BFA" w:rsidRDefault="007A7B25" w14:paraId="228923EB" w14:textId="092E4664">
            <w:pPr>
              <w:rPr>
                <w:rFonts w:ascii="Calibri" w:hAnsi="Calibri" w:cs="Calibri"/>
                <w:color w:val="0000FF"/>
                <w:sz w:val="22"/>
                <w:u w:val="single"/>
                <w:lang w:eastAsia="nl-NL"/>
              </w:rPr>
            </w:pPr>
          </w:p>
        </w:tc>
      </w:tr>
      <w:tr w:rsidRPr="002A4BD8" w:rsidR="007A7B25" w:rsidTr="00FE0F1A" w14:paraId="7F2A39A2" w14:textId="77777777">
        <w:trPr>
          <w:trHeight w:val="342"/>
        </w:trPr>
        <w:tc>
          <w:tcPr>
            <w:tcW w:w="425" w:type="dxa"/>
            <w:vMerge/>
            <w:tcBorders>
              <w:top w:val="nil"/>
              <w:bottom w:val="single" w:color="D9D9D9" w:themeColor="background1" w:themeShade="D9" w:sz="4" w:space="0"/>
            </w:tcBorders>
            <w:shd w:val="clear" w:color="auto" w:fill="F2F2F2" w:themeFill="background1" w:themeFillShade="F2"/>
          </w:tcPr>
          <w:p w:rsidR="007A7B25" w:rsidP="00FE0F1A" w:rsidRDefault="007A7B25" w14:paraId="1613629F" w14:textId="77777777">
            <w:pPr>
              <w:spacing w:after="240"/>
              <w:rPr>
                <w:szCs w:val="18"/>
              </w:rPr>
            </w:pPr>
          </w:p>
        </w:tc>
        <w:tc>
          <w:tcPr>
            <w:tcW w:w="1046" w:type="dxa"/>
          </w:tcPr>
          <w:p w:rsidRPr="002A4BD8" w:rsidR="007A7B25" w:rsidP="00FE0F1A" w:rsidRDefault="007A7B25" w14:paraId="00BB2FEE" w14:textId="77777777">
            <w:pPr>
              <w:spacing w:after="240"/>
              <w:rPr>
                <w:szCs w:val="18"/>
              </w:rPr>
            </w:pPr>
            <w:r w:rsidRPr="002A4BD8">
              <w:rPr>
                <w:szCs w:val="18"/>
              </w:rPr>
              <w:t>Voorstel</w:t>
            </w:r>
          </w:p>
        </w:tc>
        <w:tc>
          <w:tcPr>
            <w:tcW w:w="6602" w:type="dxa"/>
          </w:tcPr>
          <w:p w:rsidRPr="002A4BD8" w:rsidR="007A7B25" w:rsidP="00FE0F1A" w:rsidRDefault="00892BFA" w14:paraId="282A707D" w14:textId="6F93C4B8">
            <w:pPr>
              <w:spacing w:after="240"/>
              <w:rPr>
                <w:szCs w:val="18"/>
              </w:rPr>
            </w:pPr>
            <w:r>
              <w:rPr>
                <w:szCs w:val="18"/>
              </w:rPr>
              <w:t>Voor kennisgeving aannemen</w:t>
            </w:r>
          </w:p>
        </w:tc>
      </w:tr>
      <w:tr w:rsidRPr="00D75535" w:rsidR="007A7B25" w:rsidTr="00FE0F1A" w14:paraId="17FCE7B8" w14:textId="77777777">
        <w:trPr>
          <w:trHeight w:val="320"/>
        </w:trPr>
        <w:tc>
          <w:tcPr>
            <w:tcW w:w="425" w:type="dxa"/>
            <w:vMerge/>
            <w:tcBorders>
              <w:top w:val="nil"/>
              <w:bottom w:val="single" w:color="D9D9D9" w:themeColor="background1" w:themeShade="D9" w:sz="4" w:space="0"/>
            </w:tcBorders>
            <w:shd w:val="clear" w:color="auto" w:fill="F2F2F2" w:themeFill="background1" w:themeFillShade="F2"/>
          </w:tcPr>
          <w:p w:rsidRPr="00D75535" w:rsidR="007A7B25" w:rsidP="00FE0F1A" w:rsidRDefault="007A7B25" w14:paraId="11F1F979" w14:textId="77777777">
            <w:pPr>
              <w:spacing w:after="240"/>
              <w:rPr>
                <w:color w:val="595959" w:themeColor="text1" w:themeTint="A6"/>
                <w:szCs w:val="18"/>
              </w:rPr>
            </w:pPr>
          </w:p>
        </w:tc>
        <w:tc>
          <w:tcPr>
            <w:tcW w:w="1046" w:type="dxa"/>
          </w:tcPr>
          <w:p w:rsidRPr="00D75535" w:rsidR="007A7B25" w:rsidP="00FE0F1A" w:rsidRDefault="007A7B25" w14:paraId="0AFC4B56" w14:textId="77777777">
            <w:pPr>
              <w:spacing w:after="240"/>
              <w:rPr>
                <w:color w:val="595959" w:themeColor="text1" w:themeTint="A6"/>
                <w:szCs w:val="18"/>
              </w:rPr>
            </w:pPr>
            <w:r w:rsidRPr="00D75535">
              <w:rPr>
                <w:color w:val="595959" w:themeColor="text1" w:themeTint="A6"/>
                <w:szCs w:val="18"/>
              </w:rPr>
              <w:t>Noot</w:t>
            </w:r>
          </w:p>
        </w:tc>
        <w:tc>
          <w:tcPr>
            <w:tcW w:w="6602" w:type="dxa"/>
          </w:tcPr>
          <w:p w:rsidRPr="00D75535" w:rsidR="007A7B25" w:rsidP="00FE0F1A" w:rsidRDefault="00892BFA" w14:paraId="0BE2D473" w14:textId="28DD0422">
            <w:pPr>
              <w:spacing w:after="240"/>
              <w:rPr>
                <w:color w:val="595959" w:themeColor="text1" w:themeTint="A6"/>
                <w:szCs w:val="18"/>
              </w:rPr>
            </w:pPr>
            <w:r>
              <w:rPr>
                <w:color w:val="595959" w:themeColor="text1" w:themeTint="A6"/>
                <w:szCs w:val="18"/>
              </w:rPr>
              <w:t xml:space="preserve">In de regelgeving voor de informatie die moet worden verstrekt aan beleggers zijn tijdelijk een aantal uitzonderingen opgenomen voordat een meer uitgebreid regime gaat gelden. In dit voorstel worden deze uitzonderingen met een half jaar verlengd om de industrie meer tijd te gunnen om zich aan te passen. </w:t>
            </w:r>
          </w:p>
        </w:tc>
      </w:tr>
    </w:tbl>
    <w:p w:rsidR="007A7B25" w:rsidP="002A4BD8" w:rsidRDefault="007A7B25" w14:paraId="10DF31BA" w14:textId="4B49B579">
      <w:pPr>
        <w:rPr>
          <w:szCs w:val="18"/>
        </w:rPr>
      </w:pPr>
    </w:p>
    <w:p w:rsidR="007A7B25" w:rsidP="002A4BD8" w:rsidRDefault="007A7B25" w14:paraId="65C3CD34" w14:textId="2546959D">
      <w:pPr>
        <w:rPr>
          <w:szCs w:val="18"/>
        </w:rPr>
      </w:pPr>
    </w:p>
    <w:tbl>
      <w:tblPr>
        <w:tblStyle w:val="Tabelraster"/>
        <w:tblW w:w="8073"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5"/>
        <w:gridCol w:w="1046"/>
        <w:gridCol w:w="6602"/>
      </w:tblGrid>
      <w:tr w:rsidRPr="00D75535" w:rsidR="007A7B25" w:rsidTr="00FE0F1A" w14:paraId="44A7FA68" w14:textId="77777777">
        <w:trPr>
          <w:trHeight w:val="320"/>
        </w:trPr>
        <w:tc>
          <w:tcPr>
            <w:tcW w:w="425"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7A7B25" w:rsidP="00FE0F1A" w:rsidRDefault="007A7B25" w14:paraId="0E3A2616" w14:textId="77777777">
            <w:pPr>
              <w:pStyle w:val="Lijstalinea"/>
              <w:numPr>
                <w:ilvl w:val="0"/>
                <w:numId w:val="10"/>
              </w:numPr>
              <w:spacing w:after="240"/>
              <w:ind w:left="312"/>
              <w:rPr>
                <w:color w:val="595959" w:themeColor="text1" w:themeTint="A6"/>
                <w:szCs w:val="18"/>
              </w:rPr>
            </w:pPr>
          </w:p>
        </w:tc>
        <w:tc>
          <w:tcPr>
            <w:tcW w:w="1046" w:type="dxa"/>
          </w:tcPr>
          <w:p w:rsidRPr="00D75535" w:rsidR="007A7B25" w:rsidP="00FE0F1A" w:rsidRDefault="007A7B25" w14:paraId="67D3D15D" w14:textId="77777777">
            <w:pPr>
              <w:spacing w:after="240"/>
              <w:rPr>
                <w:color w:val="595959" w:themeColor="text1" w:themeTint="A6"/>
                <w:szCs w:val="18"/>
              </w:rPr>
            </w:pPr>
            <w:r w:rsidRPr="00D75535">
              <w:rPr>
                <w:color w:val="595959" w:themeColor="text1" w:themeTint="A6"/>
                <w:szCs w:val="18"/>
              </w:rPr>
              <w:t>Titel</w:t>
            </w:r>
          </w:p>
        </w:tc>
        <w:tc>
          <w:tcPr>
            <w:tcW w:w="6602" w:type="dxa"/>
          </w:tcPr>
          <w:p w:rsidRPr="006432B0" w:rsidR="007A7B25" w:rsidP="00FE0F1A" w:rsidRDefault="00C765A3" w14:paraId="4413BF8A" w14:textId="743C6299">
            <w:pPr>
              <w:spacing w:after="240"/>
              <w:rPr>
                <w:rFonts w:ascii="Calibri" w:hAnsi="Calibri" w:cs="Calibri"/>
                <w:color w:val="0000FF"/>
                <w:sz w:val="22"/>
                <w:u w:val="single"/>
                <w:lang w:eastAsia="nl-NL"/>
              </w:rPr>
            </w:pPr>
            <w:r>
              <w:rPr>
                <w:rFonts w:ascii="Calibri" w:hAnsi="Calibri" w:cs="Calibri"/>
                <w:color w:val="000000"/>
                <w:sz w:val="22"/>
              </w:rPr>
              <w:t>Voorstel voor een RICHTLIJN VAN HET EUROPEES PARLEMENT EN DE RAAD tot wijziging van Richtlijn 2009/65/EG wat betreft het gebruik van essentiële-informatiedocumenten door beheermaatschappijen van instellingen voor collectieve belegging in effecten (</w:t>
            </w:r>
            <w:proofErr w:type="spellStart"/>
            <w:r>
              <w:rPr>
                <w:rFonts w:ascii="Calibri" w:hAnsi="Calibri" w:cs="Calibri"/>
                <w:color w:val="000000"/>
                <w:sz w:val="22"/>
              </w:rPr>
              <w:t>icbe’s</w:t>
            </w:r>
            <w:proofErr w:type="spellEnd"/>
            <w:r>
              <w:rPr>
                <w:rFonts w:ascii="Calibri" w:hAnsi="Calibri" w:cs="Calibri"/>
                <w:color w:val="000000"/>
                <w:sz w:val="22"/>
              </w:rPr>
              <w:t xml:space="preserve">)                  </w:t>
            </w:r>
            <w:hyperlink w:history="1" r:id="rId24">
              <w:r>
                <w:rPr>
                  <w:rStyle w:val="Hyperlink"/>
                  <w:rFonts w:ascii="Calibri" w:hAnsi="Calibri" w:cs="Calibri"/>
                  <w:sz w:val="22"/>
                </w:rPr>
                <w:t>COM (2021) 399</w:t>
              </w:r>
            </w:hyperlink>
          </w:p>
        </w:tc>
      </w:tr>
      <w:tr w:rsidRPr="002A4BD8" w:rsidR="007A7B25" w:rsidTr="00FE0F1A" w14:paraId="460580DE" w14:textId="77777777">
        <w:trPr>
          <w:trHeight w:val="342"/>
        </w:trPr>
        <w:tc>
          <w:tcPr>
            <w:tcW w:w="425" w:type="dxa"/>
            <w:vMerge/>
            <w:tcBorders>
              <w:top w:val="nil"/>
              <w:bottom w:val="single" w:color="D9D9D9" w:themeColor="background1" w:themeShade="D9" w:sz="4" w:space="0"/>
            </w:tcBorders>
            <w:shd w:val="clear" w:color="auto" w:fill="F2F2F2" w:themeFill="background1" w:themeFillShade="F2"/>
          </w:tcPr>
          <w:p w:rsidR="007A7B25" w:rsidP="00FE0F1A" w:rsidRDefault="007A7B25" w14:paraId="7B3E497C" w14:textId="77777777">
            <w:pPr>
              <w:spacing w:after="240"/>
              <w:rPr>
                <w:szCs w:val="18"/>
              </w:rPr>
            </w:pPr>
          </w:p>
        </w:tc>
        <w:tc>
          <w:tcPr>
            <w:tcW w:w="1046" w:type="dxa"/>
          </w:tcPr>
          <w:p w:rsidRPr="002A4BD8" w:rsidR="007A7B25" w:rsidP="00FE0F1A" w:rsidRDefault="007A7B25" w14:paraId="1F9614DB" w14:textId="77777777">
            <w:pPr>
              <w:spacing w:after="240"/>
              <w:rPr>
                <w:szCs w:val="18"/>
              </w:rPr>
            </w:pPr>
            <w:r w:rsidRPr="002A4BD8">
              <w:rPr>
                <w:szCs w:val="18"/>
              </w:rPr>
              <w:t>Voorstel</w:t>
            </w:r>
          </w:p>
        </w:tc>
        <w:tc>
          <w:tcPr>
            <w:tcW w:w="6602" w:type="dxa"/>
          </w:tcPr>
          <w:p w:rsidRPr="002A4BD8" w:rsidR="007A7B25" w:rsidP="00FE0F1A" w:rsidRDefault="006432B0" w14:paraId="5BAAE44F" w14:textId="4FC540AA">
            <w:pPr>
              <w:spacing w:after="240"/>
              <w:rPr>
                <w:szCs w:val="18"/>
              </w:rPr>
            </w:pPr>
            <w:r>
              <w:rPr>
                <w:szCs w:val="18"/>
              </w:rPr>
              <w:t>Voor kennisgeving aannemen</w:t>
            </w:r>
          </w:p>
        </w:tc>
      </w:tr>
      <w:tr w:rsidRPr="00D75535" w:rsidR="007A7B25" w:rsidTr="00FE0F1A" w14:paraId="049FD049" w14:textId="77777777">
        <w:trPr>
          <w:trHeight w:val="320"/>
        </w:trPr>
        <w:tc>
          <w:tcPr>
            <w:tcW w:w="425" w:type="dxa"/>
            <w:vMerge/>
            <w:tcBorders>
              <w:top w:val="nil"/>
              <w:bottom w:val="single" w:color="D9D9D9" w:themeColor="background1" w:themeShade="D9" w:sz="4" w:space="0"/>
            </w:tcBorders>
            <w:shd w:val="clear" w:color="auto" w:fill="F2F2F2" w:themeFill="background1" w:themeFillShade="F2"/>
          </w:tcPr>
          <w:p w:rsidRPr="00D75535" w:rsidR="007A7B25" w:rsidP="00FE0F1A" w:rsidRDefault="007A7B25" w14:paraId="5C2D9A24" w14:textId="77777777">
            <w:pPr>
              <w:spacing w:after="240"/>
              <w:rPr>
                <w:color w:val="595959" w:themeColor="text1" w:themeTint="A6"/>
                <w:szCs w:val="18"/>
              </w:rPr>
            </w:pPr>
          </w:p>
        </w:tc>
        <w:tc>
          <w:tcPr>
            <w:tcW w:w="1046" w:type="dxa"/>
          </w:tcPr>
          <w:p w:rsidRPr="00D75535" w:rsidR="007A7B25" w:rsidP="00FE0F1A" w:rsidRDefault="007A7B25" w14:paraId="5C7F3A95" w14:textId="77777777">
            <w:pPr>
              <w:spacing w:after="240"/>
              <w:rPr>
                <w:color w:val="595959" w:themeColor="text1" w:themeTint="A6"/>
                <w:szCs w:val="18"/>
              </w:rPr>
            </w:pPr>
            <w:r w:rsidRPr="00D75535">
              <w:rPr>
                <w:color w:val="595959" w:themeColor="text1" w:themeTint="A6"/>
                <w:szCs w:val="18"/>
              </w:rPr>
              <w:t>Noot</w:t>
            </w:r>
          </w:p>
        </w:tc>
        <w:tc>
          <w:tcPr>
            <w:tcW w:w="6602" w:type="dxa"/>
          </w:tcPr>
          <w:p w:rsidRPr="00D75535" w:rsidR="007A7B25" w:rsidP="00FE0F1A" w:rsidRDefault="006432B0" w14:paraId="17F7485D" w14:textId="3B47F1D1">
            <w:pPr>
              <w:spacing w:after="240"/>
              <w:rPr>
                <w:color w:val="595959" w:themeColor="text1" w:themeTint="A6"/>
                <w:szCs w:val="18"/>
              </w:rPr>
            </w:pPr>
            <w:r>
              <w:rPr>
                <w:color w:val="595959" w:themeColor="text1" w:themeTint="A6"/>
                <w:szCs w:val="18"/>
              </w:rPr>
              <w:t xml:space="preserve">Deze relatief beperkte richtlijn is gericht op de informatievoorziening aan beleggers als zij investeren in </w:t>
            </w:r>
            <w:proofErr w:type="spellStart"/>
            <w:r>
              <w:rPr>
                <w:color w:val="595959" w:themeColor="text1" w:themeTint="A6"/>
                <w:szCs w:val="18"/>
              </w:rPr>
              <w:t>icbe’s</w:t>
            </w:r>
            <w:proofErr w:type="spellEnd"/>
            <w:r>
              <w:rPr>
                <w:color w:val="595959" w:themeColor="text1" w:themeTint="A6"/>
                <w:szCs w:val="18"/>
              </w:rPr>
              <w:t xml:space="preserve">, momenteel zijn er twee verschillende soorten documenten vereist met informatie voor beleggers. Met deze richtlijn wordt dit teruggebracht tot één document. </w:t>
            </w:r>
          </w:p>
        </w:tc>
      </w:tr>
    </w:tbl>
    <w:p w:rsidR="007A7B25" w:rsidP="002A4BD8" w:rsidRDefault="007A7B25" w14:paraId="1FE6792F" w14:textId="03B9190E">
      <w:pPr>
        <w:rPr>
          <w:szCs w:val="18"/>
        </w:rPr>
      </w:pPr>
    </w:p>
    <w:tbl>
      <w:tblPr>
        <w:tblStyle w:val="Tabelraster"/>
        <w:tblW w:w="8073"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5"/>
        <w:gridCol w:w="1046"/>
        <w:gridCol w:w="6602"/>
      </w:tblGrid>
      <w:tr w:rsidRPr="009D43DB" w:rsidR="007A7B25" w:rsidTr="00FE0F1A" w14:paraId="216ED423" w14:textId="77777777">
        <w:trPr>
          <w:trHeight w:val="320"/>
        </w:trPr>
        <w:tc>
          <w:tcPr>
            <w:tcW w:w="425"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7A7B25" w:rsidP="00FE0F1A" w:rsidRDefault="007A7B25" w14:paraId="72092620" w14:textId="77777777">
            <w:pPr>
              <w:pStyle w:val="Lijstalinea"/>
              <w:numPr>
                <w:ilvl w:val="0"/>
                <w:numId w:val="10"/>
              </w:numPr>
              <w:spacing w:after="240"/>
              <w:ind w:left="312"/>
              <w:rPr>
                <w:color w:val="595959" w:themeColor="text1" w:themeTint="A6"/>
                <w:szCs w:val="18"/>
              </w:rPr>
            </w:pPr>
          </w:p>
        </w:tc>
        <w:tc>
          <w:tcPr>
            <w:tcW w:w="1046" w:type="dxa"/>
          </w:tcPr>
          <w:p w:rsidRPr="00D75535" w:rsidR="007A7B25" w:rsidP="00FE0F1A" w:rsidRDefault="007A7B25" w14:paraId="64089721" w14:textId="77777777">
            <w:pPr>
              <w:spacing w:after="240"/>
              <w:rPr>
                <w:color w:val="595959" w:themeColor="text1" w:themeTint="A6"/>
                <w:szCs w:val="18"/>
              </w:rPr>
            </w:pPr>
            <w:r w:rsidRPr="00D75535">
              <w:rPr>
                <w:color w:val="595959" w:themeColor="text1" w:themeTint="A6"/>
                <w:szCs w:val="18"/>
              </w:rPr>
              <w:t>Titel</w:t>
            </w:r>
          </w:p>
        </w:tc>
        <w:tc>
          <w:tcPr>
            <w:tcW w:w="6602" w:type="dxa"/>
          </w:tcPr>
          <w:p w:rsidRPr="009D43DB" w:rsidR="007A7B25" w:rsidP="009D43DB" w:rsidRDefault="009D43DB" w14:paraId="389AB06B" w14:textId="7C7FC604">
            <w:pPr>
              <w:spacing w:after="240"/>
              <w:rPr>
                <w:rFonts w:ascii="Calibri" w:hAnsi="Calibri" w:cs="Calibri"/>
                <w:color w:val="0000FF"/>
                <w:sz w:val="22"/>
                <w:u w:val="single"/>
                <w:lang w:eastAsia="nl-NL"/>
              </w:rPr>
            </w:pPr>
            <w:r w:rsidRPr="009D43DB">
              <w:rPr>
                <w:rFonts w:ascii="Calibri" w:hAnsi="Calibri" w:cs="Calibri"/>
                <w:color w:val="000000"/>
                <w:sz w:val="22"/>
              </w:rPr>
              <w:t>Voorstel voor een RICHTLIJN VAN HET EUROPEES PARLEMENT EN DE RAAD tot wijziging van Richtlijn (EU) 2019/1153 van het Europees Parlement en de Raad wat betreft de toegang van bevoegde autoriteiten tot centrale registers van bankrekeningen via het centrale toegangspunt</w:t>
            </w:r>
            <w:r w:rsidRPr="009D43DB" w:rsidR="00C765A3">
              <w:rPr>
                <w:rFonts w:ascii="Calibri" w:hAnsi="Calibri" w:cs="Calibri"/>
                <w:color w:val="000000"/>
                <w:sz w:val="22"/>
              </w:rPr>
              <w:t xml:space="preserve"> </w:t>
            </w:r>
            <w:hyperlink w:history="1" r:id="rId25">
              <w:r w:rsidRPr="009D43DB" w:rsidR="00C765A3">
                <w:rPr>
                  <w:rStyle w:val="Hyperlink"/>
                  <w:rFonts w:ascii="Calibri" w:hAnsi="Calibri" w:cs="Calibri"/>
                  <w:sz w:val="22"/>
                </w:rPr>
                <w:t>COM (2021) 429</w:t>
              </w:r>
            </w:hyperlink>
          </w:p>
        </w:tc>
      </w:tr>
      <w:tr w:rsidRPr="002A4BD8" w:rsidR="007A7B25" w:rsidTr="00FE0F1A" w14:paraId="42458B4B" w14:textId="77777777">
        <w:trPr>
          <w:trHeight w:val="342"/>
        </w:trPr>
        <w:tc>
          <w:tcPr>
            <w:tcW w:w="425" w:type="dxa"/>
            <w:vMerge/>
            <w:tcBorders>
              <w:top w:val="nil"/>
              <w:bottom w:val="single" w:color="D9D9D9" w:themeColor="background1" w:themeShade="D9" w:sz="4" w:space="0"/>
            </w:tcBorders>
            <w:shd w:val="clear" w:color="auto" w:fill="F2F2F2" w:themeFill="background1" w:themeFillShade="F2"/>
          </w:tcPr>
          <w:p w:rsidRPr="009D43DB" w:rsidR="007A7B25" w:rsidP="00FE0F1A" w:rsidRDefault="007A7B25" w14:paraId="33CCFF55" w14:textId="77777777">
            <w:pPr>
              <w:spacing w:after="240"/>
              <w:rPr>
                <w:szCs w:val="18"/>
              </w:rPr>
            </w:pPr>
          </w:p>
        </w:tc>
        <w:tc>
          <w:tcPr>
            <w:tcW w:w="1046" w:type="dxa"/>
          </w:tcPr>
          <w:p w:rsidRPr="002A4BD8" w:rsidR="007A7B25" w:rsidP="00FE0F1A" w:rsidRDefault="007A7B25" w14:paraId="5A6C37B2" w14:textId="77777777">
            <w:pPr>
              <w:spacing w:after="240"/>
              <w:rPr>
                <w:szCs w:val="18"/>
              </w:rPr>
            </w:pPr>
            <w:r w:rsidRPr="002A4BD8">
              <w:rPr>
                <w:szCs w:val="18"/>
              </w:rPr>
              <w:t>Voorstel</w:t>
            </w:r>
          </w:p>
        </w:tc>
        <w:tc>
          <w:tcPr>
            <w:tcW w:w="6602" w:type="dxa"/>
          </w:tcPr>
          <w:p w:rsidRPr="002A4BD8" w:rsidR="007A7B25" w:rsidP="00FE0F1A" w:rsidRDefault="006432B0" w14:paraId="04A17D03" w14:textId="64966429">
            <w:pPr>
              <w:spacing w:after="240"/>
              <w:rPr>
                <w:szCs w:val="18"/>
              </w:rPr>
            </w:pPr>
            <w:r>
              <w:rPr>
                <w:szCs w:val="18"/>
              </w:rPr>
              <w:t>Voor kennisgeving aannemen</w:t>
            </w:r>
          </w:p>
        </w:tc>
      </w:tr>
      <w:tr w:rsidRPr="00D75535" w:rsidR="007A7B25" w:rsidTr="00FE0F1A" w14:paraId="10B1F28C" w14:textId="77777777">
        <w:trPr>
          <w:trHeight w:val="320"/>
        </w:trPr>
        <w:tc>
          <w:tcPr>
            <w:tcW w:w="425" w:type="dxa"/>
            <w:vMerge/>
            <w:tcBorders>
              <w:top w:val="nil"/>
              <w:bottom w:val="single" w:color="D9D9D9" w:themeColor="background1" w:themeShade="D9" w:sz="4" w:space="0"/>
            </w:tcBorders>
            <w:shd w:val="clear" w:color="auto" w:fill="F2F2F2" w:themeFill="background1" w:themeFillShade="F2"/>
          </w:tcPr>
          <w:p w:rsidRPr="00D75535" w:rsidR="007A7B25" w:rsidP="00FE0F1A" w:rsidRDefault="007A7B25" w14:paraId="00FDA6B9" w14:textId="77777777">
            <w:pPr>
              <w:spacing w:after="240"/>
              <w:rPr>
                <w:color w:val="595959" w:themeColor="text1" w:themeTint="A6"/>
                <w:szCs w:val="18"/>
              </w:rPr>
            </w:pPr>
          </w:p>
        </w:tc>
        <w:tc>
          <w:tcPr>
            <w:tcW w:w="1046" w:type="dxa"/>
          </w:tcPr>
          <w:p w:rsidRPr="00D75535" w:rsidR="007A7B25" w:rsidP="00FE0F1A" w:rsidRDefault="007A7B25" w14:paraId="1DF1BEF5" w14:textId="77777777">
            <w:pPr>
              <w:spacing w:after="240"/>
              <w:rPr>
                <w:color w:val="595959" w:themeColor="text1" w:themeTint="A6"/>
                <w:szCs w:val="18"/>
              </w:rPr>
            </w:pPr>
            <w:r w:rsidRPr="00D75535">
              <w:rPr>
                <w:color w:val="595959" w:themeColor="text1" w:themeTint="A6"/>
                <w:szCs w:val="18"/>
              </w:rPr>
              <w:t>Noot</w:t>
            </w:r>
          </w:p>
        </w:tc>
        <w:tc>
          <w:tcPr>
            <w:tcW w:w="6602" w:type="dxa"/>
          </w:tcPr>
          <w:p w:rsidRPr="00D75535" w:rsidR="007A7B25" w:rsidP="00FE0F1A" w:rsidRDefault="006432B0" w14:paraId="5E3775E0" w14:textId="0EA73654">
            <w:pPr>
              <w:spacing w:after="240"/>
              <w:rPr>
                <w:color w:val="595959" w:themeColor="text1" w:themeTint="A6"/>
                <w:szCs w:val="18"/>
              </w:rPr>
            </w:pPr>
            <w:r>
              <w:rPr>
                <w:color w:val="595959" w:themeColor="text1" w:themeTint="A6"/>
                <w:szCs w:val="18"/>
              </w:rPr>
              <w:t xml:space="preserve">Via deze richtlijn moeten toezichthouders meer en makkelijker inzicht krijgen in bankgegevens voor het opsporen van financiële stromen in het criminele circuit. </w:t>
            </w:r>
          </w:p>
        </w:tc>
      </w:tr>
    </w:tbl>
    <w:p w:rsidR="007A7B25" w:rsidP="002A4BD8" w:rsidRDefault="007A7B25" w14:paraId="43E8E7B2" w14:textId="70889A0E">
      <w:pPr>
        <w:rPr>
          <w:szCs w:val="18"/>
        </w:rPr>
      </w:pPr>
    </w:p>
    <w:p w:rsidR="00C765A3" w:rsidP="00C765A3" w:rsidRDefault="00C765A3" w14:paraId="1427DDCC" w14:textId="77777777">
      <w:pPr>
        <w:rPr>
          <w:szCs w:val="18"/>
        </w:rPr>
      </w:pPr>
    </w:p>
    <w:tbl>
      <w:tblPr>
        <w:tblStyle w:val="Tabelraster"/>
        <w:tblW w:w="8073"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5"/>
        <w:gridCol w:w="1046"/>
        <w:gridCol w:w="6602"/>
      </w:tblGrid>
      <w:tr w:rsidRPr="009D43DB" w:rsidR="00347789" w:rsidTr="00B4722F" w14:paraId="0131AF3C" w14:textId="77777777">
        <w:trPr>
          <w:trHeight w:val="320"/>
        </w:trPr>
        <w:tc>
          <w:tcPr>
            <w:tcW w:w="425"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347789" w:rsidP="00B4722F" w:rsidRDefault="00347789" w14:paraId="6ED2CF7C" w14:textId="77777777">
            <w:pPr>
              <w:pStyle w:val="Lijstalinea"/>
              <w:numPr>
                <w:ilvl w:val="0"/>
                <w:numId w:val="10"/>
              </w:numPr>
              <w:spacing w:after="240"/>
              <w:ind w:left="312"/>
              <w:rPr>
                <w:color w:val="595959" w:themeColor="text1" w:themeTint="A6"/>
                <w:szCs w:val="18"/>
              </w:rPr>
            </w:pPr>
          </w:p>
        </w:tc>
        <w:tc>
          <w:tcPr>
            <w:tcW w:w="1046" w:type="dxa"/>
          </w:tcPr>
          <w:p w:rsidRPr="00D75535" w:rsidR="00347789" w:rsidP="00B4722F" w:rsidRDefault="00347789" w14:paraId="286EACAD" w14:textId="77777777">
            <w:pPr>
              <w:spacing w:after="240"/>
              <w:rPr>
                <w:color w:val="595959" w:themeColor="text1" w:themeTint="A6"/>
                <w:szCs w:val="18"/>
              </w:rPr>
            </w:pPr>
            <w:r w:rsidRPr="00D75535">
              <w:rPr>
                <w:color w:val="595959" w:themeColor="text1" w:themeTint="A6"/>
                <w:szCs w:val="18"/>
              </w:rPr>
              <w:t>Titel</w:t>
            </w:r>
          </w:p>
        </w:tc>
        <w:tc>
          <w:tcPr>
            <w:tcW w:w="6602" w:type="dxa"/>
          </w:tcPr>
          <w:p w:rsidRPr="009D43DB" w:rsidR="00347789" w:rsidP="00B4722F" w:rsidRDefault="00347789" w14:paraId="38E34097" w14:textId="7687201B">
            <w:pPr>
              <w:spacing w:after="240"/>
              <w:rPr>
                <w:rFonts w:ascii="Calibri" w:hAnsi="Calibri" w:cs="Calibri"/>
                <w:color w:val="0000FF"/>
                <w:sz w:val="22"/>
                <w:u w:val="single"/>
                <w:lang w:eastAsia="nl-NL"/>
              </w:rPr>
            </w:pPr>
            <w:r>
              <w:rPr>
                <w:rFonts w:ascii="Calibri" w:hAnsi="Calibri" w:cs="Calibri"/>
                <w:color w:val="000000"/>
                <w:sz w:val="22"/>
              </w:rPr>
              <w:t>Voorstel voor een UITVOERINGSBESLUIT VAN DE RAAD tot wijziging van Uitvoeringsbesluit (EU) 2018/1493 waarbij Hongarije wordt gemachtigd een bijzondere maatregel toe te passen die afwijkt van artikel 26, lid 1, onder a), en de artikelen 168 en 168 bis van Richtlijn 2006/112/EG betreffende het gemeenschappelijke stelsel van belasting over de toegevoegde waarde (</w:t>
            </w:r>
            <w:hyperlink w:history="1" r:id="rId26">
              <w:r>
                <w:rPr>
                  <w:rStyle w:val="Hyperlink"/>
                  <w:rFonts w:ascii="Calibri" w:hAnsi="Calibri" w:cs="Calibri"/>
                  <w:sz w:val="22"/>
                </w:rPr>
                <w:t>COM (2021) 482</w:t>
              </w:r>
            </w:hyperlink>
            <w:r>
              <w:rPr>
                <w:rFonts w:ascii="Calibri" w:hAnsi="Calibri" w:cs="Calibri"/>
                <w:color w:val="0000FF"/>
                <w:sz w:val="22"/>
                <w:u w:val="single"/>
              </w:rPr>
              <w:t>)</w:t>
            </w:r>
          </w:p>
        </w:tc>
      </w:tr>
      <w:tr w:rsidRPr="002A4BD8" w:rsidR="00347789" w:rsidTr="00B4722F" w14:paraId="06E26CC7" w14:textId="77777777">
        <w:trPr>
          <w:trHeight w:val="342"/>
        </w:trPr>
        <w:tc>
          <w:tcPr>
            <w:tcW w:w="425" w:type="dxa"/>
            <w:vMerge/>
            <w:tcBorders>
              <w:top w:val="nil"/>
              <w:bottom w:val="single" w:color="D9D9D9" w:themeColor="background1" w:themeShade="D9" w:sz="4" w:space="0"/>
            </w:tcBorders>
            <w:shd w:val="clear" w:color="auto" w:fill="F2F2F2" w:themeFill="background1" w:themeFillShade="F2"/>
          </w:tcPr>
          <w:p w:rsidRPr="009D43DB" w:rsidR="00347789" w:rsidP="00B4722F" w:rsidRDefault="00347789" w14:paraId="6A1C441F" w14:textId="77777777">
            <w:pPr>
              <w:spacing w:after="240"/>
              <w:rPr>
                <w:szCs w:val="18"/>
              </w:rPr>
            </w:pPr>
          </w:p>
        </w:tc>
        <w:tc>
          <w:tcPr>
            <w:tcW w:w="1046" w:type="dxa"/>
          </w:tcPr>
          <w:p w:rsidRPr="002A4BD8" w:rsidR="00347789" w:rsidP="00B4722F" w:rsidRDefault="00347789" w14:paraId="596E435C" w14:textId="77777777">
            <w:pPr>
              <w:spacing w:after="240"/>
              <w:rPr>
                <w:szCs w:val="18"/>
              </w:rPr>
            </w:pPr>
            <w:r w:rsidRPr="002A4BD8">
              <w:rPr>
                <w:szCs w:val="18"/>
              </w:rPr>
              <w:t>Voorstel</w:t>
            </w:r>
          </w:p>
        </w:tc>
        <w:tc>
          <w:tcPr>
            <w:tcW w:w="6602" w:type="dxa"/>
          </w:tcPr>
          <w:p w:rsidRPr="00347789" w:rsidR="00347789" w:rsidP="00B4722F" w:rsidRDefault="00347789" w14:paraId="761B0D84" w14:textId="77777777">
            <w:pPr>
              <w:spacing w:after="240"/>
              <w:rPr>
                <w:szCs w:val="18"/>
                <w:highlight w:val="yellow"/>
              </w:rPr>
            </w:pPr>
            <w:r w:rsidRPr="00AA0820">
              <w:rPr>
                <w:szCs w:val="18"/>
              </w:rPr>
              <w:t>Voor kennisgeving aannemen</w:t>
            </w:r>
          </w:p>
        </w:tc>
      </w:tr>
      <w:tr w:rsidRPr="00D75535" w:rsidR="00347789" w:rsidTr="00B4722F" w14:paraId="529E5444" w14:textId="77777777">
        <w:trPr>
          <w:trHeight w:val="320"/>
        </w:trPr>
        <w:tc>
          <w:tcPr>
            <w:tcW w:w="425" w:type="dxa"/>
            <w:vMerge/>
            <w:tcBorders>
              <w:top w:val="nil"/>
              <w:bottom w:val="single" w:color="D9D9D9" w:themeColor="background1" w:themeShade="D9" w:sz="4" w:space="0"/>
            </w:tcBorders>
            <w:shd w:val="clear" w:color="auto" w:fill="F2F2F2" w:themeFill="background1" w:themeFillShade="F2"/>
          </w:tcPr>
          <w:p w:rsidRPr="00D75535" w:rsidR="00347789" w:rsidP="00B4722F" w:rsidRDefault="00347789" w14:paraId="3773D075" w14:textId="77777777">
            <w:pPr>
              <w:spacing w:after="240"/>
              <w:rPr>
                <w:color w:val="595959" w:themeColor="text1" w:themeTint="A6"/>
                <w:szCs w:val="18"/>
              </w:rPr>
            </w:pPr>
          </w:p>
        </w:tc>
        <w:tc>
          <w:tcPr>
            <w:tcW w:w="1046" w:type="dxa"/>
          </w:tcPr>
          <w:p w:rsidRPr="00D75535" w:rsidR="00347789" w:rsidP="00B4722F" w:rsidRDefault="00347789" w14:paraId="7110DAE3" w14:textId="77777777">
            <w:pPr>
              <w:spacing w:after="240"/>
              <w:rPr>
                <w:color w:val="595959" w:themeColor="text1" w:themeTint="A6"/>
                <w:szCs w:val="18"/>
              </w:rPr>
            </w:pPr>
            <w:r w:rsidRPr="00D75535">
              <w:rPr>
                <w:color w:val="595959" w:themeColor="text1" w:themeTint="A6"/>
                <w:szCs w:val="18"/>
              </w:rPr>
              <w:t>Noot</w:t>
            </w:r>
          </w:p>
        </w:tc>
        <w:tc>
          <w:tcPr>
            <w:tcW w:w="6602" w:type="dxa"/>
          </w:tcPr>
          <w:p w:rsidRPr="00D75535" w:rsidR="00347789" w:rsidP="00AA0820" w:rsidRDefault="00AA0820" w14:paraId="2EAA341F" w14:textId="1FDD53DA">
            <w:pPr>
              <w:spacing w:after="240"/>
              <w:rPr>
                <w:color w:val="595959" w:themeColor="text1" w:themeTint="A6"/>
                <w:szCs w:val="18"/>
              </w:rPr>
            </w:pPr>
            <w:r>
              <w:rPr>
                <w:color w:val="595959" w:themeColor="text1" w:themeTint="A6"/>
                <w:szCs w:val="18"/>
              </w:rPr>
              <w:t xml:space="preserve">Het voorstel betreft een verlening van de derogatie die Hongarije reeds heeft. Met de derogatie mag Hongarije </w:t>
            </w:r>
            <w:r w:rsidRPr="00AA0820">
              <w:rPr>
                <w:color w:val="595959" w:themeColor="text1" w:themeTint="A6"/>
                <w:szCs w:val="18"/>
              </w:rPr>
              <w:t>het recht op aftrek van de btw op uitgaven ter zake van de leasing van personenauto’s die niet uitsluitend voor bedrijfsdoeleinden worden gebruikt, tot 50 % beperken, en belastingplichtigen ontheffen van de verplichting om het niet-zakelijke gebruik van deze personenauto’s gelijk te stellen aan een dienst.</w:t>
            </w:r>
            <w:r>
              <w:rPr>
                <w:color w:val="595959" w:themeColor="text1" w:themeTint="A6"/>
                <w:szCs w:val="18"/>
              </w:rPr>
              <w:t xml:space="preserve"> De Commissie stelt voor om deze derogatie tot 31 december 2024 te verlengen, omdat de maatregelen een positief effect heeft op de administratieve lasten voor belastingplichtigen en belastingautoriteiten. N.B. er zijn verschillende lidstaten die soortgelijke derogaties met betrekking tot het recht op aftrek hebben (Estland, Letland, Kroatië, Polen, Italië en Roemenië). </w:t>
            </w:r>
          </w:p>
        </w:tc>
      </w:tr>
    </w:tbl>
    <w:p w:rsidR="00370E9C" w:rsidP="002A4BD8" w:rsidRDefault="00370E9C" w14:paraId="010EC1BE" w14:textId="7F7F6512">
      <w:pPr>
        <w:rPr>
          <w:szCs w:val="18"/>
        </w:rPr>
      </w:pPr>
    </w:p>
    <w:tbl>
      <w:tblPr>
        <w:tblStyle w:val="Tabelraster"/>
        <w:tblW w:w="8073"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50"/>
        <w:gridCol w:w="6602"/>
      </w:tblGrid>
      <w:tr w:rsidRPr="007A6013" w:rsidR="00A42EAB" w:rsidTr="00B4722F" w14:paraId="3B28BB9E" w14:textId="77777777">
        <w:trPr>
          <w:trHeight w:val="320"/>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A42EAB" w:rsidP="00B4722F" w:rsidRDefault="00A42EAB" w14:paraId="09C3FAB9" w14:textId="77777777">
            <w:pPr>
              <w:pStyle w:val="Lijstalinea"/>
              <w:numPr>
                <w:ilvl w:val="0"/>
                <w:numId w:val="10"/>
              </w:numPr>
              <w:spacing w:after="240"/>
              <w:ind w:left="306"/>
              <w:rPr>
                <w:color w:val="595959" w:themeColor="text1" w:themeTint="A6"/>
                <w:szCs w:val="18"/>
              </w:rPr>
            </w:pPr>
          </w:p>
        </w:tc>
        <w:tc>
          <w:tcPr>
            <w:tcW w:w="1050" w:type="dxa"/>
          </w:tcPr>
          <w:p w:rsidRPr="00D75535" w:rsidR="00A42EAB" w:rsidP="00B4722F" w:rsidRDefault="00A42EAB" w14:paraId="3E764414" w14:textId="77777777">
            <w:pPr>
              <w:spacing w:after="240"/>
              <w:rPr>
                <w:color w:val="595959" w:themeColor="text1" w:themeTint="A6"/>
                <w:szCs w:val="18"/>
              </w:rPr>
            </w:pPr>
            <w:r w:rsidRPr="00D75535">
              <w:rPr>
                <w:color w:val="595959" w:themeColor="text1" w:themeTint="A6"/>
                <w:szCs w:val="18"/>
              </w:rPr>
              <w:t>Titel</w:t>
            </w:r>
          </w:p>
        </w:tc>
        <w:tc>
          <w:tcPr>
            <w:tcW w:w="6602" w:type="dxa"/>
          </w:tcPr>
          <w:p w:rsidRPr="00347789" w:rsidR="00A42EAB" w:rsidP="00B4722F" w:rsidRDefault="00A42EAB" w14:paraId="6051BF67" w14:textId="36C5DD4B">
            <w:pPr>
              <w:spacing w:after="240"/>
              <w:rPr>
                <w:rFonts w:ascii="Calibri" w:hAnsi="Calibri" w:cs="Calibri"/>
                <w:color w:val="0000FF"/>
                <w:sz w:val="22"/>
                <w:u w:val="single"/>
                <w:lang w:eastAsia="nl-NL"/>
              </w:rPr>
            </w:pPr>
            <w:r>
              <w:rPr>
                <w:rFonts w:ascii="Calibri" w:hAnsi="Calibri" w:cs="Calibri"/>
                <w:color w:val="000000"/>
                <w:sz w:val="22"/>
              </w:rPr>
              <w:t xml:space="preserve">Voorstel voor een UITVOERINGSBESLUIT VAN DE RAAD tot machtiging van Italië om een verlaagd accijnstarief toe te passen op gasolie voor verwarmingsdoeleinden en op elektriciteit die op het grondgebied van de gemeente </w:t>
            </w:r>
            <w:proofErr w:type="spellStart"/>
            <w:r>
              <w:rPr>
                <w:rFonts w:ascii="Calibri" w:hAnsi="Calibri" w:cs="Calibri"/>
                <w:color w:val="000000"/>
                <w:sz w:val="22"/>
              </w:rPr>
              <w:t>Campione</w:t>
            </w:r>
            <w:proofErr w:type="spellEnd"/>
            <w:r>
              <w:rPr>
                <w:rFonts w:ascii="Calibri" w:hAnsi="Calibri" w:cs="Calibri"/>
                <w:color w:val="000000"/>
                <w:sz w:val="22"/>
              </w:rPr>
              <w:t xml:space="preserve"> </w:t>
            </w:r>
            <w:proofErr w:type="spellStart"/>
            <w:r>
              <w:rPr>
                <w:rFonts w:ascii="Calibri" w:hAnsi="Calibri" w:cs="Calibri"/>
                <w:color w:val="000000"/>
                <w:sz w:val="22"/>
              </w:rPr>
              <w:t>d’Italia</w:t>
            </w:r>
            <w:proofErr w:type="spellEnd"/>
            <w:r>
              <w:rPr>
                <w:rFonts w:ascii="Calibri" w:hAnsi="Calibri" w:cs="Calibri"/>
                <w:color w:val="000000"/>
                <w:sz w:val="22"/>
              </w:rPr>
              <w:t xml:space="preserve"> worden geleverd, overeenkomstig artikel 19 van Richtlijn 2003/96/EG (</w:t>
            </w:r>
            <w:hyperlink w:history="1" r:id="rId27">
              <w:r>
                <w:rPr>
                  <w:rStyle w:val="Hyperlink"/>
                  <w:rFonts w:ascii="Calibri" w:hAnsi="Calibri" w:cs="Calibri"/>
                  <w:sz w:val="22"/>
                </w:rPr>
                <w:t>COM (2021) 485</w:t>
              </w:r>
            </w:hyperlink>
            <w:r>
              <w:rPr>
                <w:rFonts w:ascii="Calibri" w:hAnsi="Calibri" w:cs="Calibri"/>
                <w:color w:val="0000FF"/>
                <w:sz w:val="22"/>
                <w:u w:val="single"/>
              </w:rPr>
              <w:t>)</w:t>
            </w:r>
          </w:p>
        </w:tc>
      </w:tr>
      <w:tr w:rsidRPr="002A4BD8" w:rsidR="00A42EAB" w:rsidTr="00B4722F" w14:paraId="71E3F54C" w14:textId="77777777">
        <w:trPr>
          <w:trHeight w:val="342"/>
        </w:trPr>
        <w:tc>
          <w:tcPr>
            <w:tcW w:w="421" w:type="dxa"/>
            <w:vMerge/>
            <w:tcBorders>
              <w:top w:val="nil"/>
              <w:bottom w:val="single" w:color="D9D9D9" w:themeColor="background1" w:themeShade="D9" w:sz="4" w:space="0"/>
            </w:tcBorders>
            <w:shd w:val="clear" w:color="auto" w:fill="F2F2F2" w:themeFill="background1" w:themeFillShade="F2"/>
          </w:tcPr>
          <w:p w:rsidRPr="00347789" w:rsidR="00A42EAB" w:rsidP="00B4722F" w:rsidRDefault="00A42EAB" w14:paraId="24B27723" w14:textId="77777777">
            <w:pPr>
              <w:spacing w:after="240"/>
              <w:rPr>
                <w:szCs w:val="18"/>
              </w:rPr>
            </w:pPr>
          </w:p>
        </w:tc>
        <w:tc>
          <w:tcPr>
            <w:tcW w:w="1050" w:type="dxa"/>
          </w:tcPr>
          <w:p w:rsidRPr="002A4BD8" w:rsidR="00A42EAB" w:rsidP="00B4722F" w:rsidRDefault="00A42EAB" w14:paraId="6D915247" w14:textId="77777777">
            <w:pPr>
              <w:spacing w:after="240"/>
              <w:rPr>
                <w:szCs w:val="18"/>
              </w:rPr>
            </w:pPr>
            <w:r w:rsidRPr="002A4BD8">
              <w:rPr>
                <w:szCs w:val="18"/>
              </w:rPr>
              <w:t>Voorstel</w:t>
            </w:r>
          </w:p>
        </w:tc>
        <w:tc>
          <w:tcPr>
            <w:tcW w:w="6602" w:type="dxa"/>
          </w:tcPr>
          <w:p w:rsidRPr="002A4BD8" w:rsidR="00A42EAB" w:rsidP="00B4722F" w:rsidRDefault="00A42EAB" w14:paraId="7B0E6274" w14:textId="77777777">
            <w:pPr>
              <w:spacing w:after="240"/>
              <w:rPr>
                <w:szCs w:val="18"/>
              </w:rPr>
            </w:pPr>
            <w:r w:rsidRPr="00C27EA0">
              <w:rPr>
                <w:szCs w:val="18"/>
              </w:rPr>
              <w:t>Voor kennisgeving aannemen</w:t>
            </w:r>
          </w:p>
        </w:tc>
      </w:tr>
      <w:tr w:rsidRPr="00D75535" w:rsidR="00A42EAB" w:rsidTr="00B4722F" w14:paraId="4F805FF3" w14:textId="77777777">
        <w:trPr>
          <w:trHeight w:val="320"/>
        </w:trPr>
        <w:tc>
          <w:tcPr>
            <w:tcW w:w="421" w:type="dxa"/>
            <w:vMerge/>
            <w:tcBorders>
              <w:top w:val="nil"/>
              <w:bottom w:val="single" w:color="D9D9D9" w:themeColor="background1" w:themeShade="D9" w:sz="4" w:space="0"/>
            </w:tcBorders>
            <w:shd w:val="clear" w:color="auto" w:fill="F2F2F2" w:themeFill="background1" w:themeFillShade="F2"/>
          </w:tcPr>
          <w:p w:rsidRPr="00D75535" w:rsidR="00A42EAB" w:rsidP="00B4722F" w:rsidRDefault="00A42EAB" w14:paraId="514659DF" w14:textId="77777777">
            <w:pPr>
              <w:spacing w:after="240"/>
              <w:rPr>
                <w:color w:val="595959" w:themeColor="text1" w:themeTint="A6"/>
                <w:szCs w:val="18"/>
              </w:rPr>
            </w:pPr>
          </w:p>
        </w:tc>
        <w:tc>
          <w:tcPr>
            <w:tcW w:w="1050" w:type="dxa"/>
          </w:tcPr>
          <w:p w:rsidRPr="00D75535" w:rsidR="00A42EAB" w:rsidP="00B4722F" w:rsidRDefault="00A42EAB" w14:paraId="12F2A432" w14:textId="77777777">
            <w:pPr>
              <w:spacing w:after="240"/>
              <w:rPr>
                <w:color w:val="595959" w:themeColor="text1" w:themeTint="A6"/>
                <w:szCs w:val="18"/>
              </w:rPr>
            </w:pPr>
            <w:r w:rsidRPr="00D75535">
              <w:rPr>
                <w:color w:val="595959" w:themeColor="text1" w:themeTint="A6"/>
                <w:szCs w:val="18"/>
              </w:rPr>
              <w:t>Noot</w:t>
            </w:r>
          </w:p>
        </w:tc>
        <w:tc>
          <w:tcPr>
            <w:tcW w:w="6602" w:type="dxa"/>
          </w:tcPr>
          <w:p w:rsidRPr="00D75535" w:rsidR="00A42EAB" w:rsidP="00B4722F" w:rsidRDefault="00C27EA0" w14:paraId="0191C006" w14:textId="4EED0C31">
            <w:pPr>
              <w:spacing w:after="240"/>
              <w:rPr>
                <w:color w:val="595959" w:themeColor="text1" w:themeTint="A6"/>
                <w:szCs w:val="18"/>
              </w:rPr>
            </w:pPr>
            <w:r>
              <w:rPr>
                <w:color w:val="595959" w:themeColor="text1" w:themeTint="A6"/>
                <w:szCs w:val="18"/>
              </w:rPr>
              <w:t xml:space="preserve">De Commissie stelt voor Italië te machtigen een verlaagd accijnstarief toe te passen op gasolie voor verwarmingsdoeleinden en op elektriciteit die op het grondgebied van de gemeente </w:t>
            </w:r>
            <w:proofErr w:type="spellStart"/>
            <w:r>
              <w:rPr>
                <w:color w:val="595959" w:themeColor="text1" w:themeTint="A6"/>
                <w:szCs w:val="18"/>
              </w:rPr>
              <w:t>Campione</w:t>
            </w:r>
            <w:proofErr w:type="spellEnd"/>
            <w:r>
              <w:rPr>
                <w:color w:val="595959" w:themeColor="text1" w:themeTint="A6"/>
                <w:szCs w:val="18"/>
              </w:rPr>
              <w:t xml:space="preserve"> </w:t>
            </w:r>
            <w:proofErr w:type="spellStart"/>
            <w:r>
              <w:rPr>
                <w:color w:val="595959" w:themeColor="text1" w:themeTint="A6"/>
                <w:szCs w:val="18"/>
              </w:rPr>
              <w:t>d’Italia</w:t>
            </w:r>
            <w:proofErr w:type="spellEnd"/>
            <w:r>
              <w:rPr>
                <w:color w:val="595959" w:themeColor="text1" w:themeTint="A6"/>
                <w:szCs w:val="18"/>
              </w:rPr>
              <w:t xml:space="preserve"> wordt geleverd. Volgens de Commissie verstoort deze maatregel niet de mededinging of de werking van de interne markt. Daarnaast is de maatregel in overeenstemming met de </w:t>
            </w:r>
            <w:proofErr w:type="spellStart"/>
            <w:r>
              <w:rPr>
                <w:color w:val="595959" w:themeColor="text1" w:themeTint="A6"/>
                <w:szCs w:val="18"/>
              </w:rPr>
              <w:t>Richlijn</w:t>
            </w:r>
            <w:proofErr w:type="spellEnd"/>
            <w:r>
              <w:rPr>
                <w:color w:val="595959" w:themeColor="text1" w:themeTint="A6"/>
                <w:szCs w:val="18"/>
              </w:rPr>
              <w:t xml:space="preserve"> voor belasting van energieproducten en elektriciteit. </w:t>
            </w:r>
          </w:p>
        </w:tc>
      </w:tr>
    </w:tbl>
    <w:p w:rsidR="00370E9C" w:rsidP="002A4BD8" w:rsidRDefault="00370E9C" w14:paraId="622F1584" w14:textId="55CF8460">
      <w:pPr>
        <w:rPr>
          <w:szCs w:val="18"/>
        </w:rPr>
      </w:pPr>
    </w:p>
    <w:p w:rsidR="00D85260" w:rsidP="002A4BD8" w:rsidRDefault="00D85260" w14:paraId="09BD8271" w14:textId="77777777">
      <w:pPr>
        <w:rPr>
          <w:szCs w:val="18"/>
        </w:rPr>
      </w:pPr>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75535" w:rsidTr="00D85260"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85260" w:rsidR="00D75535" w:rsidP="00D85260" w:rsidRDefault="00D75535" w14:paraId="2ECE4452" w14:textId="612525B6">
            <w:pPr>
              <w:pStyle w:val="Lijstalinea"/>
              <w:numPr>
                <w:ilvl w:val="0"/>
                <w:numId w:val="10"/>
              </w:numPr>
              <w:spacing w:after="240"/>
              <w:ind w:left="306"/>
              <w:rPr>
                <w:color w:val="595959" w:themeColor="text1" w:themeTint="A6"/>
                <w:szCs w:val="18"/>
              </w:rPr>
            </w:pPr>
          </w:p>
        </w:tc>
        <w:tc>
          <w:tcPr>
            <w:tcW w:w="1035" w:type="dxa"/>
          </w:tcPr>
          <w:p w:rsidRPr="00D75535" w:rsidR="00D75535" w:rsidP="002A4BD8" w:rsidRDefault="00D75535" w14:paraId="3A1FD66E" w14:textId="77D9BD0E">
            <w:pPr>
              <w:spacing w:after="240"/>
              <w:rPr>
                <w:color w:val="595959" w:themeColor="text1" w:themeTint="A6"/>
                <w:szCs w:val="18"/>
              </w:rPr>
            </w:pPr>
            <w:r w:rsidRPr="00D75535">
              <w:rPr>
                <w:color w:val="595959" w:themeColor="text1" w:themeTint="A6"/>
                <w:szCs w:val="18"/>
              </w:rPr>
              <w:t>Titel</w:t>
            </w:r>
          </w:p>
        </w:tc>
        <w:tc>
          <w:tcPr>
            <w:tcW w:w="6529" w:type="dxa"/>
          </w:tcPr>
          <w:p w:rsidRPr="00D75535" w:rsidR="00FA4964" w:rsidP="00FA4964" w:rsidRDefault="00030BC7" w14:paraId="72720F3A" w14:textId="2E7EFBE4">
            <w:pPr>
              <w:spacing w:after="240"/>
              <w:rPr>
                <w:b/>
                <w:color w:val="595959" w:themeColor="text1" w:themeTint="A6"/>
                <w:szCs w:val="18"/>
              </w:rPr>
            </w:pPr>
            <w:r>
              <w:rPr>
                <w:rFonts w:ascii="Calibri" w:hAnsi="Calibri" w:cs="Calibri"/>
                <w:color w:val="000000"/>
                <w:sz w:val="22"/>
              </w:rPr>
              <w:t xml:space="preserve">Aftrek voor gelijkere behandeling van eigen en vreemd vermogen (DEBRA) </w:t>
            </w:r>
            <w:hyperlink w:history="1" r:id="rId28">
              <w:r>
                <w:rPr>
                  <w:rStyle w:val="Hyperlink"/>
                  <w:rFonts w:ascii="Calibri" w:hAnsi="Calibri" w:cs="Calibri"/>
                  <w:sz w:val="22"/>
                </w:rPr>
                <w:t>OR</w:t>
              </w:r>
            </w:hyperlink>
          </w:p>
        </w:tc>
      </w:tr>
      <w:tr w:rsidR="00D75535" w:rsidTr="00D85260"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00D75535" w:rsidP="002A4BD8" w:rsidRDefault="00D75535" w14:paraId="6A303693" w14:textId="77777777">
            <w:pPr>
              <w:spacing w:after="240"/>
              <w:rPr>
                <w:szCs w:val="18"/>
              </w:rPr>
            </w:pPr>
          </w:p>
        </w:tc>
        <w:tc>
          <w:tcPr>
            <w:tcW w:w="1035" w:type="dxa"/>
          </w:tcPr>
          <w:p w:rsidRPr="002A4BD8" w:rsidR="00D75535" w:rsidP="002A4BD8" w:rsidRDefault="00D75535" w14:paraId="56AA8A1B" w14:textId="21F2ECA8">
            <w:pPr>
              <w:spacing w:after="240"/>
              <w:rPr>
                <w:szCs w:val="18"/>
              </w:rPr>
            </w:pPr>
            <w:r w:rsidRPr="002A4BD8">
              <w:rPr>
                <w:szCs w:val="18"/>
              </w:rPr>
              <w:t>Voorstel</w:t>
            </w:r>
          </w:p>
        </w:tc>
        <w:tc>
          <w:tcPr>
            <w:tcW w:w="6529" w:type="dxa"/>
          </w:tcPr>
          <w:p w:rsidRPr="002A4BD8" w:rsidR="00D75535" w:rsidP="002A4BD8" w:rsidRDefault="00051F0A" w14:paraId="67810C71" w14:textId="3E4F334A">
            <w:pPr>
              <w:spacing w:after="240"/>
              <w:rPr>
                <w:szCs w:val="18"/>
              </w:rPr>
            </w:pPr>
            <w:r>
              <w:rPr>
                <w:szCs w:val="18"/>
              </w:rPr>
              <w:t>Kabinet vragen conceptreactie aan de Kamer te doen toekomen</w:t>
            </w:r>
          </w:p>
        </w:tc>
      </w:tr>
      <w:tr w:rsidR="00D75535" w:rsidTr="00D85260"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696A5853" w14:textId="77777777">
            <w:pPr>
              <w:spacing w:after="240"/>
              <w:rPr>
                <w:color w:val="595959" w:themeColor="text1" w:themeTint="A6"/>
                <w:szCs w:val="18"/>
              </w:rPr>
            </w:pPr>
          </w:p>
        </w:tc>
        <w:tc>
          <w:tcPr>
            <w:tcW w:w="1035" w:type="dxa"/>
          </w:tcPr>
          <w:p w:rsidRPr="00D75535" w:rsidR="00D75535" w:rsidP="002A4BD8" w:rsidRDefault="00D75535" w14:paraId="2FCB5E77" w14:textId="48E7D55D">
            <w:pPr>
              <w:spacing w:after="240"/>
              <w:rPr>
                <w:color w:val="595959" w:themeColor="text1" w:themeTint="A6"/>
                <w:szCs w:val="18"/>
              </w:rPr>
            </w:pPr>
            <w:r w:rsidRPr="00D75535">
              <w:rPr>
                <w:color w:val="595959" w:themeColor="text1" w:themeTint="A6"/>
                <w:szCs w:val="18"/>
              </w:rPr>
              <w:t>Noot</w:t>
            </w:r>
          </w:p>
        </w:tc>
        <w:tc>
          <w:tcPr>
            <w:tcW w:w="6529" w:type="dxa"/>
          </w:tcPr>
          <w:p w:rsidRPr="00D75535" w:rsidR="00D75535" w:rsidP="00051F0A" w:rsidRDefault="00051F0A" w14:paraId="27F3CDCE" w14:textId="7DE41331">
            <w:pPr>
              <w:spacing w:after="240"/>
              <w:rPr>
                <w:color w:val="595959" w:themeColor="text1" w:themeTint="A6"/>
                <w:szCs w:val="18"/>
              </w:rPr>
            </w:pPr>
            <w:r>
              <w:rPr>
                <w:color w:val="595959" w:themeColor="text1" w:themeTint="A6"/>
                <w:szCs w:val="18"/>
              </w:rPr>
              <w:t xml:space="preserve">Dit betreft een consultatie voor een voorstel dat later dit jaar zal verschijnen in het kader van de nieuwe belastingagenda van de EU. De Commissie wil inzetten op een gelijkere behandeling van eigen en vreemd vermogen om de huidige bias in belastingsystemen voor financiering via vreemd vermogen recht te zetten.  </w:t>
            </w:r>
          </w:p>
        </w:tc>
      </w:tr>
    </w:tbl>
    <w:p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E5BAB" w:rsidR="002A4BD8" w:rsidTr="00D85260"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85260" w:rsidR="002A4BD8" w:rsidP="00D85260" w:rsidRDefault="002A4BD8" w14:paraId="4E937A31" w14:textId="77777777">
            <w:pPr>
              <w:pStyle w:val="Lijstalinea"/>
              <w:numPr>
                <w:ilvl w:val="0"/>
                <w:numId w:val="10"/>
              </w:numPr>
              <w:spacing w:after="240"/>
              <w:ind w:left="306"/>
              <w:rPr>
                <w:color w:val="595959" w:themeColor="text1" w:themeTint="A6"/>
                <w:szCs w:val="18"/>
              </w:rPr>
            </w:pPr>
          </w:p>
        </w:tc>
        <w:tc>
          <w:tcPr>
            <w:tcW w:w="1035" w:type="dxa"/>
          </w:tcPr>
          <w:p w:rsidRPr="00D75535" w:rsidR="002A4BD8" w:rsidP="003A21AA" w:rsidRDefault="002A4BD8" w14:paraId="0AC39600"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7A6013" w:rsidR="002A4BD8" w:rsidP="003A21AA" w:rsidRDefault="00030BC7" w14:paraId="0C5E3C92" w14:textId="7A17C383">
            <w:pPr>
              <w:spacing w:after="240"/>
              <w:rPr>
                <w:rFonts w:ascii="Calibri" w:hAnsi="Calibri" w:cs="Calibri"/>
                <w:color w:val="0000FF"/>
                <w:sz w:val="22"/>
                <w:u w:val="single"/>
                <w:lang w:val="en-GB" w:eastAsia="nl-NL"/>
              </w:rPr>
            </w:pPr>
            <w:r w:rsidRPr="007A6013">
              <w:rPr>
                <w:rFonts w:ascii="Calibri" w:hAnsi="Calibri" w:cs="Calibri"/>
                <w:color w:val="000000"/>
                <w:sz w:val="22"/>
                <w:lang w:val="en-GB"/>
              </w:rPr>
              <w:t xml:space="preserve">Communication from the Commission to the European Parliament, the Council and the Court of Auditors - Annual Accounts of the European Union 2020 </w:t>
            </w:r>
            <w:hyperlink w:history="1" r:id="rId29">
              <w:r w:rsidRPr="007A6013">
                <w:rPr>
                  <w:rStyle w:val="Hyperlink"/>
                  <w:rFonts w:ascii="Calibri" w:hAnsi="Calibri" w:cs="Calibri"/>
                  <w:sz w:val="22"/>
                  <w:lang w:val="en-GB"/>
                </w:rPr>
                <w:t>COM (2021) 381</w:t>
              </w:r>
            </w:hyperlink>
          </w:p>
        </w:tc>
      </w:tr>
      <w:tr w:rsidR="002A4BD8" w:rsidTr="00D85260"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7A6013" w:rsidR="002A4BD8" w:rsidP="003A21AA" w:rsidRDefault="002A4BD8" w14:paraId="230BAF7C" w14:textId="77777777">
            <w:pPr>
              <w:spacing w:after="240"/>
              <w:rPr>
                <w:szCs w:val="18"/>
                <w:lang w:val="en-GB"/>
              </w:rPr>
            </w:pPr>
          </w:p>
        </w:tc>
        <w:tc>
          <w:tcPr>
            <w:tcW w:w="1035" w:type="dxa"/>
          </w:tcPr>
          <w:p w:rsidRPr="002A4BD8" w:rsidR="002A4BD8" w:rsidP="003A21AA" w:rsidRDefault="002A4BD8" w14:paraId="1257E0FF" w14:textId="77777777">
            <w:pPr>
              <w:spacing w:after="240"/>
              <w:rPr>
                <w:szCs w:val="18"/>
              </w:rPr>
            </w:pPr>
            <w:r w:rsidRPr="002A4BD8">
              <w:rPr>
                <w:szCs w:val="18"/>
              </w:rPr>
              <w:t>Voorstel</w:t>
            </w:r>
          </w:p>
        </w:tc>
        <w:tc>
          <w:tcPr>
            <w:tcW w:w="6529" w:type="dxa"/>
          </w:tcPr>
          <w:p w:rsidRPr="002A4BD8" w:rsidR="002A4BD8" w:rsidP="003A21AA" w:rsidRDefault="00051F0A" w14:paraId="505F4BE9" w14:textId="29EEB2E8">
            <w:pPr>
              <w:spacing w:after="240"/>
              <w:rPr>
                <w:szCs w:val="18"/>
              </w:rPr>
            </w:pPr>
            <w:r>
              <w:rPr>
                <w:szCs w:val="18"/>
              </w:rPr>
              <w:t>Voor kennisgeving aannemen</w:t>
            </w:r>
          </w:p>
        </w:tc>
      </w:tr>
      <w:tr w:rsidR="002A4BD8" w:rsidTr="00D85260"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7D9A1404" w14:textId="77777777">
            <w:pPr>
              <w:spacing w:after="240"/>
              <w:rPr>
                <w:color w:val="595959" w:themeColor="text1" w:themeTint="A6"/>
                <w:szCs w:val="18"/>
              </w:rPr>
            </w:pPr>
          </w:p>
        </w:tc>
        <w:tc>
          <w:tcPr>
            <w:tcW w:w="1035" w:type="dxa"/>
          </w:tcPr>
          <w:p w:rsidRPr="00D75535" w:rsidR="002A4BD8" w:rsidP="003A21AA" w:rsidRDefault="002A4BD8" w14:paraId="1AFEDB1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051F0A" w14:paraId="3E288C2D" w14:textId="6E984E39">
            <w:pPr>
              <w:spacing w:after="240"/>
              <w:rPr>
                <w:color w:val="595959" w:themeColor="text1" w:themeTint="A6"/>
                <w:szCs w:val="18"/>
              </w:rPr>
            </w:pPr>
            <w:r>
              <w:rPr>
                <w:color w:val="595959" w:themeColor="text1" w:themeTint="A6"/>
                <w:szCs w:val="18"/>
              </w:rPr>
              <w:t xml:space="preserve">In het </w:t>
            </w:r>
            <w:proofErr w:type="spellStart"/>
            <w:r>
              <w:rPr>
                <w:color w:val="595959" w:themeColor="text1" w:themeTint="A6"/>
                <w:szCs w:val="18"/>
              </w:rPr>
              <w:t>annual</w:t>
            </w:r>
            <w:proofErr w:type="spellEnd"/>
            <w:r>
              <w:rPr>
                <w:color w:val="595959" w:themeColor="text1" w:themeTint="A6"/>
                <w:szCs w:val="18"/>
              </w:rPr>
              <w:t xml:space="preserve"> accounts verslag van de Commissie geeft zij een overzicht van alle inkomsten en uitgaven van het begrotingsjaar 2020. </w:t>
            </w:r>
          </w:p>
        </w:tc>
      </w:tr>
    </w:tbl>
    <w:p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E5BAB" w:rsidR="002A4BD8" w:rsidTr="00D85260"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85260" w:rsidR="002A4BD8" w:rsidP="00D85260" w:rsidRDefault="002A4BD8" w14:paraId="227A7F73" w14:textId="77777777">
            <w:pPr>
              <w:pStyle w:val="Lijstalinea"/>
              <w:numPr>
                <w:ilvl w:val="0"/>
                <w:numId w:val="10"/>
              </w:numPr>
              <w:spacing w:after="240"/>
              <w:ind w:left="306"/>
              <w:rPr>
                <w:color w:val="595959" w:themeColor="text1" w:themeTint="A6"/>
                <w:szCs w:val="18"/>
              </w:rPr>
            </w:pPr>
          </w:p>
        </w:tc>
        <w:tc>
          <w:tcPr>
            <w:tcW w:w="1035" w:type="dxa"/>
          </w:tcPr>
          <w:p w:rsidRPr="00D75535" w:rsidR="002A4BD8" w:rsidP="003A21AA" w:rsidRDefault="002A4BD8" w14:paraId="50781506"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7A6013" w:rsidR="002A4BD8" w:rsidP="003A21AA" w:rsidRDefault="00030BC7" w14:paraId="29CB7480" w14:textId="4457A635">
            <w:pPr>
              <w:spacing w:after="240"/>
              <w:rPr>
                <w:rFonts w:ascii="Calibri" w:hAnsi="Calibri" w:cs="Calibri"/>
                <w:color w:val="0000FF"/>
                <w:sz w:val="22"/>
                <w:u w:val="single"/>
                <w:lang w:val="en-GB" w:eastAsia="nl-NL"/>
              </w:rPr>
            </w:pPr>
            <w:r w:rsidRPr="007A6013">
              <w:rPr>
                <w:rFonts w:ascii="Calibri" w:hAnsi="Calibri" w:cs="Calibri"/>
                <w:color w:val="000000"/>
                <w:sz w:val="22"/>
                <w:lang w:val="en-GB"/>
              </w:rPr>
              <w:t xml:space="preserve">REPORT FROM THE COMMISSION TO THE EUROPEAN PARLIAMENT AND THE COUNCIL under Article 75 of Regulation (EU) No 909/2014 of the European Parliament and of the Council of 23 July 2014 on improving securities settlement in the European Union and on central securities depositories and amending Directives 98/26/EC and 2014/65/EU and Regulation (EU) No 236/2012  </w:t>
            </w:r>
            <w:hyperlink w:history="1" r:id="rId30">
              <w:r w:rsidRPr="007A6013">
                <w:rPr>
                  <w:rStyle w:val="Hyperlink"/>
                  <w:rFonts w:ascii="Calibri" w:hAnsi="Calibri" w:cs="Calibri"/>
                  <w:sz w:val="22"/>
                  <w:lang w:val="en-GB"/>
                </w:rPr>
                <w:t>COM (2021) 348</w:t>
              </w:r>
            </w:hyperlink>
          </w:p>
        </w:tc>
      </w:tr>
      <w:tr w:rsidR="002A4BD8" w:rsidTr="00D85260"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7A6013" w:rsidR="002A4BD8" w:rsidP="003A21AA" w:rsidRDefault="002A4BD8" w14:paraId="4862F65F" w14:textId="77777777">
            <w:pPr>
              <w:spacing w:after="240"/>
              <w:rPr>
                <w:szCs w:val="18"/>
                <w:lang w:val="en-GB"/>
              </w:rPr>
            </w:pPr>
          </w:p>
        </w:tc>
        <w:tc>
          <w:tcPr>
            <w:tcW w:w="1035" w:type="dxa"/>
          </w:tcPr>
          <w:p w:rsidRPr="002A4BD8" w:rsidR="002A4BD8" w:rsidP="003A21AA" w:rsidRDefault="002A4BD8" w14:paraId="17927D7F" w14:textId="77777777">
            <w:pPr>
              <w:spacing w:after="240"/>
              <w:rPr>
                <w:szCs w:val="18"/>
              </w:rPr>
            </w:pPr>
            <w:r w:rsidRPr="002A4BD8">
              <w:rPr>
                <w:szCs w:val="18"/>
              </w:rPr>
              <w:t>Voorstel</w:t>
            </w:r>
          </w:p>
        </w:tc>
        <w:tc>
          <w:tcPr>
            <w:tcW w:w="6529" w:type="dxa"/>
          </w:tcPr>
          <w:p w:rsidRPr="002A4BD8" w:rsidR="002A4BD8" w:rsidP="003A21AA" w:rsidRDefault="00A31794" w14:paraId="69E52296" w14:textId="337B35D4">
            <w:pPr>
              <w:spacing w:after="240"/>
              <w:rPr>
                <w:szCs w:val="18"/>
              </w:rPr>
            </w:pPr>
            <w:r>
              <w:rPr>
                <w:szCs w:val="18"/>
              </w:rPr>
              <w:t>Voor kennisgeving aannemen</w:t>
            </w:r>
          </w:p>
        </w:tc>
      </w:tr>
      <w:tr w:rsidR="002A4BD8" w:rsidTr="00D85260"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677C0A18" w14:textId="77777777">
            <w:pPr>
              <w:spacing w:after="240"/>
              <w:rPr>
                <w:color w:val="595959" w:themeColor="text1" w:themeTint="A6"/>
                <w:szCs w:val="18"/>
              </w:rPr>
            </w:pPr>
          </w:p>
        </w:tc>
        <w:tc>
          <w:tcPr>
            <w:tcW w:w="1035" w:type="dxa"/>
          </w:tcPr>
          <w:p w:rsidRPr="00D75535" w:rsidR="002A4BD8" w:rsidP="003A21AA" w:rsidRDefault="002A4BD8" w14:paraId="1C9C2532"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A31794" w:rsidRDefault="00A31794" w14:paraId="2D4BA6EA" w14:textId="74CB6674">
            <w:pPr>
              <w:spacing w:after="240"/>
              <w:rPr>
                <w:color w:val="595959" w:themeColor="text1" w:themeTint="A6"/>
                <w:szCs w:val="18"/>
              </w:rPr>
            </w:pPr>
            <w:r>
              <w:rPr>
                <w:color w:val="595959" w:themeColor="text1" w:themeTint="A6"/>
                <w:szCs w:val="18"/>
              </w:rPr>
              <w:t xml:space="preserve">Als onderdeel van het kapitaalmarktenunie project is de Commissie in gesprek gegaan met de stakeholders of de verordening ten aanzien van centrale </w:t>
            </w:r>
            <w:proofErr w:type="spellStart"/>
            <w:r>
              <w:rPr>
                <w:color w:val="595959" w:themeColor="text1" w:themeTint="A6"/>
                <w:szCs w:val="18"/>
              </w:rPr>
              <w:t>effectenbewaarinstellingen</w:t>
            </w:r>
            <w:proofErr w:type="spellEnd"/>
            <w:r>
              <w:rPr>
                <w:color w:val="595959" w:themeColor="text1" w:themeTint="A6"/>
                <w:szCs w:val="18"/>
              </w:rPr>
              <w:t xml:space="preserve"> moet worden aangepast. Uit de gesprekken blijkt geen noodzaak om deze verordening aan te passen. </w:t>
            </w:r>
          </w:p>
        </w:tc>
      </w:tr>
    </w:tbl>
    <w:p w:rsidR="00D85260" w:rsidP="002A4BD8" w:rsidRDefault="00D85260" w14:paraId="21FE0261" w14:textId="09708CC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85260" w:rsidTr="00D85260"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85260" w:rsidR="00D85260" w:rsidP="00D85260" w:rsidRDefault="00D85260" w14:paraId="09AE9C24" w14:textId="77777777">
            <w:pPr>
              <w:pStyle w:val="Lijstalinea"/>
              <w:numPr>
                <w:ilvl w:val="0"/>
                <w:numId w:val="10"/>
              </w:numPr>
              <w:spacing w:after="240"/>
              <w:ind w:left="306"/>
              <w:rPr>
                <w:color w:val="595959" w:themeColor="text1" w:themeTint="A6"/>
                <w:szCs w:val="18"/>
              </w:rPr>
            </w:pPr>
          </w:p>
        </w:tc>
        <w:tc>
          <w:tcPr>
            <w:tcW w:w="1035" w:type="dxa"/>
          </w:tcPr>
          <w:p w:rsidRPr="00D75535" w:rsidR="00D85260" w:rsidP="00D85260" w:rsidRDefault="00D85260" w14:paraId="0AA8D21F" w14:textId="0CA87844">
            <w:pPr>
              <w:spacing w:after="240"/>
              <w:rPr>
                <w:color w:val="595959" w:themeColor="text1" w:themeTint="A6"/>
                <w:szCs w:val="18"/>
              </w:rPr>
            </w:pPr>
            <w:r w:rsidRPr="00D75535">
              <w:rPr>
                <w:color w:val="595959" w:themeColor="text1" w:themeTint="A6"/>
                <w:szCs w:val="18"/>
              </w:rPr>
              <w:t>Titel</w:t>
            </w:r>
          </w:p>
        </w:tc>
        <w:tc>
          <w:tcPr>
            <w:tcW w:w="6529" w:type="dxa"/>
          </w:tcPr>
          <w:p w:rsidRPr="00892BFA" w:rsidR="00D85260" w:rsidP="00D85260" w:rsidRDefault="00892BFA" w14:paraId="099195DA" w14:textId="760C953D">
            <w:pPr>
              <w:spacing w:after="240"/>
              <w:rPr>
                <w:rFonts w:ascii="Calibri" w:hAnsi="Calibri" w:cs="Calibri"/>
                <w:color w:val="0000FF"/>
                <w:sz w:val="22"/>
                <w:u w:val="single"/>
                <w:lang w:eastAsia="nl-NL"/>
              </w:rPr>
            </w:pPr>
            <w:r>
              <w:rPr>
                <w:rFonts w:ascii="Calibri" w:hAnsi="Calibri" w:cs="Calibri"/>
                <w:color w:val="000000"/>
                <w:sz w:val="22"/>
              </w:rPr>
              <w:t xml:space="preserve">JAARLIJKSE EVALUATIE DOOR DE COMMISSIE van de jaarlijkse activiteitenverslagen van de lidstaten inzake exportkredieten in de zin van Verordening (EU) nr. 1233/2011  </w:t>
            </w:r>
            <w:hyperlink w:history="1" r:id="rId31">
              <w:r>
                <w:rPr>
                  <w:rStyle w:val="Hyperlink"/>
                  <w:rFonts w:ascii="Calibri" w:hAnsi="Calibri" w:cs="Calibri"/>
                  <w:sz w:val="22"/>
                </w:rPr>
                <w:t>COM (2021) 395</w:t>
              </w:r>
            </w:hyperlink>
          </w:p>
        </w:tc>
      </w:tr>
      <w:tr w:rsidR="00D85260" w:rsidTr="00D85260"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00D85260" w:rsidP="00D85260" w:rsidRDefault="00D85260" w14:paraId="6306B713" w14:textId="77777777">
            <w:pPr>
              <w:spacing w:after="240"/>
              <w:rPr>
                <w:szCs w:val="18"/>
              </w:rPr>
            </w:pPr>
          </w:p>
        </w:tc>
        <w:tc>
          <w:tcPr>
            <w:tcW w:w="1035" w:type="dxa"/>
          </w:tcPr>
          <w:p w:rsidRPr="002A4BD8" w:rsidR="00D85260" w:rsidP="00D85260" w:rsidRDefault="00D85260" w14:paraId="13AA2E6B" w14:textId="332E8A75">
            <w:pPr>
              <w:spacing w:after="240"/>
              <w:rPr>
                <w:szCs w:val="18"/>
              </w:rPr>
            </w:pPr>
            <w:r w:rsidRPr="002A4BD8">
              <w:rPr>
                <w:szCs w:val="18"/>
              </w:rPr>
              <w:t>Voorstel</w:t>
            </w:r>
          </w:p>
        </w:tc>
        <w:tc>
          <w:tcPr>
            <w:tcW w:w="6529" w:type="dxa"/>
          </w:tcPr>
          <w:p w:rsidRPr="002A4BD8" w:rsidR="00D85260" w:rsidP="00D85260" w:rsidRDefault="00AC2CC7" w14:paraId="02C38289" w14:textId="3DE4912C">
            <w:pPr>
              <w:spacing w:after="240"/>
              <w:rPr>
                <w:szCs w:val="18"/>
              </w:rPr>
            </w:pPr>
            <w:r>
              <w:rPr>
                <w:szCs w:val="18"/>
              </w:rPr>
              <w:t>Voor kennisgeving aannemen</w:t>
            </w:r>
          </w:p>
        </w:tc>
      </w:tr>
      <w:tr w:rsidR="00D85260" w:rsidTr="00D85260"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85260" w:rsidP="00D85260" w:rsidRDefault="00D85260" w14:paraId="65856223" w14:textId="77777777">
            <w:pPr>
              <w:spacing w:after="240"/>
              <w:rPr>
                <w:color w:val="595959" w:themeColor="text1" w:themeTint="A6"/>
                <w:szCs w:val="18"/>
              </w:rPr>
            </w:pPr>
          </w:p>
        </w:tc>
        <w:tc>
          <w:tcPr>
            <w:tcW w:w="1035" w:type="dxa"/>
          </w:tcPr>
          <w:p w:rsidRPr="00D75535" w:rsidR="00D85260" w:rsidP="00D85260" w:rsidRDefault="00D85260" w14:paraId="4912C224" w14:textId="79C58E02">
            <w:pPr>
              <w:spacing w:after="240"/>
              <w:rPr>
                <w:color w:val="595959" w:themeColor="text1" w:themeTint="A6"/>
                <w:szCs w:val="18"/>
              </w:rPr>
            </w:pPr>
            <w:r w:rsidRPr="00D75535">
              <w:rPr>
                <w:color w:val="595959" w:themeColor="text1" w:themeTint="A6"/>
                <w:szCs w:val="18"/>
              </w:rPr>
              <w:t>Noot</w:t>
            </w:r>
          </w:p>
        </w:tc>
        <w:tc>
          <w:tcPr>
            <w:tcW w:w="6529" w:type="dxa"/>
          </w:tcPr>
          <w:p w:rsidRPr="00D75535" w:rsidR="00D85260" w:rsidP="00D85260" w:rsidRDefault="00AC2CC7" w14:paraId="6FAEA85B" w14:textId="40C0D2DA">
            <w:pPr>
              <w:spacing w:after="240"/>
              <w:rPr>
                <w:color w:val="595959" w:themeColor="text1" w:themeTint="A6"/>
                <w:szCs w:val="18"/>
              </w:rPr>
            </w:pPr>
            <w:r>
              <w:rPr>
                <w:color w:val="595959" w:themeColor="text1" w:themeTint="A6"/>
                <w:szCs w:val="18"/>
              </w:rPr>
              <w:t xml:space="preserve">Dit verslag betreft een analyse van de nationale activiteitenverslagen van de lidstaten rondom exportkredietverzekeringen. Het bevat geen conclusies of aanbevelingen. </w:t>
            </w:r>
          </w:p>
        </w:tc>
      </w:tr>
    </w:tbl>
    <w:p w:rsidR="002A4BD8" w:rsidP="002A4BD8" w:rsidRDefault="002A4BD8" w14:paraId="6014D29F" w14:textId="048F0AE2">
      <w:pPr>
        <w:rPr>
          <w:szCs w:val="18"/>
        </w:rPr>
      </w:pPr>
    </w:p>
    <w:p w:rsidR="00D85260" w:rsidP="002A4BD8" w:rsidRDefault="00D85260" w14:paraId="35B49EAA" w14:textId="118C60E3">
      <w:pPr>
        <w:rPr>
          <w:szCs w:val="18"/>
        </w:rPr>
      </w:pPr>
    </w:p>
    <w:tbl>
      <w:tblPr>
        <w:tblStyle w:val="Tabelraster"/>
        <w:tblW w:w="8073"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50"/>
        <w:gridCol w:w="6602"/>
      </w:tblGrid>
      <w:tr w:rsidRPr="00AE5BAB" w:rsidR="004E34A0" w:rsidTr="00616C09" w14:paraId="2AFFD2CD" w14:textId="77777777">
        <w:trPr>
          <w:trHeight w:val="320"/>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4E34A0" w:rsidP="00616C09" w:rsidRDefault="004E34A0" w14:paraId="5133F3B1" w14:textId="77777777">
            <w:pPr>
              <w:pStyle w:val="Lijstalinea"/>
              <w:numPr>
                <w:ilvl w:val="0"/>
                <w:numId w:val="10"/>
              </w:numPr>
              <w:spacing w:after="240"/>
              <w:ind w:left="306"/>
              <w:rPr>
                <w:color w:val="595959" w:themeColor="text1" w:themeTint="A6"/>
                <w:szCs w:val="18"/>
              </w:rPr>
            </w:pPr>
          </w:p>
        </w:tc>
        <w:tc>
          <w:tcPr>
            <w:tcW w:w="1050" w:type="dxa"/>
          </w:tcPr>
          <w:p w:rsidRPr="00D75535" w:rsidR="004E34A0" w:rsidP="00616C09" w:rsidRDefault="004E34A0" w14:paraId="5118B048" w14:textId="77777777">
            <w:pPr>
              <w:spacing w:after="240"/>
              <w:rPr>
                <w:color w:val="595959" w:themeColor="text1" w:themeTint="A6"/>
                <w:szCs w:val="18"/>
              </w:rPr>
            </w:pPr>
            <w:r w:rsidRPr="00D75535">
              <w:rPr>
                <w:color w:val="595959" w:themeColor="text1" w:themeTint="A6"/>
                <w:szCs w:val="18"/>
              </w:rPr>
              <w:t>Titel</w:t>
            </w:r>
          </w:p>
        </w:tc>
        <w:tc>
          <w:tcPr>
            <w:tcW w:w="6602" w:type="dxa"/>
          </w:tcPr>
          <w:p w:rsidRPr="007A6013" w:rsidR="004E34A0" w:rsidP="00616C09" w:rsidRDefault="004E34A0" w14:paraId="3B2F91F9" w14:textId="77777777">
            <w:pPr>
              <w:spacing w:after="240"/>
              <w:rPr>
                <w:rFonts w:ascii="Calibri" w:hAnsi="Calibri" w:cs="Calibri"/>
                <w:color w:val="0000FF"/>
                <w:sz w:val="22"/>
                <w:u w:val="single"/>
                <w:lang w:val="en-GB" w:eastAsia="nl-NL"/>
              </w:rPr>
            </w:pPr>
            <w:r w:rsidRPr="007A6013">
              <w:rPr>
                <w:rFonts w:ascii="Calibri" w:hAnsi="Calibri" w:cs="Calibri"/>
                <w:color w:val="000000"/>
                <w:sz w:val="22"/>
                <w:lang w:val="en-GB"/>
              </w:rPr>
              <w:t xml:space="preserve">REPORT FROM THE COMMISSION TO THE EUROPEAN PARLIAMENT AND THE COUNCIL on the follow-up to the discharge for the 2019 financial year (Summary) </w:t>
            </w:r>
            <w:hyperlink w:history="1" r:id="rId32">
              <w:r w:rsidRPr="007A6013">
                <w:rPr>
                  <w:rStyle w:val="Hyperlink"/>
                  <w:rFonts w:ascii="Calibri" w:hAnsi="Calibri" w:cs="Calibri"/>
                  <w:sz w:val="22"/>
                  <w:lang w:val="en-GB"/>
                </w:rPr>
                <w:t>COM (2021) 405</w:t>
              </w:r>
            </w:hyperlink>
          </w:p>
        </w:tc>
      </w:tr>
      <w:tr w:rsidRPr="002A4BD8" w:rsidR="004E34A0" w:rsidTr="00616C09" w14:paraId="4CA02D9B" w14:textId="77777777">
        <w:trPr>
          <w:trHeight w:val="342"/>
        </w:trPr>
        <w:tc>
          <w:tcPr>
            <w:tcW w:w="421" w:type="dxa"/>
            <w:vMerge/>
            <w:tcBorders>
              <w:top w:val="nil"/>
              <w:bottom w:val="single" w:color="D9D9D9" w:themeColor="background1" w:themeShade="D9" w:sz="4" w:space="0"/>
            </w:tcBorders>
            <w:shd w:val="clear" w:color="auto" w:fill="F2F2F2" w:themeFill="background1" w:themeFillShade="F2"/>
          </w:tcPr>
          <w:p w:rsidRPr="007A6013" w:rsidR="004E34A0" w:rsidP="00616C09" w:rsidRDefault="004E34A0" w14:paraId="3346D80B" w14:textId="77777777">
            <w:pPr>
              <w:spacing w:after="240"/>
              <w:rPr>
                <w:szCs w:val="18"/>
                <w:lang w:val="en-GB"/>
              </w:rPr>
            </w:pPr>
          </w:p>
        </w:tc>
        <w:tc>
          <w:tcPr>
            <w:tcW w:w="1050" w:type="dxa"/>
          </w:tcPr>
          <w:p w:rsidRPr="002A4BD8" w:rsidR="004E34A0" w:rsidP="00616C09" w:rsidRDefault="004E34A0" w14:paraId="3FDAE21B" w14:textId="77777777">
            <w:pPr>
              <w:spacing w:after="240"/>
              <w:rPr>
                <w:szCs w:val="18"/>
              </w:rPr>
            </w:pPr>
            <w:r w:rsidRPr="002A4BD8">
              <w:rPr>
                <w:szCs w:val="18"/>
              </w:rPr>
              <w:t>Voorstel</w:t>
            </w:r>
          </w:p>
        </w:tc>
        <w:tc>
          <w:tcPr>
            <w:tcW w:w="6602" w:type="dxa"/>
          </w:tcPr>
          <w:p w:rsidRPr="002A4BD8" w:rsidR="004E34A0" w:rsidP="00616C09" w:rsidRDefault="004E34A0" w14:paraId="4B2103EB" w14:textId="77777777">
            <w:pPr>
              <w:spacing w:after="240"/>
              <w:rPr>
                <w:szCs w:val="18"/>
              </w:rPr>
            </w:pPr>
            <w:r>
              <w:rPr>
                <w:szCs w:val="18"/>
              </w:rPr>
              <w:t>Voor kennisgeving aannemen</w:t>
            </w:r>
          </w:p>
        </w:tc>
      </w:tr>
      <w:tr w:rsidRPr="00D75535" w:rsidR="004E34A0" w:rsidTr="00616C09" w14:paraId="2E3F6F5A" w14:textId="77777777">
        <w:trPr>
          <w:trHeight w:val="320"/>
        </w:trPr>
        <w:tc>
          <w:tcPr>
            <w:tcW w:w="421" w:type="dxa"/>
            <w:vMerge/>
            <w:tcBorders>
              <w:top w:val="nil"/>
              <w:bottom w:val="single" w:color="D9D9D9" w:themeColor="background1" w:themeShade="D9" w:sz="4" w:space="0"/>
            </w:tcBorders>
            <w:shd w:val="clear" w:color="auto" w:fill="F2F2F2" w:themeFill="background1" w:themeFillShade="F2"/>
          </w:tcPr>
          <w:p w:rsidRPr="00D75535" w:rsidR="004E34A0" w:rsidP="00616C09" w:rsidRDefault="004E34A0" w14:paraId="380267FA" w14:textId="77777777">
            <w:pPr>
              <w:spacing w:after="240"/>
              <w:rPr>
                <w:color w:val="595959" w:themeColor="text1" w:themeTint="A6"/>
                <w:szCs w:val="18"/>
              </w:rPr>
            </w:pPr>
          </w:p>
        </w:tc>
        <w:tc>
          <w:tcPr>
            <w:tcW w:w="1050" w:type="dxa"/>
          </w:tcPr>
          <w:p w:rsidRPr="00D75535" w:rsidR="004E34A0" w:rsidP="00616C09" w:rsidRDefault="004E34A0" w14:paraId="4F5BC566" w14:textId="77777777">
            <w:pPr>
              <w:spacing w:after="240"/>
              <w:rPr>
                <w:color w:val="595959" w:themeColor="text1" w:themeTint="A6"/>
                <w:szCs w:val="18"/>
              </w:rPr>
            </w:pPr>
            <w:r w:rsidRPr="00D75535">
              <w:rPr>
                <w:color w:val="595959" w:themeColor="text1" w:themeTint="A6"/>
                <w:szCs w:val="18"/>
              </w:rPr>
              <w:t>Noot</w:t>
            </w:r>
          </w:p>
        </w:tc>
        <w:tc>
          <w:tcPr>
            <w:tcW w:w="6602" w:type="dxa"/>
          </w:tcPr>
          <w:p w:rsidRPr="00D75535" w:rsidR="004E34A0" w:rsidP="00616C09" w:rsidRDefault="004E34A0" w14:paraId="0EB0C342" w14:textId="33CDB466">
            <w:pPr>
              <w:spacing w:after="240"/>
              <w:rPr>
                <w:color w:val="595959" w:themeColor="text1" w:themeTint="A6"/>
                <w:szCs w:val="18"/>
              </w:rPr>
            </w:pPr>
            <w:r>
              <w:rPr>
                <w:color w:val="595959" w:themeColor="text1" w:themeTint="A6"/>
                <w:szCs w:val="18"/>
              </w:rPr>
              <w:t xml:space="preserve">Als onderdeel van de jaarlijkse kwijtingsprocedure van de begroting krijgt de Commissie van het Europees Parlement aandachtspunten mee. In dit verslag reflecteert zij op hoe zij hiermee is omgegaan. Zo wordt er specifiek ingegaan op de situatie met controle op fondsen in Tsjechië. </w:t>
            </w:r>
          </w:p>
        </w:tc>
      </w:tr>
    </w:tbl>
    <w:p w:rsidR="006E5214" w:rsidP="002A4BD8" w:rsidRDefault="006E5214" w14:paraId="354AC484" w14:textId="78CDAA95">
      <w:pPr>
        <w:rPr>
          <w:szCs w:val="18"/>
        </w:rPr>
      </w:pPr>
    </w:p>
    <w:tbl>
      <w:tblPr>
        <w:tblStyle w:val="Tabelraster"/>
        <w:tblW w:w="8073"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50"/>
        <w:gridCol w:w="6602"/>
      </w:tblGrid>
      <w:tr w:rsidRPr="007A6013" w:rsidR="00347789" w:rsidTr="00B4722F" w14:paraId="0106D290" w14:textId="77777777">
        <w:trPr>
          <w:trHeight w:val="320"/>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347789" w:rsidP="00B4722F" w:rsidRDefault="00347789" w14:paraId="5D7AE7C9" w14:textId="77777777">
            <w:pPr>
              <w:pStyle w:val="Lijstalinea"/>
              <w:numPr>
                <w:ilvl w:val="0"/>
                <w:numId w:val="10"/>
              </w:numPr>
              <w:spacing w:after="240"/>
              <w:ind w:left="306"/>
              <w:rPr>
                <w:color w:val="595959" w:themeColor="text1" w:themeTint="A6"/>
                <w:szCs w:val="18"/>
              </w:rPr>
            </w:pPr>
          </w:p>
        </w:tc>
        <w:tc>
          <w:tcPr>
            <w:tcW w:w="1050" w:type="dxa"/>
          </w:tcPr>
          <w:p w:rsidRPr="00D75535" w:rsidR="00347789" w:rsidP="00B4722F" w:rsidRDefault="00347789" w14:paraId="4F1AFDEF" w14:textId="77777777">
            <w:pPr>
              <w:spacing w:after="240"/>
              <w:rPr>
                <w:color w:val="595959" w:themeColor="text1" w:themeTint="A6"/>
                <w:szCs w:val="18"/>
              </w:rPr>
            </w:pPr>
            <w:r w:rsidRPr="00D75535">
              <w:rPr>
                <w:color w:val="595959" w:themeColor="text1" w:themeTint="A6"/>
                <w:szCs w:val="18"/>
              </w:rPr>
              <w:t>Titel</w:t>
            </w:r>
          </w:p>
        </w:tc>
        <w:tc>
          <w:tcPr>
            <w:tcW w:w="6602" w:type="dxa"/>
          </w:tcPr>
          <w:p w:rsidRPr="00347789" w:rsidR="00347789" w:rsidP="00B4722F" w:rsidRDefault="00347789" w14:paraId="598C9396" w14:textId="6DC90E80">
            <w:pPr>
              <w:spacing w:after="240"/>
              <w:rPr>
                <w:rFonts w:ascii="Calibri" w:hAnsi="Calibri" w:cs="Calibri"/>
                <w:color w:val="0000FF"/>
                <w:sz w:val="22"/>
                <w:u w:val="single"/>
                <w:lang w:eastAsia="nl-NL"/>
              </w:rPr>
            </w:pPr>
            <w:r>
              <w:rPr>
                <w:rFonts w:ascii="Calibri" w:hAnsi="Calibri" w:cs="Calibri"/>
                <w:color w:val="000000"/>
                <w:sz w:val="22"/>
              </w:rPr>
              <w:t xml:space="preserve">VERSLAG VAN DE COMMISSIE AAN HET EUROPEES PARLEMENT EN DE RAAD betreffende de uitvoering en de resultaten van het </w:t>
            </w:r>
            <w:proofErr w:type="spellStart"/>
            <w:r>
              <w:rPr>
                <w:rFonts w:ascii="Calibri" w:hAnsi="Calibri" w:cs="Calibri"/>
                <w:color w:val="000000"/>
                <w:sz w:val="22"/>
              </w:rPr>
              <w:t>Pericles</w:t>
            </w:r>
            <w:proofErr w:type="spellEnd"/>
            <w:r>
              <w:rPr>
                <w:rFonts w:ascii="Calibri" w:hAnsi="Calibri" w:cs="Calibri"/>
                <w:color w:val="000000"/>
                <w:sz w:val="22"/>
              </w:rPr>
              <w:t xml:space="preserve"> 2020-programma voor de bescherming van de euro tegen valsemunterij in 2020 (</w:t>
            </w:r>
            <w:hyperlink w:history="1" r:id="rId33">
              <w:r>
                <w:rPr>
                  <w:rStyle w:val="Hyperlink"/>
                  <w:rFonts w:ascii="Calibri" w:hAnsi="Calibri" w:cs="Calibri"/>
                  <w:sz w:val="22"/>
                </w:rPr>
                <w:t>COM (2021) 476</w:t>
              </w:r>
            </w:hyperlink>
            <w:r>
              <w:rPr>
                <w:rFonts w:ascii="Calibri" w:hAnsi="Calibri" w:cs="Calibri"/>
                <w:color w:val="0000FF"/>
                <w:sz w:val="22"/>
                <w:u w:val="single"/>
              </w:rPr>
              <w:t>)</w:t>
            </w:r>
          </w:p>
        </w:tc>
      </w:tr>
      <w:tr w:rsidRPr="002A4BD8" w:rsidR="00347789" w:rsidTr="00B4722F" w14:paraId="41D4CA70" w14:textId="77777777">
        <w:trPr>
          <w:trHeight w:val="342"/>
        </w:trPr>
        <w:tc>
          <w:tcPr>
            <w:tcW w:w="421" w:type="dxa"/>
            <w:vMerge/>
            <w:tcBorders>
              <w:top w:val="nil"/>
              <w:bottom w:val="single" w:color="D9D9D9" w:themeColor="background1" w:themeShade="D9" w:sz="4" w:space="0"/>
            </w:tcBorders>
            <w:shd w:val="clear" w:color="auto" w:fill="F2F2F2" w:themeFill="background1" w:themeFillShade="F2"/>
          </w:tcPr>
          <w:p w:rsidRPr="00347789" w:rsidR="00347789" w:rsidP="00B4722F" w:rsidRDefault="00347789" w14:paraId="7DC89575" w14:textId="77777777">
            <w:pPr>
              <w:spacing w:after="240"/>
              <w:rPr>
                <w:szCs w:val="18"/>
              </w:rPr>
            </w:pPr>
          </w:p>
        </w:tc>
        <w:tc>
          <w:tcPr>
            <w:tcW w:w="1050" w:type="dxa"/>
          </w:tcPr>
          <w:p w:rsidRPr="002A4BD8" w:rsidR="00347789" w:rsidP="00B4722F" w:rsidRDefault="00347789" w14:paraId="131A9DB9" w14:textId="77777777">
            <w:pPr>
              <w:spacing w:after="240"/>
              <w:rPr>
                <w:szCs w:val="18"/>
              </w:rPr>
            </w:pPr>
            <w:r w:rsidRPr="002A4BD8">
              <w:rPr>
                <w:szCs w:val="18"/>
              </w:rPr>
              <w:t>Voorstel</w:t>
            </w:r>
          </w:p>
        </w:tc>
        <w:tc>
          <w:tcPr>
            <w:tcW w:w="6602" w:type="dxa"/>
          </w:tcPr>
          <w:p w:rsidRPr="002A4BD8" w:rsidR="00347789" w:rsidP="00B4722F" w:rsidRDefault="00347789" w14:paraId="7F2176BA" w14:textId="77777777">
            <w:pPr>
              <w:spacing w:after="240"/>
              <w:rPr>
                <w:szCs w:val="18"/>
              </w:rPr>
            </w:pPr>
            <w:r w:rsidRPr="00564526">
              <w:rPr>
                <w:szCs w:val="18"/>
              </w:rPr>
              <w:t>Voor kennisgeving aannemen</w:t>
            </w:r>
          </w:p>
        </w:tc>
      </w:tr>
      <w:tr w:rsidRPr="00D75535" w:rsidR="00347789" w:rsidTr="00B4722F" w14:paraId="034C14B6" w14:textId="77777777">
        <w:trPr>
          <w:trHeight w:val="320"/>
        </w:trPr>
        <w:tc>
          <w:tcPr>
            <w:tcW w:w="421" w:type="dxa"/>
            <w:vMerge/>
            <w:tcBorders>
              <w:top w:val="nil"/>
              <w:bottom w:val="single" w:color="D9D9D9" w:themeColor="background1" w:themeShade="D9" w:sz="4" w:space="0"/>
            </w:tcBorders>
            <w:shd w:val="clear" w:color="auto" w:fill="F2F2F2" w:themeFill="background1" w:themeFillShade="F2"/>
          </w:tcPr>
          <w:p w:rsidRPr="00D75535" w:rsidR="00347789" w:rsidP="00B4722F" w:rsidRDefault="00347789" w14:paraId="1B66F0BF" w14:textId="77777777">
            <w:pPr>
              <w:spacing w:after="240"/>
              <w:rPr>
                <w:color w:val="595959" w:themeColor="text1" w:themeTint="A6"/>
                <w:szCs w:val="18"/>
              </w:rPr>
            </w:pPr>
          </w:p>
        </w:tc>
        <w:tc>
          <w:tcPr>
            <w:tcW w:w="1050" w:type="dxa"/>
          </w:tcPr>
          <w:p w:rsidRPr="00D75535" w:rsidR="00347789" w:rsidP="00B4722F" w:rsidRDefault="00347789" w14:paraId="572EA2DB" w14:textId="77777777">
            <w:pPr>
              <w:spacing w:after="240"/>
              <w:rPr>
                <w:color w:val="595959" w:themeColor="text1" w:themeTint="A6"/>
                <w:szCs w:val="18"/>
              </w:rPr>
            </w:pPr>
            <w:r w:rsidRPr="00D75535">
              <w:rPr>
                <w:color w:val="595959" w:themeColor="text1" w:themeTint="A6"/>
                <w:szCs w:val="18"/>
              </w:rPr>
              <w:t>Noot</w:t>
            </w:r>
          </w:p>
        </w:tc>
        <w:tc>
          <w:tcPr>
            <w:tcW w:w="6602" w:type="dxa"/>
          </w:tcPr>
          <w:p w:rsidRPr="00D75535" w:rsidR="00347789" w:rsidP="00B4722F" w:rsidRDefault="00D957BC" w14:paraId="332A92BC" w14:textId="4920336B">
            <w:pPr>
              <w:spacing w:after="240"/>
              <w:rPr>
                <w:color w:val="595959" w:themeColor="text1" w:themeTint="A6"/>
                <w:szCs w:val="18"/>
              </w:rPr>
            </w:pPr>
            <w:r>
              <w:rPr>
                <w:color w:val="595959" w:themeColor="text1" w:themeTint="A6"/>
                <w:szCs w:val="18"/>
              </w:rPr>
              <w:t xml:space="preserve">Dit verslag gaat in op de uitvoering en resultaten van het </w:t>
            </w:r>
            <w:proofErr w:type="spellStart"/>
            <w:r>
              <w:rPr>
                <w:color w:val="595959" w:themeColor="text1" w:themeTint="A6"/>
                <w:szCs w:val="18"/>
              </w:rPr>
              <w:t>Pericles</w:t>
            </w:r>
            <w:proofErr w:type="spellEnd"/>
            <w:r>
              <w:rPr>
                <w:color w:val="595959" w:themeColor="text1" w:themeTint="A6"/>
                <w:szCs w:val="18"/>
              </w:rPr>
              <w:t xml:space="preserve"> 2020-programma, een programma voor uitwisseling, bijstand en opleiding voor de bescherming van de euro tegen valsemunterij. Op dit moment wordt gewerkt aan de wetgeving voor het nieuwe </w:t>
            </w:r>
            <w:proofErr w:type="spellStart"/>
            <w:r>
              <w:rPr>
                <w:color w:val="595959" w:themeColor="text1" w:themeTint="A6"/>
                <w:szCs w:val="18"/>
              </w:rPr>
              <w:t>Pericles</w:t>
            </w:r>
            <w:proofErr w:type="spellEnd"/>
            <w:r>
              <w:rPr>
                <w:color w:val="595959" w:themeColor="text1" w:themeTint="A6"/>
                <w:szCs w:val="18"/>
              </w:rPr>
              <w:t xml:space="preserve"> programma voor de periode post 2020. </w:t>
            </w:r>
          </w:p>
        </w:tc>
      </w:tr>
    </w:tbl>
    <w:p w:rsidR="004E34A0" w:rsidP="002A4BD8" w:rsidRDefault="004E34A0" w14:paraId="0516173C" w14:textId="761F4396">
      <w:pPr>
        <w:rPr>
          <w:szCs w:val="18"/>
        </w:rPr>
      </w:pPr>
    </w:p>
    <w:tbl>
      <w:tblPr>
        <w:tblStyle w:val="Tabelraster"/>
        <w:tblW w:w="8073"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50"/>
        <w:gridCol w:w="6602"/>
      </w:tblGrid>
      <w:tr w:rsidRPr="007A6013" w:rsidR="003613D2" w:rsidTr="00B4722F" w14:paraId="59CBAB10" w14:textId="77777777">
        <w:trPr>
          <w:trHeight w:val="320"/>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3613D2" w:rsidP="00B4722F" w:rsidRDefault="003613D2" w14:paraId="250D4264" w14:textId="77777777">
            <w:pPr>
              <w:pStyle w:val="Lijstalinea"/>
              <w:numPr>
                <w:ilvl w:val="0"/>
                <w:numId w:val="10"/>
              </w:numPr>
              <w:spacing w:after="240"/>
              <w:ind w:left="306"/>
              <w:rPr>
                <w:color w:val="595959" w:themeColor="text1" w:themeTint="A6"/>
                <w:szCs w:val="18"/>
              </w:rPr>
            </w:pPr>
          </w:p>
        </w:tc>
        <w:tc>
          <w:tcPr>
            <w:tcW w:w="1050" w:type="dxa"/>
          </w:tcPr>
          <w:p w:rsidRPr="00D75535" w:rsidR="003613D2" w:rsidP="00B4722F" w:rsidRDefault="003613D2" w14:paraId="08B8C17C" w14:textId="77777777">
            <w:pPr>
              <w:spacing w:after="240"/>
              <w:rPr>
                <w:color w:val="595959" w:themeColor="text1" w:themeTint="A6"/>
                <w:szCs w:val="18"/>
              </w:rPr>
            </w:pPr>
            <w:r w:rsidRPr="00D75535">
              <w:rPr>
                <w:color w:val="595959" w:themeColor="text1" w:themeTint="A6"/>
                <w:szCs w:val="18"/>
              </w:rPr>
              <w:t>Titel</w:t>
            </w:r>
          </w:p>
        </w:tc>
        <w:tc>
          <w:tcPr>
            <w:tcW w:w="6602" w:type="dxa"/>
          </w:tcPr>
          <w:p w:rsidRPr="00D957BC" w:rsidR="003613D2" w:rsidP="00B4722F" w:rsidRDefault="00A42EAB" w14:paraId="32E36CA4" w14:textId="5E4D2750">
            <w:pPr>
              <w:spacing w:after="240"/>
              <w:rPr>
                <w:rFonts w:ascii="Calibri" w:hAnsi="Calibri" w:cs="Calibri"/>
                <w:sz w:val="22"/>
                <w:lang w:eastAsia="nl-NL"/>
              </w:rPr>
            </w:pPr>
            <w:r>
              <w:rPr>
                <w:rFonts w:ascii="Calibri" w:hAnsi="Calibri" w:cs="Calibri"/>
                <w:color w:val="000000"/>
                <w:sz w:val="22"/>
              </w:rPr>
              <w:t>VERSLAG VAN DE COMMISSIE AAN HET EUROPEES PARLEMENT, DE RAAD EN DE REKENKAMER BETREFFENDE HET GARANTIEFONDS EN HET BEHEER HIERVAN IN 2020 (</w:t>
            </w:r>
            <w:hyperlink w:history="1" r:id="rId34">
              <w:r w:rsidRPr="00D957BC">
                <w:rPr>
                  <w:rStyle w:val="Hyperlink"/>
                  <w:rFonts w:ascii="Calibri" w:hAnsi="Calibri" w:cs="Calibri"/>
                  <w:sz w:val="22"/>
                </w:rPr>
                <w:t>COM (2021) 465</w:t>
              </w:r>
            </w:hyperlink>
            <w:r w:rsidR="00D957BC">
              <w:rPr>
                <w:rFonts w:ascii="Calibri" w:hAnsi="Calibri" w:cs="Calibri"/>
                <w:sz w:val="22"/>
              </w:rPr>
              <w:t>)</w:t>
            </w:r>
          </w:p>
        </w:tc>
      </w:tr>
      <w:tr w:rsidRPr="002A4BD8" w:rsidR="003613D2" w:rsidTr="00B4722F" w14:paraId="5D790E0A" w14:textId="77777777">
        <w:trPr>
          <w:trHeight w:val="342"/>
        </w:trPr>
        <w:tc>
          <w:tcPr>
            <w:tcW w:w="421" w:type="dxa"/>
            <w:vMerge/>
            <w:tcBorders>
              <w:top w:val="nil"/>
              <w:bottom w:val="single" w:color="D9D9D9" w:themeColor="background1" w:themeShade="D9" w:sz="4" w:space="0"/>
            </w:tcBorders>
            <w:shd w:val="clear" w:color="auto" w:fill="F2F2F2" w:themeFill="background1" w:themeFillShade="F2"/>
          </w:tcPr>
          <w:p w:rsidRPr="00347789" w:rsidR="003613D2" w:rsidP="00B4722F" w:rsidRDefault="003613D2" w14:paraId="756E7CB2" w14:textId="77777777">
            <w:pPr>
              <w:spacing w:after="240"/>
              <w:rPr>
                <w:szCs w:val="18"/>
              </w:rPr>
            </w:pPr>
          </w:p>
        </w:tc>
        <w:tc>
          <w:tcPr>
            <w:tcW w:w="1050" w:type="dxa"/>
          </w:tcPr>
          <w:p w:rsidRPr="002A4BD8" w:rsidR="003613D2" w:rsidP="00B4722F" w:rsidRDefault="003613D2" w14:paraId="2AB2AA7B" w14:textId="77777777">
            <w:pPr>
              <w:spacing w:after="240"/>
              <w:rPr>
                <w:szCs w:val="18"/>
              </w:rPr>
            </w:pPr>
            <w:r w:rsidRPr="002A4BD8">
              <w:rPr>
                <w:szCs w:val="18"/>
              </w:rPr>
              <w:t>Voorstel</w:t>
            </w:r>
          </w:p>
        </w:tc>
        <w:tc>
          <w:tcPr>
            <w:tcW w:w="6602" w:type="dxa"/>
          </w:tcPr>
          <w:p w:rsidRPr="002A4BD8" w:rsidR="003613D2" w:rsidP="00B4722F" w:rsidRDefault="003613D2" w14:paraId="2343073A" w14:textId="77777777">
            <w:pPr>
              <w:spacing w:after="240"/>
              <w:rPr>
                <w:szCs w:val="18"/>
              </w:rPr>
            </w:pPr>
            <w:r w:rsidRPr="00564526">
              <w:rPr>
                <w:szCs w:val="18"/>
              </w:rPr>
              <w:t>Voor kennisgeving aannemen</w:t>
            </w:r>
          </w:p>
        </w:tc>
      </w:tr>
      <w:tr w:rsidRPr="00D75535" w:rsidR="003613D2" w:rsidTr="00B4722F" w14:paraId="79A79B2C" w14:textId="77777777">
        <w:trPr>
          <w:trHeight w:val="320"/>
        </w:trPr>
        <w:tc>
          <w:tcPr>
            <w:tcW w:w="421" w:type="dxa"/>
            <w:vMerge/>
            <w:tcBorders>
              <w:top w:val="nil"/>
              <w:bottom w:val="single" w:color="D9D9D9" w:themeColor="background1" w:themeShade="D9" w:sz="4" w:space="0"/>
            </w:tcBorders>
            <w:shd w:val="clear" w:color="auto" w:fill="F2F2F2" w:themeFill="background1" w:themeFillShade="F2"/>
          </w:tcPr>
          <w:p w:rsidRPr="00D75535" w:rsidR="003613D2" w:rsidP="00B4722F" w:rsidRDefault="003613D2" w14:paraId="081C8AE6" w14:textId="77777777">
            <w:pPr>
              <w:spacing w:after="240"/>
              <w:rPr>
                <w:color w:val="595959" w:themeColor="text1" w:themeTint="A6"/>
                <w:szCs w:val="18"/>
              </w:rPr>
            </w:pPr>
          </w:p>
        </w:tc>
        <w:tc>
          <w:tcPr>
            <w:tcW w:w="1050" w:type="dxa"/>
          </w:tcPr>
          <w:p w:rsidRPr="00D75535" w:rsidR="003613D2" w:rsidP="00B4722F" w:rsidRDefault="003613D2" w14:paraId="4A09574C" w14:textId="77777777">
            <w:pPr>
              <w:spacing w:after="240"/>
              <w:rPr>
                <w:color w:val="595959" w:themeColor="text1" w:themeTint="A6"/>
                <w:szCs w:val="18"/>
              </w:rPr>
            </w:pPr>
            <w:r w:rsidRPr="00D75535">
              <w:rPr>
                <w:color w:val="595959" w:themeColor="text1" w:themeTint="A6"/>
                <w:szCs w:val="18"/>
              </w:rPr>
              <w:t>Noot</w:t>
            </w:r>
          </w:p>
        </w:tc>
        <w:tc>
          <w:tcPr>
            <w:tcW w:w="6602" w:type="dxa"/>
          </w:tcPr>
          <w:p w:rsidRPr="00D75535" w:rsidR="003613D2" w:rsidP="00B4722F" w:rsidRDefault="00BD52F3" w14:paraId="6366CBDC" w14:textId="41D1B591">
            <w:pPr>
              <w:spacing w:after="240"/>
              <w:rPr>
                <w:color w:val="595959" w:themeColor="text1" w:themeTint="A6"/>
                <w:szCs w:val="18"/>
              </w:rPr>
            </w:pPr>
            <w:r>
              <w:rPr>
                <w:color w:val="595959" w:themeColor="text1" w:themeTint="A6"/>
                <w:szCs w:val="18"/>
              </w:rPr>
              <w:t xml:space="preserve">Dit betreft het reguliere jaarlijks verslag over het garantiefonds. Dit fonds is ingesteld teneinde een liquiditeitsbuffer te bieden voor de terugbetaling van crediteuren van de EU ingeval begunstigden van door de EU toegekende of gegarandeerde leningen in gebreke blijven. Het fonds wordt beheerd door de EIB. </w:t>
            </w:r>
          </w:p>
        </w:tc>
      </w:tr>
    </w:tbl>
    <w:p w:rsidR="003613D2" w:rsidP="002A4BD8" w:rsidRDefault="003613D2" w14:paraId="2870C555" w14:textId="420CA00B">
      <w:pPr>
        <w:rPr>
          <w:szCs w:val="18"/>
        </w:rPr>
      </w:pPr>
    </w:p>
    <w:p w:rsidR="00AE5BAB" w:rsidP="002A4BD8" w:rsidRDefault="00AE5BAB" w14:paraId="79649EEF" w14:textId="77777777">
      <w:pPr>
        <w:rPr>
          <w:szCs w:val="18"/>
        </w:rPr>
      </w:pPr>
    </w:p>
    <w:sectPr w:rsidR="00AE5BAB" w:rsidSect="00BF62AD">
      <w:headerReference w:type="default" r:id="rId35"/>
      <w:footerReference w:type="default" r:id="rId3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030496CE" w:rsidR="00A42CDC" w:rsidRDefault="00F407B0">
                          <w:pPr>
                            <w:pStyle w:val="Huisstijl-Paginanummer"/>
                          </w:pPr>
                          <w:r>
                            <w:fldChar w:fldCharType="begin"/>
                          </w:r>
                          <w:r>
                            <w:instrText xml:space="preserve"> PAGE  \* Arabic  \* MERGEFORMAT </w:instrText>
                          </w:r>
                          <w:r>
                            <w:fldChar w:fldCharType="separate"/>
                          </w:r>
                          <w:r w:rsidR="001B259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030496CE" w:rsidR="00A42CDC" w:rsidRDefault="00F407B0">
                    <w:pPr>
                      <w:pStyle w:val="Huisstijl-Paginanummer"/>
                    </w:pPr>
                    <w:r>
                      <w:fldChar w:fldCharType="begin"/>
                    </w:r>
                    <w:r>
                      <w:instrText xml:space="preserve"> PAGE  \* Arabic  \* MERGEFORMAT </w:instrText>
                    </w:r>
                    <w:r>
                      <w:fldChar w:fldCharType="separate"/>
                    </w:r>
                    <w:r w:rsidR="001B2596">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15414BC7" w:rsidR="00A42CDC" w:rsidRDefault="00F407B0">
                          <w:pPr>
                            <w:pStyle w:val="Huisstijl-Paginanummer"/>
                          </w:pPr>
                          <w:r>
                            <w:fldChar w:fldCharType="begin"/>
                          </w:r>
                          <w:r>
                            <w:instrText xml:space="preserve"> PAGE  \* Arabic  \* MERGEFORMAT </w:instrText>
                          </w:r>
                          <w:r>
                            <w:fldChar w:fldCharType="separate"/>
                          </w:r>
                          <w:r w:rsidR="001B2596">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15414BC7" w:rsidR="00A42CDC" w:rsidRDefault="00F407B0">
                    <w:pPr>
                      <w:pStyle w:val="Huisstijl-Paginanummer"/>
                    </w:pPr>
                    <w:r>
                      <w:fldChar w:fldCharType="begin"/>
                    </w:r>
                    <w:r>
                      <w:instrText xml:space="preserve"> PAGE  \* Arabic  \* MERGEFORMAT </w:instrText>
                    </w:r>
                    <w:r>
                      <w:fldChar w:fldCharType="separate"/>
                    </w:r>
                    <w:r w:rsidR="001B2596">
                      <w:rPr>
                        <w:noProof/>
                      </w:rPr>
                      <w:t>6</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A007C7"/>
    <w:multiLevelType w:val="hybridMultilevel"/>
    <w:tmpl w:val="481837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6D1585"/>
    <w:multiLevelType w:val="hybridMultilevel"/>
    <w:tmpl w:val="458C91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4513A9"/>
    <w:multiLevelType w:val="hybridMultilevel"/>
    <w:tmpl w:val="481837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D44FD0"/>
    <w:multiLevelType w:val="hybridMultilevel"/>
    <w:tmpl w:val="481837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1E572AD"/>
    <w:multiLevelType w:val="hybridMultilevel"/>
    <w:tmpl w:val="CA303F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475C6C"/>
    <w:multiLevelType w:val="hybridMultilevel"/>
    <w:tmpl w:val="29BC9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083E4F"/>
    <w:multiLevelType w:val="hybridMultilevel"/>
    <w:tmpl w:val="3C34E3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C943034"/>
    <w:multiLevelType w:val="hybridMultilevel"/>
    <w:tmpl w:val="481837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65D3285"/>
    <w:multiLevelType w:val="hybridMultilevel"/>
    <w:tmpl w:val="481837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17"/>
  </w:num>
  <w:num w:numId="4">
    <w:abstractNumId w:val="5"/>
  </w:num>
  <w:num w:numId="5">
    <w:abstractNumId w:val="3"/>
  </w:num>
  <w:num w:numId="6">
    <w:abstractNumId w:val="0"/>
  </w:num>
  <w:num w:numId="7">
    <w:abstractNumId w:val="15"/>
  </w:num>
  <w:num w:numId="8">
    <w:abstractNumId w:val="10"/>
  </w:num>
  <w:num w:numId="9">
    <w:abstractNumId w:val="13"/>
  </w:num>
  <w:num w:numId="10">
    <w:abstractNumId w:val="4"/>
  </w:num>
  <w:num w:numId="11">
    <w:abstractNumId w:val="9"/>
  </w:num>
  <w:num w:numId="12">
    <w:abstractNumId w:val="14"/>
  </w:num>
  <w:num w:numId="13">
    <w:abstractNumId w:val="16"/>
  </w:num>
  <w:num w:numId="14">
    <w:abstractNumId w:val="7"/>
  </w:num>
  <w:num w:numId="15">
    <w:abstractNumId w:val="8"/>
  </w:num>
  <w:num w:numId="16">
    <w:abstractNumId w:val="11"/>
  </w:num>
  <w:num w:numId="17">
    <w:abstractNumId w:val="1"/>
  </w:num>
  <w:num w:numId="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0BC7"/>
    <w:rsid w:val="000339A6"/>
    <w:rsid w:val="00035057"/>
    <w:rsid w:val="00036674"/>
    <w:rsid w:val="000423A9"/>
    <w:rsid w:val="00045831"/>
    <w:rsid w:val="00050D24"/>
    <w:rsid w:val="00051F0A"/>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6D45"/>
    <w:rsid w:val="000B7C51"/>
    <w:rsid w:val="000C43D2"/>
    <w:rsid w:val="000C44F1"/>
    <w:rsid w:val="000C6A9E"/>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3BC1"/>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596"/>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45B3"/>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A4"/>
    <w:rsid w:val="003354DB"/>
    <w:rsid w:val="003410ED"/>
    <w:rsid w:val="00346125"/>
    <w:rsid w:val="00347789"/>
    <w:rsid w:val="00352A08"/>
    <w:rsid w:val="00355DCC"/>
    <w:rsid w:val="00356E8E"/>
    <w:rsid w:val="003613D2"/>
    <w:rsid w:val="00361C03"/>
    <w:rsid w:val="003620C8"/>
    <w:rsid w:val="003630D5"/>
    <w:rsid w:val="00363512"/>
    <w:rsid w:val="00364EE8"/>
    <w:rsid w:val="003664D8"/>
    <w:rsid w:val="00370E9C"/>
    <w:rsid w:val="0037414F"/>
    <w:rsid w:val="00374B44"/>
    <w:rsid w:val="00376585"/>
    <w:rsid w:val="00377E26"/>
    <w:rsid w:val="003812B9"/>
    <w:rsid w:val="003843F9"/>
    <w:rsid w:val="00393BB7"/>
    <w:rsid w:val="003A219A"/>
    <w:rsid w:val="003A5792"/>
    <w:rsid w:val="003B18AE"/>
    <w:rsid w:val="003B1D02"/>
    <w:rsid w:val="003B254F"/>
    <w:rsid w:val="003B2964"/>
    <w:rsid w:val="003B4119"/>
    <w:rsid w:val="003B484E"/>
    <w:rsid w:val="003B67E0"/>
    <w:rsid w:val="003C0D63"/>
    <w:rsid w:val="003C2832"/>
    <w:rsid w:val="003D150E"/>
    <w:rsid w:val="003D22ED"/>
    <w:rsid w:val="003D450D"/>
    <w:rsid w:val="003D5554"/>
    <w:rsid w:val="003D660C"/>
    <w:rsid w:val="003E6EA2"/>
    <w:rsid w:val="003F628A"/>
    <w:rsid w:val="00403FAF"/>
    <w:rsid w:val="00405747"/>
    <w:rsid w:val="0041042A"/>
    <w:rsid w:val="00411808"/>
    <w:rsid w:val="0041634B"/>
    <w:rsid w:val="00416E67"/>
    <w:rsid w:val="00420882"/>
    <w:rsid w:val="00422BDA"/>
    <w:rsid w:val="00424531"/>
    <w:rsid w:val="00424D04"/>
    <w:rsid w:val="004265B2"/>
    <w:rsid w:val="00427600"/>
    <w:rsid w:val="0043382C"/>
    <w:rsid w:val="0043446E"/>
    <w:rsid w:val="00434BC6"/>
    <w:rsid w:val="00441745"/>
    <w:rsid w:val="00442D7A"/>
    <w:rsid w:val="004521E2"/>
    <w:rsid w:val="00455D0F"/>
    <w:rsid w:val="004573F4"/>
    <w:rsid w:val="004577D5"/>
    <w:rsid w:val="00460393"/>
    <w:rsid w:val="004605A4"/>
    <w:rsid w:val="00461756"/>
    <w:rsid w:val="0046311A"/>
    <w:rsid w:val="00464184"/>
    <w:rsid w:val="00471679"/>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34A0"/>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4526"/>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007F"/>
    <w:rsid w:val="00605B5A"/>
    <w:rsid w:val="006060B3"/>
    <w:rsid w:val="0060611D"/>
    <w:rsid w:val="00613764"/>
    <w:rsid w:val="00617577"/>
    <w:rsid w:val="006200E7"/>
    <w:rsid w:val="00621260"/>
    <w:rsid w:val="00626F56"/>
    <w:rsid w:val="00626FD8"/>
    <w:rsid w:val="006301F4"/>
    <w:rsid w:val="00633333"/>
    <w:rsid w:val="0064051F"/>
    <w:rsid w:val="006432B0"/>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013"/>
    <w:rsid w:val="007A6CDA"/>
    <w:rsid w:val="007A7B25"/>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2BFA"/>
    <w:rsid w:val="0089371C"/>
    <w:rsid w:val="008A4075"/>
    <w:rsid w:val="008A5C07"/>
    <w:rsid w:val="008A5F82"/>
    <w:rsid w:val="008B33EB"/>
    <w:rsid w:val="008B3ABC"/>
    <w:rsid w:val="008B4B43"/>
    <w:rsid w:val="008B5E4B"/>
    <w:rsid w:val="008B7783"/>
    <w:rsid w:val="008C43A5"/>
    <w:rsid w:val="008C4443"/>
    <w:rsid w:val="008C7E4E"/>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D43DB"/>
    <w:rsid w:val="009E2113"/>
    <w:rsid w:val="009F1C43"/>
    <w:rsid w:val="009F2CCC"/>
    <w:rsid w:val="00A009CA"/>
    <w:rsid w:val="00A04C8A"/>
    <w:rsid w:val="00A149AC"/>
    <w:rsid w:val="00A20A7D"/>
    <w:rsid w:val="00A31794"/>
    <w:rsid w:val="00A324AB"/>
    <w:rsid w:val="00A33B04"/>
    <w:rsid w:val="00A34E30"/>
    <w:rsid w:val="00A362EB"/>
    <w:rsid w:val="00A37656"/>
    <w:rsid w:val="00A42CDC"/>
    <w:rsid w:val="00A42EAB"/>
    <w:rsid w:val="00A464BD"/>
    <w:rsid w:val="00A501AD"/>
    <w:rsid w:val="00A57E41"/>
    <w:rsid w:val="00A657BB"/>
    <w:rsid w:val="00A77085"/>
    <w:rsid w:val="00A80CBB"/>
    <w:rsid w:val="00A828E3"/>
    <w:rsid w:val="00A95091"/>
    <w:rsid w:val="00A96541"/>
    <w:rsid w:val="00AA0328"/>
    <w:rsid w:val="00AA0820"/>
    <w:rsid w:val="00AA44E4"/>
    <w:rsid w:val="00AB0987"/>
    <w:rsid w:val="00AB365C"/>
    <w:rsid w:val="00AB601C"/>
    <w:rsid w:val="00AB6D0E"/>
    <w:rsid w:val="00AC226A"/>
    <w:rsid w:val="00AC2CC7"/>
    <w:rsid w:val="00AC2D1E"/>
    <w:rsid w:val="00AC68C0"/>
    <w:rsid w:val="00AD0985"/>
    <w:rsid w:val="00AD33F2"/>
    <w:rsid w:val="00AD4211"/>
    <w:rsid w:val="00AE17EA"/>
    <w:rsid w:val="00AE3B5E"/>
    <w:rsid w:val="00AE4AA4"/>
    <w:rsid w:val="00AE5BAB"/>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D52F3"/>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27EA0"/>
    <w:rsid w:val="00C3378C"/>
    <w:rsid w:val="00C3534E"/>
    <w:rsid w:val="00C4073F"/>
    <w:rsid w:val="00C4727D"/>
    <w:rsid w:val="00C5067A"/>
    <w:rsid w:val="00C60BB7"/>
    <w:rsid w:val="00C643E9"/>
    <w:rsid w:val="00C660F6"/>
    <w:rsid w:val="00C71065"/>
    <w:rsid w:val="00C727FA"/>
    <w:rsid w:val="00C75EFA"/>
    <w:rsid w:val="00C765A3"/>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85260"/>
    <w:rsid w:val="00D957BC"/>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872"/>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677B1"/>
    <w:rsid w:val="00F71F61"/>
    <w:rsid w:val="00F73681"/>
    <w:rsid w:val="00F839FE"/>
    <w:rsid w:val="00F84683"/>
    <w:rsid w:val="00F85D51"/>
    <w:rsid w:val="00F85F4D"/>
    <w:rsid w:val="00F87AC5"/>
    <w:rsid w:val="00F9004F"/>
    <w:rsid w:val="00F9024C"/>
    <w:rsid w:val="00F938C6"/>
    <w:rsid w:val="00F9641A"/>
    <w:rsid w:val="00F9703B"/>
    <w:rsid w:val="00F97E74"/>
    <w:rsid w:val="00FA03AA"/>
    <w:rsid w:val="00FA4964"/>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9248305">
      <w:bodyDiv w:val="1"/>
      <w:marLeft w:val="0"/>
      <w:marRight w:val="0"/>
      <w:marTop w:val="0"/>
      <w:marBottom w:val="0"/>
      <w:divBdr>
        <w:top w:val="none" w:sz="0" w:space="0" w:color="auto"/>
        <w:left w:val="none" w:sz="0" w:space="0" w:color="auto"/>
        <w:bottom w:val="none" w:sz="0" w:space="0" w:color="auto"/>
        <w:right w:val="none" w:sz="0" w:space="0" w:color="auto"/>
      </w:divBdr>
    </w:div>
    <w:div w:id="336032754">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69572169">
      <w:bodyDiv w:val="1"/>
      <w:marLeft w:val="0"/>
      <w:marRight w:val="0"/>
      <w:marTop w:val="0"/>
      <w:marBottom w:val="0"/>
      <w:divBdr>
        <w:top w:val="none" w:sz="0" w:space="0" w:color="auto"/>
        <w:left w:val="none" w:sz="0" w:space="0" w:color="auto"/>
        <w:bottom w:val="none" w:sz="0" w:space="0" w:color="auto"/>
        <w:right w:val="none" w:sz="0" w:space="0" w:color="auto"/>
      </w:divBdr>
    </w:div>
    <w:div w:id="3837217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479045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97619793">
      <w:bodyDiv w:val="1"/>
      <w:marLeft w:val="0"/>
      <w:marRight w:val="0"/>
      <w:marTop w:val="0"/>
      <w:marBottom w:val="0"/>
      <w:divBdr>
        <w:top w:val="none" w:sz="0" w:space="0" w:color="auto"/>
        <w:left w:val="none" w:sz="0" w:space="0" w:color="auto"/>
        <w:bottom w:val="none" w:sz="0" w:space="0" w:color="auto"/>
        <w:right w:val="none" w:sz="0" w:space="0" w:color="auto"/>
      </w:divBdr>
    </w:div>
    <w:div w:id="519008771">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500685">
      <w:bodyDiv w:val="1"/>
      <w:marLeft w:val="0"/>
      <w:marRight w:val="0"/>
      <w:marTop w:val="0"/>
      <w:marBottom w:val="0"/>
      <w:divBdr>
        <w:top w:val="none" w:sz="0" w:space="0" w:color="auto"/>
        <w:left w:val="none" w:sz="0" w:space="0" w:color="auto"/>
        <w:bottom w:val="none" w:sz="0" w:space="0" w:color="auto"/>
        <w:right w:val="none" w:sz="0" w:space="0" w:color="auto"/>
      </w:divBdr>
    </w:div>
    <w:div w:id="688026905">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18373">
      <w:bodyDiv w:val="1"/>
      <w:marLeft w:val="0"/>
      <w:marRight w:val="0"/>
      <w:marTop w:val="0"/>
      <w:marBottom w:val="0"/>
      <w:divBdr>
        <w:top w:val="none" w:sz="0" w:space="0" w:color="auto"/>
        <w:left w:val="none" w:sz="0" w:space="0" w:color="auto"/>
        <w:bottom w:val="none" w:sz="0" w:space="0" w:color="auto"/>
        <w:right w:val="none" w:sz="0" w:space="0" w:color="auto"/>
      </w:divBdr>
    </w:div>
    <w:div w:id="790440638">
      <w:bodyDiv w:val="1"/>
      <w:marLeft w:val="0"/>
      <w:marRight w:val="0"/>
      <w:marTop w:val="0"/>
      <w:marBottom w:val="0"/>
      <w:divBdr>
        <w:top w:val="none" w:sz="0" w:space="0" w:color="auto"/>
        <w:left w:val="none" w:sz="0" w:space="0" w:color="auto"/>
        <w:bottom w:val="none" w:sz="0" w:space="0" w:color="auto"/>
        <w:right w:val="none" w:sz="0" w:space="0" w:color="auto"/>
      </w:divBdr>
    </w:div>
    <w:div w:id="95783048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5404542">
      <w:bodyDiv w:val="1"/>
      <w:marLeft w:val="0"/>
      <w:marRight w:val="0"/>
      <w:marTop w:val="0"/>
      <w:marBottom w:val="0"/>
      <w:divBdr>
        <w:top w:val="none" w:sz="0" w:space="0" w:color="auto"/>
        <w:left w:val="none" w:sz="0" w:space="0" w:color="auto"/>
        <w:bottom w:val="none" w:sz="0" w:space="0" w:color="auto"/>
        <w:right w:val="none" w:sz="0" w:space="0" w:color="auto"/>
      </w:divBdr>
    </w:div>
    <w:div w:id="1023941875">
      <w:bodyDiv w:val="1"/>
      <w:marLeft w:val="0"/>
      <w:marRight w:val="0"/>
      <w:marTop w:val="0"/>
      <w:marBottom w:val="0"/>
      <w:divBdr>
        <w:top w:val="none" w:sz="0" w:space="0" w:color="auto"/>
        <w:left w:val="none" w:sz="0" w:space="0" w:color="auto"/>
        <w:bottom w:val="none" w:sz="0" w:space="0" w:color="auto"/>
        <w:right w:val="none" w:sz="0" w:space="0" w:color="auto"/>
      </w:divBdr>
    </w:div>
    <w:div w:id="1070269578">
      <w:bodyDiv w:val="1"/>
      <w:marLeft w:val="0"/>
      <w:marRight w:val="0"/>
      <w:marTop w:val="0"/>
      <w:marBottom w:val="0"/>
      <w:divBdr>
        <w:top w:val="none" w:sz="0" w:space="0" w:color="auto"/>
        <w:left w:val="none" w:sz="0" w:space="0" w:color="auto"/>
        <w:bottom w:val="none" w:sz="0" w:space="0" w:color="auto"/>
        <w:right w:val="none" w:sz="0" w:space="0" w:color="auto"/>
      </w:divBdr>
    </w:div>
    <w:div w:id="1075205734">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92767318">
      <w:bodyDiv w:val="1"/>
      <w:marLeft w:val="0"/>
      <w:marRight w:val="0"/>
      <w:marTop w:val="0"/>
      <w:marBottom w:val="0"/>
      <w:divBdr>
        <w:top w:val="none" w:sz="0" w:space="0" w:color="auto"/>
        <w:left w:val="none" w:sz="0" w:space="0" w:color="auto"/>
        <w:bottom w:val="none" w:sz="0" w:space="0" w:color="auto"/>
        <w:right w:val="none" w:sz="0" w:space="0" w:color="auto"/>
      </w:divBdr>
    </w:div>
    <w:div w:id="1202742200">
      <w:bodyDiv w:val="1"/>
      <w:marLeft w:val="0"/>
      <w:marRight w:val="0"/>
      <w:marTop w:val="0"/>
      <w:marBottom w:val="0"/>
      <w:divBdr>
        <w:top w:val="none" w:sz="0" w:space="0" w:color="auto"/>
        <w:left w:val="none" w:sz="0" w:space="0" w:color="auto"/>
        <w:bottom w:val="none" w:sz="0" w:space="0" w:color="auto"/>
        <w:right w:val="none" w:sz="0" w:space="0" w:color="auto"/>
      </w:divBdr>
    </w:div>
    <w:div w:id="1375545063">
      <w:bodyDiv w:val="1"/>
      <w:marLeft w:val="0"/>
      <w:marRight w:val="0"/>
      <w:marTop w:val="0"/>
      <w:marBottom w:val="0"/>
      <w:divBdr>
        <w:top w:val="none" w:sz="0" w:space="0" w:color="auto"/>
        <w:left w:val="none" w:sz="0" w:space="0" w:color="auto"/>
        <w:bottom w:val="none" w:sz="0" w:space="0" w:color="auto"/>
        <w:right w:val="none" w:sz="0" w:space="0" w:color="auto"/>
      </w:divBdr>
    </w:div>
    <w:div w:id="1404839614">
      <w:bodyDiv w:val="1"/>
      <w:marLeft w:val="0"/>
      <w:marRight w:val="0"/>
      <w:marTop w:val="0"/>
      <w:marBottom w:val="0"/>
      <w:divBdr>
        <w:top w:val="none" w:sz="0" w:space="0" w:color="auto"/>
        <w:left w:val="none" w:sz="0" w:space="0" w:color="auto"/>
        <w:bottom w:val="none" w:sz="0" w:space="0" w:color="auto"/>
        <w:right w:val="none" w:sz="0" w:space="0" w:color="auto"/>
      </w:divBdr>
    </w:div>
    <w:div w:id="1420519986">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0378451">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4807343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2519546">
      <w:bodyDiv w:val="1"/>
      <w:marLeft w:val="0"/>
      <w:marRight w:val="0"/>
      <w:marTop w:val="0"/>
      <w:marBottom w:val="0"/>
      <w:divBdr>
        <w:top w:val="none" w:sz="0" w:space="0" w:color="auto"/>
        <w:left w:val="none" w:sz="0" w:space="0" w:color="auto"/>
        <w:bottom w:val="none" w:sz="0" w:space="0" w:color="auto"/>
        <w:right w:val="none" w:sz="0" w:space="0" w:color="auto"/>
      </w:divBdr>
    </w:div>
    <w:div w:id="1926839459">
      <w:bodyDiv w:val="1"/>
      <w:marLeft w:val="0"/>
      <w:marRight w:val="0"/>
      <w:marTop w:val="0"/>
      <w:marBottom w:val="0"/>
      <w:divBdr>
        <w:top w:val="none" w:sz="0" w:space="0" w:color="auto"/>
        <w:left w:val="none" w:sz="0" w:space="0" w:color="auto"/>
        <w:bottom w:val="none" w:sz="0" w:space="0" w:color="auto"/>
        <w:right w:val="none" w:sz="0" w:space="0" w:color="auto"/>
      </w:divBdr>
    </w:div>
    <w:div w:id="1968274086">
      <w:bodyDiv w:val="1"/>
      <w:marLeft w:val="0"/>
      <w:marRight w:val="0"/>
      <w:marTop w:val="0"/>
      <w:marBottom w:val="0"/>
      <w:divBdr>
        <w:top w:val="none" w:sz="0" w:space="0" w:color="auto"/>
        <w:left w:val="none" w:sz="0" w:space="0" w:color="auto"/>
        <w:bottom w:val="none" w:sz="0" w:space="0" w:color="auto"/>
        <w:right w:val="none" w:sz="0" w:space="0" w:color="auto"/>
      </w:divBdr>
    </w:div>
    <w:div w:id="2009166909">
      <w:bodyDiv w:val="1"/>
      <w:marLeft w:val="0"/>
      <w:marRight w:val="0"/>
      <w:marTop w:val="0"/>
      <w:marBottom w:val="0"/>
      <w:divBdr>
        <w:top w:val="none" w:sz="0" w:space="0" w:color="auto"/>
        <w:left w:val="none" w:sz="0" w:space="0" w:color="auto"/>
        <w:bottom w:val="none" w:sz="0" w:space="0" w:color="auto"/>
        <w:right w:val="none" w:sz="0" w:space="0" w:color="auto"/>
      </w:divBdr>
    </w:div>
    <w:div w:id="2086032167">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search.html?DTA=2021&amp;SUBDOM_INIT=ALL_ALL&amp;DB_TYPE_OF_ACT=comJoin&amp;DTS_SUBDOM=ALL_ALL&amp;typeOfActStatus=COM_JOIN&amp;DTS_DOM=ALL&amp;type=advanced&amp;excConsLeg=true&amp;qid=1626078359087&amp;DTN=0391" TargetMode="External" Id="rId18" /><Relationship Type="http://schemas.openxmlformats.org/officeDocument/2006/relationships/hyperlink" Target="https://eur-lex.europa.eu/search.html?DTA=2021&amp;SUBDOM_INIT=ALL_ALL&amp;DB_TYPE_OF_ACT=comJoin&amp;DTS_SUBDOM=ALL_ALL&amp;typeOfActStatus=COM_JOIN&amp;DTS_DOM=ALL&amp;type=advanced&amp;excConsLeg=true&amp;qid=1629873807875&amp;DTN=0482" TargetMode="External" Id="rId26" /><Relationship Type="http://schemas.openxmlformats.org/officeDocument/2006/relationships/hyperlink" Target="https://eur-lex.europa.eu/search.html?DTA=2021&amp;SUBDOM_INIT=ALL_ALL&amp;DB_TYPE_OF_ACT=comJoin&amp;DTS_SUBDOM=ALL_ALL&amp;typeOfActStatus=COM_JOIN&amp;DTS_DOM=ALL&amp;type=advanced&amp;excConsLeg=true&amp;qid=1626696945793&amp;DTN=0444" TargetMode="External" Id="rId21" /><Relationship Type="http://schemas.openxmlformats.org/officeDocument/2006/relationships/hyperlink" Target="https://eur-lex.europa.eu/legal-content/NL/ALL/?uri=COM%3A2021%3A465%3AFIN" TargetMode="Externa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c.europa.eu/info/business-economy-euro/recovery-coronavirus/recovery-and-resilience-facility_en" TargetMode="External" Id="rId17" /><Relationship Type="http://schemas.openxmlformats.org/officeDocument/2006/relationships/hyperlink" Target="https://eur-lex.europa.eu/search.html?DTN=0429&amp;SUBDOM_INIT=ALL_ALL&amp;DTS_DOM=ALL&amp;typeOfActStatus=COM_JOIN&amp;type=advanced&amp;DTS_SUBDOM=ALL_ALL&amp;excConsLeg=true&amp;qid=1626854774113&amp;DB_TYPE_OF_ACT=comJoin&amp;DTA=2021&amp;locale=nl" TargetMode="External" Id="rId25" /><Relationship Type="http://schemas.openxmlformats.org/officeDocument/2006/relationships/hyperlink" Target="https://eur-lex.europa.eu/search.html?DTA=2021&amp;SUBDOM_INIT=ALL_ALL&amp;DB_TYPE_OF_ACT=comJoin&amp;DTS_SUBDOM=ALL_ALL&amp;typeOfActStatus=COM_JOIN&amp;DTS_DOM=ALL&amp;type=advanced&amp;excConsLeg=true&amp;qid=1629872936195&amp;DTN=0476" TargetMode="External" Id="rId33" /><Relationship Type="http://schemas.openxmlformats.org/officeDocument/2006/relationships/theme" Target="theme/theme1.xml" Id="rId38" /><Relationship Type="http://schemas.openxmlformats.org/officeDocument/2006/relationships/hyperlink" Target="https://secure.ipex.eu/IPEXL-WEB/dossier/document/COM20210384.do" TargetMode="External" Id="rId16" /><Relationship Type="http://schemas.openxmlformats.org/officeDocument/2006/relationships/hyperlink" Target="https://eur-lex.europa.eu/search.html?DTA=2021&amp;SUBDOM_INIT=ALL_ALL&amp;DB_TYPE_OF_ACT=comJoin&amp;DTS_SUBDOM=ALL_ALL&amp;typeOfActStatus=COM_JOIN&amp;DTS_DOM=ALL&amp;type=advanced&amp;excConsLeg=true&amp;qid=1626245719420&amp;DTN=0300" TargetMode="External" Id="rId20" /><Relationship Type="http://schemas.openxmlformats.org/officeDocument/2006/relationships/hyperlink" Target="https://eur-lex.europa.eu/search.html?DTN=0381&amp;SUBDOM_INIT=ALL_ALL&amp;DTS_DOM=ALL&amp;typeOfActStatus=COM_JOIN&amp;type=advanced&amp;DTS_SUBDOM=ALL_ALL&amp;excConsLeg=true&amp;qid=1625565062521&amp;DB_TYPE_OF_ACT=comJoin&amp;DTA=2021&amp;locale=nl" TargetMode="Externa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search.html?DTA=2021&amp;SUBDOM_INIT=ALL_ALL&amp;DB_TYPE_OF_ACT=comJoin&amp;DTS_SUBDOM=ALL_ALL&amp;typeOfActStatus=COM_JOIN&amp;DTS_DOM=ALL&amp;type=advanced&amp;excConsLeg=true&amp;qid=1626698620161&amp;DTN=0399" TargetMode="External" Id="rId24" /><Relationship Type="http://schemas.openxmlformats.org/officeDocument/2006/relationships/hyperlink" Target="https://eur-lex.europa.eu/search.html?DTA=2021&amp;SUBDOM_INIT=ALL_ALL&amp;DTS_SUBDOM=ALL_ALL&amp;DTS_DOM=ALL&amp;type=advanced&amp;excConsLeg=true&amp;qid=1626246123017&amp;DTN=0405" TargetMode="External" Id="rId32" /><Relationship Type="http://schemas.openxmlformats.org/officeDocument/2006/relationships/fontTable" Target="fontTable.xml" Id="rId37" /><Relationship Type="http://schemas.openxmlformats.org/officeDocument/2006/relationships/hyperlink" Target="http://parlisweb/parlis/document.aspx?Id=b556413e-e46f-44bc-b95c-eaacaa1e45f7" TargetMode="External" Id="rId15" /><Relationship Type="http://schemas.openxmlformats.org/officeDocument/2006/relationships/hyperlink" Target="https://eur-lex.europa.eu/search.html?DTA=2021&amp;SUBDOM_INIT=ALL_ALL&amp;DB_TYPE_OF_ACT=comJoin&amp;DTS_SUBDOM=ALL_ALL&amp;typeOfActStatus=COM_JOIN&amp;DTS_DOM=ALL&amp;type=advanced&amp;excConsLeg=true&amp;qid=1626698309233&amp;DTN=0397" TargetMode="External" Id="rId23" /><Relationship Type="http://schemas.openxmlformats.org/officeDocument/2006/relationships/hyperlink" Target="https://ec.europa.eu/info/law/better-regulation/have-your-say/initiatives/12995-Aftrek-voor-gelijkere-behandeling-van-eigen-en-vreemd-vermogen-DEBRA-_nl"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https://parlisweb/parlis/document.aspx?Id=69bf15a7-d2dd-4ce9-adc3-0ba3c7592677" TargetMode="External" Id="rId19" /><Relationship Type="http://schemas.openxmlformats.org/officeDocument/2006/relationships/hyperlink" Target="https://eur-lex.europa.eu/search.html?DTA=2021&amp;SUBDOM_INIT=ALL_ALL&amp;DB_TYPE_OF_ACT=comJoin&amp;DTS_SUBDOM=ALL_ALL&amp;typeOfActStatus=COM_JOIN&amp;DTS_DOM=ALL&amp;type=advanced&amp;excConsLeg=true&amp;qid=1626698475354&amp;DTN=0395" TargetMode="External" Id="rId31" /><Relationship Type="http://schemas.openxmlformats.org/officeDocument/2006/relationships/webSettings" Target="webSettings.xml" Id="rId9" /><Relationship Type="http://schemas.openxmlformats.org/officeDocument/2006/relationships/hyperlink" Target="https://secure.ipex.eu/IPEXL-WEB/document/COM-2021-0347" TargetMode="External" Id="rId14" /><Relationship Type="http://schemas.openxmlformats.org/officeDocument/2006/relationships/hyperlink" Target="https://eur-lex.europa.eu/search.html?DTA=2021&amp;SUBDOM_INIT=ALL_ALL&amp;DB_TYPE_OF_ACT=comJoin&amp;DTS_SUBDOM=ALL_ALL&amp;typeOfActStatus=COM_JOIN&amp;DTS_DOM=ALL&amp;type=advanced&amp;excConsLeg=true&amp;qid=1626697093388&amp;DTN=0392" TargetMode="External" Id="rId22" /><Relationship Type="http://schemas.openxmlformats.org/officeDocument/2006/relationships/hyperlink" Target="https://eur-lex.europa.eu/search.html?DTA=2021&amp;SUBDOM_INIT=ALL_ALL&amp;DB_TYPE_OF_ACT=comJoin&amp;DTS_SUBDOM=ALL_ALL&amp;typeOfActStatus=COM_JOIN&amp;DTS_DOM=ALL&amp;type=advanced&amp;excConsLeg=true&amp;qid=1629874381321&amp;DTN=0485" TargetMode="External" Id="rId27" /><Relationship Type="http://schemas.openxmlformats.org/officeDocument/2006/relationships/hyperlink" Target="https://secure.ipex.eu/IPEXL-WEB/dossier/document/COM20210348.do" TargetMode="External" Id="rId30" /><Relationship Type="http://schemas.openxmlformats.org/officeDocument/2006/relationships/header" Target="header2.xml" Id="rId35"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1574</ap:Words>
  <ap:Characters>13025</ap:Characters>
  <ap:DocSecurity>4</ap:DocSecurity>
  <ap:Lines>108</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2021-09-10T15:46:00.0000000Z</dcterms:created>
  <dcterms:modified xsi:type="dcterms:W3CDTF">2021-09-10T15:46:00.0000000Z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