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52" w:rsidP="003A5E52" w:rsidRDefault="003A5E52">
      <w:pPr>
        <w:outlineLvl w:val="0"/>
        <w:rPr>
          <w:rFonts w:ascii="Calibri" w:hAnsi="Calibri" w:cs="Calibri"/>
          <w:lang w:eastAsia="nl-NL"/>
        </w:rPr>
      </w:pPr>
      <w:r>
        <w:rPr>
          <w:rFonts w:ascii="Calibri" w:hAnsi="Calibri" w:cs="Calibri"/>
          <w:b/>
          <w:bCs/>
        </w:rPr>
        <w:t>Van:</w:t>
      </w:r>
      <w:r>
        <w:rPr>
          <w:rFonts w:ascii="Calibri" w:hAnsi="Calibri" w:cs="Calibri"/>
        </w:rPr>
        <w:t xml:space="preserve"> </w:t>
      </w:r>
      <w:r>
        <w:rPr>
          <w:rFonts w:ascii="Calibri" w:hAnsi="Calibri" w:cs="Calibri"/>
        </w:rPr>
        <w:t xml:space="preserve">Piet Assendorp </w:t>
      </w:r>
      <w:r>
        <w:rPr>
          <w:rFonts w:ascii="Calibri" w:hAnsi="Calibri" w:cs="Calibri"/>
        </w:rPr>
        <w:t xml:space="preserve"> </w:t>
      </w:r>
      <w:r>
        <w:rPr>
          <w:rFonts w:ascii="Calibri" w:hAnsi="Calibri" w:cs="Calibri"/>
        </w:rPr>
        <w:br/>
      </w:r>
      <w:r>
        <w:rPr>
          <w:rFonts w:ascii="Calibri" w:hAnsi="Calibri" w:cs="Calibri"/>
          <w:b/>
          <w:bCs/>
        </w:rPr>
        <w:t>Verzonden:</w:t>
      </w:r>
      <w:r>
        <w:rPr>
          <w:rFonts w:ascii="Calibri" w:hAnsi="Calibri" w:cs="Calibri"/>
        </w:rPr>
        <w:t xml:space="preserve"> woensdag 1 september 2021 15:26</w:t>
      </w:r>
      <w:r>
        <w:rPr>
          <w:rFonts w:ascii="Calibri" w:hAnsi="Calibri" w:cs="Calibri"/>
        </w:rPr>
        <w:br/>
      </w:r>
      <w:r>
        <w:rPr>
          <w:rFonts w:ascii="Calibri" w:hAnsi="Calibri" w:cs="Calibri"/>
          <w:b/>
          <w:bCs/>
        </w:rPr>
        <w:t>Aan:</w:t>
      </w:r>
      <w:r>
        <w:rPr>
          <w:rFonts w:ascii="Calibri" w:hAnsi="Calibri" w:cs="Calibri"/>
        </w:rPr>
        <w:t xml:space="preserve"> Commissie BiZa &lt;</w:t>
      </w:r>
      <w:hyperlink w:history="1" r:id="rId4">
        <w:r>
          <w:rPr>
            <w:rStyle w:val="Hyperlink"/>
            <w:rFonts w:ascii="Calibri" w:hAnsi="Calibri" w:cs="Calibri"/>
          </w:rPr>
          <w:t>cie.biza@tweedekamer.nl</w:t>
        </w:r>
      </w:hyperlink>
      <w:r>
        <w:rPr>
          <w:rFonts w:ascii="Calibri" w:hAnsi="Calibri" w:cs="Calibri"/>
        </w:rPr>
        <w:t>&gt;</w:t>
      </w:r>
      <w:r>
        <w:rPr>
          <w:rFonts w:ascii="Calibri" w:hAnsi="Calibri" w:cs="Calibri"/>
        </w:rPr>
        <w:br/>
      </w:r>
      <w:bookmarkStart w:name="_GoBack" w:id="0"/>
      <w:bookmarkEnd w:id="0"/>
      <w:r>
        <w:rPr>
          <w:rFonts w:ascii="Calibri" w:hAnsi="Calibri" w:cs="Calibri"/>
          <w:b/>
          <w:bCs/>
        </w:rPr>
        <w:t>Onderwerp:</w:t>
      </w:r>
      <w:r>
        <w:rPr>
          <w:rFonts w:ascii="Calibri" w:hAnsi="Calibri" w:cs="Calibri"/>
        </w:rPr>
        <w:t xml:space="preserve"> Rondetafelgesprek 15 september 2021 woonwagenbeleid</w:t>
      </w:r>
    </w:p>
    <w:p w:rsidR="003A5E52" w:rsidP="003A5E52" w:rsidRDefault="003A5E52">
      <w:pPr>
        <w:rPr>
          <w:rFonts w:ascii="Times New Roman" w:hAnsi="Times New Roman" w:cs="Times New Roman"/>
          <w:sz w:val="24"/>
          <w:szCs w:val="24"/>
        </w:rPr>
      </w:pPr>
    </w:p>
    <w:p w:rsidR="003A5E52" w:rsidP="003A5E52" w:rsidRDefault="003A5E52"/>
    <w:p w:rsidR="003A5E52" w:rsidP="003A5E52" w:rsidRDefault="003A5E52">
      <w:r>
        <w:t>Geachte commissieleden </w:t>
      </w:r>
    </w:p>
    <w:p w:rsidR="003A5E52" w:rsidP="003A5E52" w:rsidRDefault="003A5E52"/>
    <w:p w:rsidR="003A5E52" w:rsidP="003A5E52" w:rsidRDefault="003A5E52">
      <w:r>
        <w:t xml:space="preserve">Om te beginnen een compliment aan Binnenlandse zaken, de Ombudsman en de VNG voor de inspanning van de afgelopen jaren.  platform 31 is opgezet om gemeenten en woningcorporaties te informeren. Prima, dat gaat </w:t>
      </w:r>
      <w:proofErr w:type="spellStart"/>
      <w:r>
        <w:t>goed.Blijf</w:t>
      </w:r>
      <w:proofErr w:type="spellEnd"/>
      <w:r>
        <w:t xml:space="preserve"> vooral op deze weg doorgaan. </w:t>
      </w:r>
    </w:p>
    <w:p w:rsidR="003A5E52" w:rsidP="003A5E52" w:rsidRDefault="003A5E52"/>
    <w:p w:rsidR="003A5E52" w:rsidP="003A5E52" w:rsidRDefault="003A5E52">
      <w:r>
        <w:t>Helaas moeten we constateren dat de uitvoerende partijen, de gemeenten en woningcorporaties, het beleidskader in de praktijk niet serieus nemen, uitzonderingen daargelaten. </w:t>
      </w:r>
    </w:p>
    <w:p w:rsidR="003A5E52" w:rsidP="003A5E52" w:rsidRDefault="003A5E52">
      <w:pPr>
        <w:rPr>
          <w:color w:val="757575"/>
        </w:rPr>
      </w:pPr>
      <w:r>
        <w:rPr>
          <w:color w:val="757575"/>
        </w:rPr>
        <w:t>Een veel gehoord argument is dat het beleidskader geen wettelijke status heeft en er geen consequenties aan verbonden zijn als men niets doet.</w:t>
      </w:r>
    </w:p>
    <w:p w:rsidR="003A5E52" w:rsidP="003A5E52" w:rsidRDefault="003A5E52">
      <w:pPr>
        <w:rPr>
          <w:color w:val="757575"/>
        </w:rPr>
      </w:pPr>
      <w:r>
        <w:rPr>
          <w:color w:val="757575"/>
        </w:rPr>
        <w:t>Volgens VBWC bied het beleidskader handvaten voor reeds bestaande wet en regelgeving en zijn gemeenten en woningcorporaties verplicht om actie te ondernemen </w:t>
      </w:r>
    </w:p>
    <w:p w:rsidR="003A5E52" w:rsidP="003A5E52" w:rsidRDefault="003A5E52">
      <w:pPr>
        <w:rPr>
          <w:color w:val="757575"/>
        </w:rPr>
      </w:pPr>
    </w:p>
    <w:p w:rsidR="003A5E52" w:rsidP="003A5E52" w:rsidRDefault="003A5E52">
      <w:r>
        <w:t>Dat gemeenten het beleidskader niet serieus nemen zien we bijvoorbeeld terug bij de eerste en tweede meting over hoeveel standplaatsen er zijn. De minister geeft opdracht voor het tellen van de standplaatsen in Nederland. 25% Van de gemeenten gaven niet thuis bij de eerste meting in 2018.</w:t>
      </w:r>
    </w:p>
    <w:p w:rsidR="003A5E52" w:rsidP="003A5E52" w:rsidRDefault="003A5E52">
      <w:r>
        <w:t> In 2020 deed 34% niet mee met de meting.</w:t>
      </w:r>
    </w:p>
    <w:p w:rsidR="003A5E52" w:rsidP="003A5E52" w:rsidRDefault="003A5E52">
      <w:pPr>
        <w:rPr>
          <w:color w:val="757575"/>
        </w:rPr>
      </w:pPr>
      <w:r>
        <w:rPr>
          <w:color w:val="757575"/>
        </w:rPr>
        <w:t>Door middel van luchtfoto’s en via het kadaster heeft men toch een redelijk betrouwbaar beeld kunnen verkrijgen over de aantallen.</w:t>
      </w:r>
    </w:p>
    <w:p w:rsidR="003A5E52" w:rsidP="003A5E52" w:rsidRDefault="003A5E52">
      <w:r>
        <w:t xml:space="preserve">Maar het is toch de bedoeling als Minister </w:t>
      </w:r>
      <w:proofErr w:type="spellStart"/>
      <w:r>
        <w:t>Ollongren</w:t>
      </w:r>
      <w:proofErr w:type="spellEnd"/>
      <w:r>
        <w:t xml:space="preserve"> iets vraagt aan gemeenten en toegelaten instellingen dat zij  normaal antwoord hoort te krijgen? </w:t>
      </w:r>
    </w:p>
    <w:p w:rsidR="003A5E52" w:rsidP="003A5E52" w:rsidRDefault="003A5E52">
      <w:r>
        <w:t>Als de Minister al genegeerd wordt hoe denkt u hoe wij worden behandeld als we vragen om standplaatsen?</w:t>
      </w:r>
    </w:p>
    <w:p w:rsidR="003A5E52" w:rsidP="003A5E52" w:rsidRDefault="003A5E52"/>
    <w:p w:rsidR="003A5E52" w:rsidP="003A5E52" w:rsidRDefault="003A5E52">
      <w:r>
        <w:t>Nog een voorbeeld uit de praktijk laat zien dat er drie jaar na het uitkomen van het beleidskader er nog veel woonbehoefte onderzoeken moeten plaatsvinden.</w:t>
      </w:r>
    </w:p>
    <w:p w:rsidR="003A5E52" w:rsidP="003A5E52" w:rsidRDefault="003A5E52">
      <w:r>
        <w:t>Terwijl dit de basis is voor het standplaatsenbeleid binnen de gemeente.</w:t>
      </w:r>
    </w:p>
    <w:p w:rsidR="003A5E52" w:rsidP="003A5E52" w:rsidRDefault="003A5E52">
      <w:r>
        <w:t xml:space="preserve">Een taakstelling zou kunnen zijn om gemeenten te verplichten om die woonbehoefte onderzoeken te doen. Dan voelen de </w:t>
      </w:r>
      <w:proofErr w:type="spellStart"/>
      <w:r>
        <w:t>wwb</w:t>
      </w:r>
      <w:proofErr w:type="spellEnd"/>
      <w:r>
        <w:t xml:space="preserve"> zich gehoord en heeft het ministerie de juiste cijfers over het standplaatsen tekort.</w:t>
      </w:r>
    </w:p>
    <w:p w:rsidR="003A5E52" w:rsidP="003A5E52" w:rsidRDefault="003A5E52">
      <w:hyperlink w:tgtFrame="_blank" w:history="1" r:id="rId5">
        <w:r>
          <w:rPr>
            <w:rStyle w:val="Hyperlink"/>
          </w:rPr>
          <w:t>https://www.rijksoverheid.nl/binaries/rijksoverheid/documenten/rapporten/2021/03/31/herhaalmeting-woonwagenstandplaatsen-in-nederland/rapportage-herhaalmeting-bzk-woonwagenstandplaatsen-2021.pdf</w:t>
        </w:r>
      </w:hyperlink>
    </w:p>
    <w:p w:rsidR="003A5E52" w:rsidP="003A5E52" w:rsidRDefault="003A5E52"/>
    <w:p w:rsidR="003A5E52" w:rsidP="003A5E52" w:rsidRDefault="003A5E52">
      <w:r>
        <w:t>Wat op het eerste gezicht goed nieuws lijkt, is het regionaal samenwerkingsverband van N-</w:t>
      </w:r>
      <w:proofErr w:type="spellStart"/>
      <w:r>
        <w:t>OBrabant</w:t>
      </w:r>
      <w:proofErr w:type="spellEnd"/>
      <w:r>
        <w:t>. Door die samenwerking komen er in de regio 26 standplaatsen bij. VBWN is hier zijdelings bij betrokken geweest door het advies wat wij hebben samengesteld na het uitkomen van het beleidskader </w:t>
      </w:r>
    </w:p>
    <w:p w:rsidR="003A5E52" w:rsidP="003A5E52" w:rsidRDefault="003A5E52"/>
    <w:p w:rsidR="003A5E52" w:rsidP="003A5E52" w:rsidRDefault="003A5E52">
      <w:hyperlink w:tgtFrame="_blank" w:history="1" r:id="rId6">
        <w:r>
          <w:rPr>
            <w:rStyle w:val="Hyperlink"/>
          </w:rPr>
          <w:t>https://www.platform31.nl/uploads/media_item/media_item/134/38/Advies_Gemeentelijk_woonwagen_en_standplaatsenbeleid_VBWN-1579099640.pdf</w:t>
        </w:r>
      </w:hyperlink>
    </w:p>
    <w:p w:rsidR="003A5E52" w:rsidP="003A5E52" w:rsidRDefault="003A5E52"/>
    <w:p w:rsidR="003A5E52" w:rsidP="003A5E52" w:rsidRDefault="003A5E52">
      <w:r>
        <w:t>Uit navraag blijkt echter dat van de 26 nieuwe standplaatsen er 24 standplaatsen al bestonden, maar waren opgeheven ten tijde van het uitsterfbeleid.</w:t>
      </w:r>
    </w:p>
    <w:p w:rsidR="003A5E52" w:rsidP="003A5E52" w:rsidRDefault="003A5E52">
      <w:r>
        <w:t>Er is ontzettend veel werk verricht met het handelingsperspectief van N-O Brabant maar als dat maar 2 nieuwe standplaatsen oplevert dan lijkt het verdacht veel op het traineren van het toch al moeizame proces.</w:t>
      </w:r>
    </w:p>
    <w:p w:rsidR="003A5E52" w:rsidP="003A5E52" w:rsidRDefault="003A5E52">
      <w:r>
        <w:t>Onze vrees is dan ook dat veel aangekondigde nieuwe standplaatsen in de tweede herhaalmeting ook voor een groot deel standplaatsen zijn die ooit al hebben bestaan en nu weer opnieuw worden verhuurt.</w:t>
      </w:r>
    </w:p>
    <w:p w:rsidR="003A5E52" w:rsidP="003A5E52" w:rsidRDefault="003A5E52"/>
    <w:p w:rsidR="003A5E52" w:rsidP="003A5E52" w:rsidRDefault="003A5E52">
      <w:r>
        <w:t>Daarvan hebben we er in 2018 juist op aangedrongen om die vermoedelijk honderden opgeheven standplaatsen als eerste te verhuren/ verkopen.</w:t>
      </w:r>
    </w:p>
    <w:p w:rsidR="003A5E52" w:rsidP="003A5E52" w:rsidRDefault="003A5E52">
      <w:r>
        <w:t>Daarmee had het rijk een duidelijk signaal afgegeven dat men het beleidskader serieus dient te nemen.</w:t>
      </w:r>
    </w:p>
    <w:p w:rsidR="003A5E52" w:rsidP="003A5E52" w:rsidRDefault="003A5E52">
      <w:r>
        <w:t>De gemeente moet ze nu niet gaan oormerken als nieuwe standplaatsen.</w:t>
      </w:r>
    </w:p>
    <w:p w:rsidR="003A5E52" w:rsidP="003A5E52" w:rsidRDefault="003A5E52"/>
    <w:p w:rsidR="003A5E52" w:rsidP="003A5E52" w:rsidRDefault="003A5E52">
      <w:r>
        <w:t>VBWN heeft in 2018 aan het ministerie voorgesteld om over te gaan op een taakstelling.</w:t>
      </w:r>
    </w:p>
    <w:p w:rsidR="003A5E52" w:rsidP="003A5E52" w:rsidRDefault="003A5E52">
      <w:r>
        <w:t>Dat vond men toen nog te kort na het uitkomen van het Beleidskader. Inmiddels zijn we drie jaar verder. De vereniging vraagt het nog een keer aan het Ministerie,   “Kunnen we ook een taakstelling krijgen zoals die er is voor bijvoorbeeld vergunning houders?”. </w:t>
      </w:r>
    </w:p>
    <w:p w:rsidR="003A5E52" w:rsidP="003A5E52" w:rsidRDefault="003A5E52"/>
    <w:p w:rsidR="003A5E52" w:rsidP="003A5E52" w:rsidRDefault="003A5E52">
      <w:hyperlink w:tgtFrame="_blank" w:history="1" r:id="rId7">
        <w:r>
          <w:rPr>
            <w:rStyle w:val="Hyperlink"/>
          </w:rPr>
          <w:t>https://www.rijksoverheid.nl/binaries/rijksoverheid/documenten/brieven/2021/03/29/taakstelling-huisvesting-vergunninghouders-tweede-helft-2021/Taakstelling+huisvesting+vergunninghouders+tweede+helft+2021.pdf</w:t>
        </w:r>
      </w:hyperlink>
    </w:p>
    <w:p w:rsidR="003A5E52" w:rsidP="003A5E52" w:rsidRDefault="003A5E52">
      <w:r>
        <w:t>Gelet op de woningnood van vele Nederlanders lijkt de vraag om een verplichting oneerlijk tegenover vele mensen met woningnood.</w:t>
      </w:r>
    </w:p>
    <w:p w:rsidR="003A5E52" w:rsidP="003A5E52" w:rsidRDefault="003A5E52">
      <w:r>
        <w:t>Gezien onze historie vinden wij dit toch gerechtvaardigd. Vanaf het ontstaan van de woonwagencultuur in 1870 is elk beleid onder dwang aan ons opgelegd.</w:t>
      </w:r>
    </w:p>
    <w:p w:rsidR="003A5E52" w:rsidP="003A5E52" w:rsidRDefault="003A5E52">
      <w:r>
        <w:t>Twee woonwagenwetten, deportatie, concentratie,(en daarmee het einde van ons reizend bestaan) deconcentratie en een uitsterfbeleid. We hebben genoeg voor onze kiezen gehad! Dwing nu de gemeenten en woningcorporaties maar eens tot actie. </w:t>
      </w:r>
    </w:p>
    <w:p w:rsidR="003A5E52" w:rsidP="003A5E52" w:rsidRDefault="003A5E52"/>
    <w:p w:rsidR="003A5E52" w:rsidP="003A5E52" w:rsidRDefault="003A5E52">
      <w:pPr>
        <w:rPr>
          <w:color w:val="757575"/>
        </w:rPr>
      </w:pPr>
      <w:r>
        <w:rPr>
          <w:color w:val="757575"/>
        </w:rPr>
        <w:lastRenderedPageBreak/>
        <w:t>De problemen waar we heden ten dage mee kampen waren al voorzien nog voor de intrekking van de woonwagenwet in 1999.</w:t>
      </w:r>
    </w:p>
    <w:p w:rsidR="003A5E52" w:rsidP="003A5E52" w:rsidRDefault="003A5E52">
      <w:r>
        <w:t>Maar ook de oplossing voor de te verwachten problemen kwamen in 1997 aan bod in het rapport, afschaffing wet op woonwagens en woonschepen.</w:t>
      </w:r>
    </w:p>
    <w:p w:rsidR="003A5E52" w:rsidP="003A5E52" w:rsidRDefault="003A5E52"/>
    <w:p w:rsidR="003A5E52" w:rsidP="003A5E52" w:rsidRDefault="003A5E52">
      <w:r>
        <w:t>begin citaat:</w:t>
      </w:r>
    </w:p>
    <w:p w:rsidR="003A5E52" w:rsidP="003A5E52" w:rsidRDefault="003A5E52">
      <w:pPr>
        <w:rPr>
          <w:color w:val="757575"/>
        </w:rPr>
      </w:pPr>
      <w:r>
        <w:rPr>
          <w:color w:val="757575"/>
          <w:bdr w:val="none" w:color="auto" w:sz="0" w:space="0" w:frame="1"/>
        </w:rPr>
        <w:t>De Initiatiefgroep doet tot slot een aantal aanbevelingen, waarvan de belangrijkste (Vaste Commissie V.R.O.M, 25 juni 1997, p. 4-5).</w:t>
      </w:r>
    </w:p>
    <w:p w:rsidR="003A5E52" w:rsidP="003A5E52" w:rsidRDefault="003A5E52">
      <w:pPr>
        <w:rPr>
          <w:color w:val="757575"/>
        </w:rPr>
      </w:pPr>
    </w:p>
    <w:p w:rsidR="003A5E52" w:rsidP="003A5E52" w:rsidRDefault="003A5E52">
      <w:pPr>
        <w:rPr>
          <w:color w:val="757575"/>
        </w:rPr>
      </w:pPr>
      <w:r>
        <w:rPr>
          <w:color w:val="757575"/>
        </w:rPr>
        <w:t>− Gemeenten een verplichting opleggen om voldoende standplaatsen aan te leggen. Een instrument zou kunnen zijn een Algemene maatregel van Bestuur.</w:t>
      </w:r>
    </w:p>
    <w:p w:rsidR="003A5E52" w:rsidP="003A5E52" w:rsidRDefault="003A5E52">
      <w:pPr>
        <w:rPr>
          <w:color w:val="757575"/>
        </w:rPr>
      </w:pPr>
      <w:r>
        <w:rPr>
          <w:color w:val="757575"/>
        </w:rPr>
        <w:t>− Omdat gemeenten in het huidige voorstel niet verplicht zijn tot het stellen van regels voor de distributie van standplaatsen met voorrang aan woonwagenbewoners, luidt de aanbeveling om gemeenten met een standplaatsentekort te verplichten een huisvestingsverordening te hebben voor de distributie van standplaatsen;</w:t>
      </w:r>
    </w:p>
    <w:p w:rsidR="003A5E52" w:rsidP="003A5E52" w:rsidRDefault="003A5E52">
      <w:pPr>
        <w:rPr>
          <w:color w:val="757575"/>
        </w:rPr>
      </w:pPr>
      <w:r>
        <w:rPr>
          <w:color w:val="757575"/>
        </w:rPr>
        <w:t>− De gemeenten te verplichten om bij het bepalen van voorrangsregels rekening te houden met familieverbanden;</w:t>
      </w:r>
    </w:p>
    <w:p w:rsidR="003A5E52" w:rsidP="003A5E52" w:rsidRDefault="003A5E52">
      <w:pPr>
        <w:rPr>
          <w:color w:val="757575"/>
        </w:rPr>
      </w:pPr>
      <w:r>
        <w:rPr>
          <w:color w:val="757575"/>
        </w:rPr>
        <w:t>− De inspectie volkshuisvesting van de provincie een meer actieve rol geven. Zolang de 2% norm niet is gehaald moeten de provincies een instrument hebben om gemeenten en corporaties te verplichten tot aanleg van standplaatsen en het aanschaffen van woonwagens.</w:t>
      </w:r>
    </w:p>
    <w:p w:rsidR="003A5E52" w:rsidP="003A5E52" w:rsidRDefault="003A5E52">
      <w:pPr>
        <w:rPr>
          <w:color w:val="757575"/>
        </w:rPr>
      </w:pPr>
      <w:r>
        <w:rPr>
          <w:color w:val="757575"/>
        </w:rPr>
        <w:t>− Een (geoormerkt) budget beschikbaar stellen zolang het tekort aan standplaatsen en woonwagens nog boven de 2% norm ligt. Einde citaat</w:t>
      </w:r>
    </w:p>
    <w:p w:rsidR="003A5E52" w:rsidP="003A5E52" w:rsidRDefault="003A5E52"/>
    <w:p w:rsidR="003A5E52" w:rsidP="003A5E52" w:rsidRDefault="003A5E52">
      <w:hyperlink w:tgtFrame="_blank" w:history="1" r:id="rId8">
        <w:r>
          <w:rPr>
            <w:rStyle w:val="Hyperlink"/>
          </w:rPr>
          <w:t>https://thesis.eur.nl/pub/3644/200507-113427-scriptie-eindversie.pdf</w:t>
        </w:r>
      </w:hyperlink>
    </w:p>
    <w:p w:rsidR="003A5E52" w:rsidP="003A5E52" w:rsidRDefault="003A5E52">
      <w:pPr>
        <w:rPr>
          <w:color w:val="757575"/>
        </w:rPr>
      </w:pPr>
      <w:r>
        <w:rPr>
          <w:color w:val="757575"/>
        </w:rPr>
        <w:t>Dit in het kort onze mening over het standplaatsen beleid van de afgelopen drie jaar.</w:t>
      </w:r>
    </w:p>
    <w:p w:rsidR="003A5E52" w:rsidP="003A5E52" w:rsidRDefault="003A5E52"/>
    <w:p w:rsidR="003A5E52" w:rsidP="003A5E52" w:rsidRDefault="003A5E52">
      <w:r>
        <w:t>Verder zijn er nog problemen rondom roerende en onroerende zaken en daarmee eventuele hypotheken. Het is vreemd dat we WOZ belasting betalen maar niet, nauwelijks of moeizaam een hypotheek kunnen afsluiten omdat we in woonwagens wonen.</w:t>
      </w:r>
    </w:p>
    <w:p w:rsidR="003A5E52" w:rsidP="003A5E52" w:rsidRDefault="003A5E52">
      <w:r>
        <w:t> Ook zijn er problemen met inboedel en opstalverzekeringen. De enige partij waar we op beide gebieden iets mee kunnen is de Rabobank. Maar voor hoelang? Bij honderden woonwagenbewoners is de verzekering al eens stopgezet omdat deze niet rendabel zou zijn voor de verzekeraar. </w:t>
      </w:r>
    </w:p>
    <w:p w:rsidR="003A5E52" w:rsidP="003A5E52" w:rsidRDefault="003A5E52">
      <w:hyperlink w:tgtFrame="_blank" w:history="1" r:id="rId9">
        <w:r>
          <w:rPr>
            <w:rStyle w:val="Hyperlink"/>
          </w:rPr>
          <w:t>https://www.consumentenbond.nl/opstalverzekering/woonwagens-en-opstalverzekering</w:t>
        </w:r>
      </w:hyperlink>
    </w:p>
    <w:p w:rsidR="003A5E52" w:rsidP="003A5E52" w:rsidRDefault="003A5E52"/>
    <w:p w:rsidR="003A5E52" w:rsidP="003A5E52" w:rsidRDefault="003A5E52">
      <w:r>
        <w:t>Nogmaals over de Rijksoverheid zijn we best tevreden, met dit rondetafelgesprek tonen ze goede wil en zoeken de dialoog op met betrokken partijen. Ook financieel willen ze wat voor ons doen. Het is wel in een brede opzet gedaan, </w:t>
      </w:r>
    </w:p>
    <w:p w:rsidR="003A5E52" w:rsidP="003A5E52" w:rsidRDefault="003A5E52">
      <w:r>
        <w:t xml:space="preserve">46 miljoen voor meerdere </w:t>
      </w:r>
      <w:proofErr w:type="spellStart"/>
      <w:r>
        <w:t>aandachtsgroepen</w:t>
      </w:r>
      <w:proofErr w:type="spellEnd"/>
      <w:r>
        <w:t xml:space="preserve">. Bij deze regeling worden </w:t>
      </w:r>
      <w:proofErr w:type="spellStart"/>
      <w:r>
        <w:t>o.a</w:t>
      </w:r>
      <w:proofErr w:type="spellEnd"/>
      <w:r>
        <w:t xml:space="preserve"> de vergunninghouders genoemd voor hen geldt dus al een taakstelling.</w:t>
      </w:r>
    </w:p>
    <w:p w:rsidR="003A5E52" w:rsidP="003A5E52" w:rsidRDefault="003A5E52"/>
    <w:p w:rsidR="003A5E52" w:rsidP="003A5E52" w:rsidRDefault="003A5E52">
      <w:hyperlink w:tgtFrame="_blank" w:history="1" r:id="rId10">
        <w:r>
          <w:rPr>
            <w:rStyle w:val="Hyperlink"/>
          </w:rPr>
          <w:t>https://www.internetconsultatie.nl/regelinghuisvestingaandachtsgroepen2021/document/7252</w:t>
        </w:r>
      </w:hyperlink>
    </w:p>
    <w:p w:rsidR="003A5E52" w:rsidP="003A5E52" w:rsidRDefault="003A5E52">
      <w:r>
        <w:t>Het feit blijft dat de Rijksoverheid eindverantwoordelijk blijft voor het beleid.</w:t>
      </w:r>
    </w:p>
    <w:p w:rsidR="003A5E52" w:rsidP="003A5E52" w:rsidRDefault="003A5E52">
      <w:r>
        <w:t xml:space="preserve">Dit is de inbreng van VBWN. </w:t>
      </w:r>
    </w:p>
    <w:p w:rsidR="003A5E52" w:rsidP="003A5E52" w:rsidRDefault="003A5E52"/>
    <w:p w:rsidR="003A5E52" w:rsidP="003A5E52" w:rsidRDefault="003A5E52">
      <w:r>
        <w:t>We zien uit om u te ontmoeten 15 september.</w:t>
      </w:r>
    </w:p>
    <w:p w:rsidR="003A5E52" w:rsidP="003A5E52" w:rsidRDefault="003A5E52">
      <w:pPr>
        <w:rPr>
          <w:color w:val="757575"/>
        </w:rPr>
      </w:pPr>
    </w:p>
    <w:p w:rsidR="003A5E52" w:rsidP="003A5E52" w:rsidRDefault="003A5E52">
      <w:pPr>
        <w:rPr>
          <w:color w:val="757575"/>
        </w:rPr>
      </w:pPr>
      <w:r>
        <w:rPr>
          <w:color w:val="757575"/>
        </w:rPr>
        <w:t>Vriendelijke groet </w:t>
      </w:r>
    </w:p>
    <w:p w:rsidR="003A5E52" w:rsidP="003A5E52" w:rsidRDefault="003A5E52">
      <w:pPr>
        <w:rPr>
          <w:color w:val="757575"/>
        </w:rPr>
      </w:pPr>
      <w:r>
        <w:rPr>
          <w:color w:val="757575"/>
        </w:rPr>
        <w:t>Piet van Assendorp </w:t>
      </w:r>
    </w:p>
    <w:p w:rsidR="003A5E52" w:rsidP="003A5E52" w:rsidRDefault="003A5E52">
      <w:r>
        <w:t>Voorzitter Vereniging Behoud Woonwagencultuur Nederland </w:t>
      </w:r>
    </w:p>
    <w:p w:rsidR="003A5E52" w:rsidP="003A5E52" w:rsidRDefault="003A5E52"/>
    <w:p w:rsidRPr="003A5E52" w:rsidR="001360D7" w:rsidP="003A5E52" w:rsidRDefault="001360D7"/>
    <w:sectPr w:rsidRPr="003A5E52" w:rsidR="001360D7" w:rsidSect="003A5E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52"/>
    <w:rsid w:val="001360D7"/>
    <w:rsid w:val="00165312"/>
    <w:rsid w:val="003A5E52"/>
    <w:rsid w:val="006E0ED5"/>
    <w:rsid w:val="00865629"/>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BAA1"/>
  <w15:chartTrackingRefBased/>
  <w15:docId w15:val="{269AFB0A-C6E2-422D-A1A5-770B3320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3A5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is.eur.nl/pub/3644/200507-113427-scriptie-eindversie.pdf" TargetMode="External"/><Relationship Id="rId3" Type="http://schemas.openxmlformats.org/officeDocument/2006/relationships/webSettings" Target="webSettings.xml"/><Relationship Id="rId7" Type="http://schemas.openxmlformats.org/officeDocument/2006/relationships/hyperlink" Target="https://www.rijksoverheid.nl/binaries/rijksoverheid/documenten/brieven/2021/03/29/taakstelling-huisvesting-vergunninghouders-tweede-helft-2021/Taakstelling+huisvesting+vergunninghouders+tweede+helft+202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form31.nl/uploads/media_item/media_item/134/38/Advies_Gemeentelijk_woonwagen_en_standplaatsenbeleid_VBWN-1579099640.pdf" TargetMode="External"/><Relationship Id="rId11" Type="http://schemas.openxmlformats.org/officeDocument/2006/relationships/fontTable" Target="fontTable.xml"/><Relationship Id="rId5" Type="http://schemas.openxmlformats.org/officeDocument/2006/relationships/hyperlink" Target="https://www.rijksoverheid.nl/binaries/rijksoverheid/documenten/rapporten/2021/03/31/herhaalmeting-woonwagenstandplaatsen-in-nederland/rapportage-herhaalmeting-bzk-woonwagenstandplaatsen-2021.pdf" TargetMode="External"/><Relationship Id="rId10" Type="http://schemas.openxmlformats.org/officeDocument/2006/relationships/hyperlink" Target="https://www.internetconsultatie.nl/regelinghuisvestingaandachtsgroepen2021/document/7252" TargetMode="External"/><Relationship Id="rId4" Type="http://schemas.openxmlformats.org/officeDocument/2006/relationships/hyperlink" Target="mailto:cie.biza@tweedekamer.nl" TargetMode="External"/><Relationship Id="rId9" Type="http://schemas.openxmlformats.org/officeDocument/2006/relationships/hyperlink" Target="https://www.consumentenbond.nl/opstalverzekering/woonwagens-en-opstalverzeke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1306</ap:Words>
  <ap:Characters>7188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2021-09-09T09:38:00.0000000Z</dcterms:created>
  <dcterms:modified xsi:type="dcterms:W3CDTF">2021-09-09T09:40:00.0000000Z</dcterms:modified>
  <version/>
  <category/>
</coreProperties>
</file>