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astertabel4-Accent3"/>
        <w:tblW w:w="8500" w:type="dxa"/>
        <w:tblLook w:val="04A0" w:firstRow="1" w:lastRow="0" w:firstColumn="1" w:lastColumn="0" w:noHBand="0" w:noVBand="1"/>
      </w:tblPr>
      <w:tblGrid>
        <w:gridCol w:w="3992"/>
        <w:gridCol w:w="4508"/>
      </w:tblGrid>
      <w:tr w:rsidR="000B2E15" w:rsidTr="00C10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:rsidR="000B2E15" w:rsidP="00C1091E" w:rsidRDefault="000B2E15">
            <w:pPr>
              <w:spacing w:line="280" w:lineRule="exact"/>
            </w:pPr>
            <w:r w:rsidRPr="00013893">
              <w:t>Dossiers commissie OCW met digitaliseringscomponent</w:t>
            </w:r>
          </w:p>
        </w:tc>
        <w:tc>
          <w:tcPr>
            <w:tcW w:w="4508" w:type="dxa"/>
          </w:tcPr>
          <w:p w:rsidR="000B2E15" w:rsidP="00C1091E" w:rsidRDefault="007341AD">
            <w:pPr>
              <w:spacing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Besluit van de commissie</w:t>
            </w:r>
            <w:bookmarkStart w:name="_GoBack" w:id="0"/>
            <w:bookmarkEnd w:id="0"/>
          </w:p>
        </w:tc>
      </w:tr>
      <w:tr w:rsidR="000B2E15" w:rsidTr="00C10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:rsidRPr="00013893" w:rsidR="000B2E15" w:rsidP="00C1091E" w:rsidRDefault="000B2E15">
            <w:r w:rsidRPr="00013893">
              <w:t>Digitalisering en AVG</w:t>
            </w:r>
            <w:r w:rsidRPr="00013893">
              <w:br/>
            </w:r>
          </w:p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  <w:rPr>
                <w:b w:val="0"/>
              </w:rPr>
            </w:pPr>
            <w:r w:rsidRPr="00013893">
              <w:rPr>
                <w:b w:val="0"/>
              </w:rPr>
              <w:t xml:space="preserve">Advies Autoriteit Persoonsgegevens inzake Google G Suite </w:t>
            </w:r>
            <w:proofErr w:type="spellStart"/>
            <w:r w:rsidRPr="00013893">
              <w:rPr>
                <w:b w:val="0"/>
              </w:rPr>
              <w:t>for</w:t>
            </w:r>
            <w:proofErr w:type="spellEnd"/>
            <w:r w:rsidRPr="00013893">
              <w:rPr>
                <w:b w:val="0"/>
              </w:rPr>
              <w:t xml:space="preserve"> </w:t>
            </w:r>
            <w:proofErr w:type="spellStart"/>
            <w:r w:rsidRPr="00013893">
              <w:rPr>
                <w:b w:val="0"/>
              </w:rPr>
              <w:t>Education</w:t>
            </w:r>
            <w:proofErr w:type="spellEnd"/>
            <w:r w:rsidRPr="00013893">
              <w:rPr>
                <w:b w:val="0"/>
              </w:rPr>
              <w:t xml:space="preserve"> (Kamerstuk </w:t>
            </w:r>
            <w:hyperlink w:history="1" r:id="rId7">
              <w:r w:rsidRPr="00013893">
                <w:rPr>
                  <w:rStyle w:val="Hyperlink"/>
                  <w:b w:val="0"/>
                  <w:bCs w:val="0"/>
                </w:rPr>
                <w:t>32034-40</w:t>
              </w:r>
            </w:hyperlink>
            <w:r w:rsidRPr="00013893">
              <w:rPr>
                <w:b w:val="0"/>
              </w:rPr>
              <w:t>)</w:t>
            </w:r>
            <w:r w:rsidRPr="00013893">
              <w:rPr>
                <w:b w:val="0"/>
              </w:rPr>
              <w:br/>
            </w:r>
          </w:p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</w:pPr>
            <w:r w:rsidRPr="00013893">
              <w:rPr>
                <w:b w:val="0"/>
              </w:rPr>
              <w:t xml:space="preserve">Reactie op de uitvoering van de motie van de leden Kwint en Van </w:t>
            </w:r>
            <w:proofErr w:type="spellStart"/>
            <w:r w:rsidRPr="00013893">
              <w:rPr>
                <w:b w:val="0"/>
              </w:rPr>
              <w:t>Meenen</w:t>
            </w:r>
            <w:proofErr w:type="spellEnd"/>
            <w:r w:rsidRPr="00013893">
              <w:rPr>
                <w:b w:val="0"/>
              </w:rPr>
              <w:t xml:space="preserve"> over het uitvoeren van een DPIA op internationale technologiebedrijven (Kamerstuk </w:t>
            </w:r>
            <w:hyperlink w:history="1" r:id="rId8">
              <w:r w:rsidRPr="00013893">
                <w:rPr>
                  <w:rStyle w:val="Hyperlink"/>
                  <w:b w:val="0"/>
                  <w:bCs w:val="0"/>
                </w:rPr>
                <w:t>32034-39</w:t>
              </w:r>
            </w:hyperlink>
            <w:r w:rsidRPr="00013893">
              <w:rPr>
                <w:b w:val="0"/>
              </w:rPr>
              <w:t xml:space="preserve">) </w:t>
            </w:r>
          </w:p>
          <w:p w:rsidRPr="00013893" w:rsidR="000B2E15" w:rsidP="00C1091E" w:rsidRDefault="000B2E15">
            <w:pPr>
              <w:pStyle w:val="Lijstalinea"/>
            </w:pPr>
          </w:p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</w:pPr>
            <w:proofErr w:type="spellStart"/>
            <w:r w:rsidRPr="00013893">
              <w:rPr>
                <w:b w:val="0"/>
              </w:rPr>
              <w:t>Ransomware</w:t>
            </w:r>
            <w:proofErr w:type="spellEnd"/>
            <w:r w:rsidRPr="00013893">
              <w:rPr>
                <w:b w:val="0"/>
              </w:rPr>
              <w:t xml:space="preserve">-aanval op de Nederlandse Organisatie voor Wetenschappelijk Onderzoek (NWO) (Kamerstuk </w:t>
            </w:r>
            <w:hyperlink w:history="1" r:id="rId9">
              <w:r w:rsidRPr="00013893">
                <w:rPr>
                  <w:rStyle w:val="Hyperlink"/>
                  <w:b w:val="0"/>
                  <w:bCs w:val="0"/>
                </w:rPr>
                <w:t>26643-744</w:t>
              </w:r>
            </w:hyperlink>
            <w:r w:rsidRPr="00013893">
              <w:rPr>
                <w:b w:val="0"/>
              </w:rPr>
              <w:t>)</w:t>
            </w:r>
          </w:p>
          <w:p w:rsidRPr="00013893" w:rsidR="000B2E15" w:rsidP="00C1091E" w:rsidRDefault="000B2E15">
            <w:pPr>
              <w:pStyle w:val="Lijstalinea"/>
            </w:pPr>
          </w:p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</w:pPr>
            <w:proofErr w:type="spellStart"/>
            <w:r w:rsidRPr="00013893">
              <w:rPr>
                <w:b w:val="0"/>
              </w:rPr>
              <w:t>Datalek</w:t>
            </w:r>
            <w:proofErr w:type="spellEnd"/>
            <w:r w:rsidRPr="00013893">
              <w:rPr>
                <w:b w:val="0"/>
              </w:rPr>
              <w:t xml:space="preserve"> bij de uitvoering van diplomawaardering als onderdeel van het inburgeringsstelsel (Kamerstuk </w:t>
            </w:r>
            <w:hyperlink w:history="1" r:id="rId10">
              <w:r w:rsidRPr="00013893">
                <w:rPr>
                  <w:rStyle w:val="Hyperlink"/>
                  <w:b w:val="0"/>
                  <w:bCs w:val="0"/>
                </w:rPr>
                <w:t>32761-179</w:t>
              </w:r>
            </w:hyperlink>
            <w:r w:rsidRPr="00013893">
              <w:rPr>
                <w:b w:val="0"/>
              </w:rPr>
              <w:t>)</w:t>
            </w:r>
          </w:p>
          <w:p w:rsidRPr="00013893" w:rsidR="000B2E15" w:rsidP="00C1091E" w:rsidRDefault="000B2E15">
            <w:pPr>
              <w:pStyle w:val="Lijstalinea"/>
            </w:pPr>
          </w:p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  <w:rPr>
                <w:b w:val="0"/>
              </w:rPr>
            </w:pPr>
            <w:r w:rsidRPr="00013893">
              <w:rPr>
                <w:b w:val="0"/>
              </w:rPr>
              <w:t>Pleidooi ECP</w:t>
            </w:r>
            <w:r>
              <w:rPr>
                <w:rStyle w:val="Voetnootmarkering"/>
                <w:b w:val="0"/>
              </w:rPr>
              <w:footnoteReference w:id="1"/>
            </w:r>
            <w:r w:rsidRPr="00013893">
              <w:rPr>
                <w:b w:val="0"/>
              </w:rPr>
              <w:t xml:space="preserve"> en meerdere organisaties voor versnelde invoering digitale geletterdheid in het onderwijs (document </w:t>
            </w:r>
            <w:hyperlink w:history="1" r:id="rId11">
              <w:r w:rsidRPr="00013893">
                <w:rPr>
                  <w:rStyle w:val="Hyperlink"/>
                  <w:b w:val="0"/>
                  <w:bCs w:val="0"/>
                </w:rPr>
                <w:t>2021D25649</w:t>
              </w:r>
            </w:hyperlink>
            <w:r w:rsidRPr="00013893">
              <w:rPr>
                <w:b w:val="0"/>
              </w:rPr>
              <w:t>)</w:t>
            </w:r>
          </w:p>
          <w:p w:rsidR="000B2E15" w:rsidP="00C1091E" w:rsidRDefault="000B2E15">
            <w:pPr>
              <w:spacing w:line="280" w:lineRule="exact"/>
            </w:pPr>
          </w:p>
        </w:tc>
        <w:tc>
          <w:tcPr>
            <w:tcW w:w="4508" w:type="dxa"/>
          </w:tcPr>
          <w:p w:rsidRPr="00203F46" w:rsidR="000B2E15" w:rsidP="00C1091E" w:rsidRDefault="000B2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</w:r>
          </w:p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3893">
              <w:t xml:space="preserve">Commissie DiZa </w:t>
            </w:r>
            <w:r>
              <w:t xml:space="preserve">is vorige pv </w:t>
            </w:r>
            <w:r w:rsidRPr="00013893">
              <w:t xml:space="preserve">volgcommissie </w:t>
            </w:r>
            <w:r>
              <w:t>gemaakt</w:t>
            </w:r>
            <w:r w:rsidRPr="00013893">
              <w:t xml:space="preserve">, geen </w:t>
            </w:r>
            <w:proofErr w:type="spellStart"/>
            <w:r w:rsidRPr="00013893">
              <w:t>commissieoverstijgend</w:t>
            </w:r>
            <w:proofErr w:type="spellEnd"/>
            <w:r w:rsidRPr="00013893">
              <w:t xml:space="preserve"> onderwerp, maar wel raakvlakken (grote </w:t>
            </w:r>
            <w:proofErr w:type="spellStart"/>
            <w:r w:rsidRPr="00013893">
              <w:t>techbedrijven</w:t>
            </w:r>
            <w:proofErr w:type="spellEnd"/>
            <w:r w:rsidRPr="00013893">
              <w:t>)</w:t>
            </w:r>
          </w:p>
          <w:p w:rsidRPr="00013893" w:rsidR="000B2E15" w:rsidP="00C1091E" w:rsidRDefault="000B2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Pr="00203F46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3893">
              <w:t xml:space="preserve">Commissie DiZa volgcommissie maken, geen </w:t>
            </w:r>
            <w:proofErr w:type="spellStart"/>
            <w:r w:rsidRPr="00013893">
              <w:t>commissieoverstijgend</w:t>
            </w:r>
            <w:proofErr w:type="spellEnd"/>
            <w:r w:rsidRPr="00013893">
              <w:t xml:space="preserve"> onderwerp, maar wel raakvlakken (</w:t>
            </w:r>
            <w:proofErr w:type="spellStart"/>
            <w:r w:rsidRPr="00013893">
              <w:t>DPIA’s</w:t>
            </w:r>
            <w:proofErr w:type="spellEnd"/>
            <w:r w:rsidRPr="00013893">
              <w:t xml:space="preserve"> en internationale </w:t>
            </w:r>
            <w:proofErr w:type="spellStart"/>
            <w:r w:rsidRPr="00013893">
              <w:t>techbedrijven</w:t>
            </w:r>
            <w:proofErr w:type="spellEnd"/>
            <w:r w:rsidRPr="00013893">
              <w:t>)</w:t>
            </w:r>
          </w:p>
          <w:p w:rsidRPr="00013893" w:rsidR="000B2E15" w:rsidP="00C1091E" w:rsidRDefault="000B2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3893">
              <w:t xml:space="preserve">Commissie DiZa volgcommissie maken, geen </w:t>
            </w:r>
            <w:proofErr w:type="spellStart"/>
            <w:r w:rsidRPr="00013893">
              <w:t>commissieoverstijgend</w:t>
            </w:r>
            <w:proofErr w:type="spellEnd"/>
            <w:r w:rsidRPr="00013893">
              <w:t xml:space="preserve"> onderwerp, maar wel raakvlakken (</w:t>
            </w:r>
            <w:proofErr w:type="spellStart"/>
            <w:r w:rsidRPr="00013893">
              <w:t>ransomware</w:t>
            </w:r>
            <w:proofErr w:type="spellEnd"/>
            <w:r w:rsidRPr="00013893">
              <w:t>-aanvallen)</w:t>
            </w:r>
            <w:r>
              <w:br/>
            </w:r>
            <w:r w:rsidRPr="00013893">
              <w:br/>
            </w:r>
          </w:p>
          <w:p w:rsidRPr="00203F46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3893">
              <w:t xml:space="preserve">Commissie DiZa volgcommissie maken, geen </w:t>
            </w:r>
            <w:proofErr w:type="spellStart"/>
            <w:r w:rsidRPr="00013893">
              <w:t>commissieoverstijgend</w:t>
            </w:r>
            <w:proofErr w:type="spellEnd"/>
            <w:r w:rsidRPr="00013893">
              <w:t xml:space="preserve"> onderwerp, maar wel raakvlakken (datalekken)</w:t>
            </w:r>
            <w:r>
              <w:br/>
            </w:r>
          </w:p>
          <w:p w:rsidRPr="00203F46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F46">
              <w:t>Niet overdragen</w:t>
            </w:r>
          </w:p>
        </w:tc>
      </w:tr>
      <w:tr w:rsidR="000B2E15" w:rsidTr="00C10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:rsidRPr="00013893" w:rsidR="000B2E15" w:rsidP="00C1091E" w:rsidRDefault="000B2E15">
            <w:r w:rsidRPr="00013893">
              <w:t xml:space="preserve">Internationalisering en Digitale Veiligheid </w:t>
            </w:r>
            <w:r w:rsidRPr="00013893">
              <w:rPr>
                <w:b w:val="0"/>
              </w:rPr>
              <w:t>(</w:t>
            </w:r>
            <w:r w:rsidRPr="00013893">
              <w:rPr>
                <w:b w:val="0"/>
                <w:i/>
              </w:rPr>
              <w:t>controversieel)</w:t>
            </w:r>
          </w:p>
          <w:p w:rsidRPr="00013893" w:rsidR="000B2E15" w:rsidP="00C1091E" w:rsidRDefault="000B2E15">
            <w:pPr>
              <w:rPr>
                <w:b w:val="0"/>
              </w:rPr>
            </w:pPr>
          </w:p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</w:pPr>
            <w:r w:rsidRPr="00013893">
              <w:rPr>
                <w:b w:val="0"/>
              </w:rPr>
              <w:t xml:space="preserve">Onderzoek naar cyberaanval Universiteit Maastricht en maatregelen cyberveiligheid (Kamerstuk </w:t>
            </w:r>
            <w:hyperlink w:history="1" r:id="rId12">
              <w:r w:rsidRPr="00013893">
                <w:rPr>
                  <w:rStyle w:val="Hyperlink"/>
                  <w:b w:val="0"/>
                  <w:bCs w:val="0"/>
                </w:rPr>
                <w:t>31288-872</w:t>
              </w:r>
            </w:hyperlink>
            <w:r w:rsidRPr="00013893">
              <w:rPr>
                <w:b w:val="0"/>
              </w:rPr>
              <w:t>)</w:t>
            </w:r>
          </w:p>
          <w:p w:rsidRPr="00013893" w:rsidR="000B2E15" w:rsidP="00C1091E" w:rsidRDefault="000B2E15"/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</w:pPr>
            <w:r w:rsidRPr="00013893">
              <w:rPr>
                <w:b w:val="0"/>
              </w:rPr>
              <w:t xml:space="preserve">Kennisveiligheid hoger onderwijs en wetenschap (Kamerstuk </w:t>
            </w:r>
            <w:hyperlink w:history="1" r:id="rId13">
              <w:r w:rsidRPr="00013893">
                <w:rPr>
                  <w:rStyle w:val="Hyperlink"/>
                  <w:b w:val="0"/>
                  <w:bCs w:val="0"/>
                </w:rPr>
                <w:t>31288-894</w:t>
              </w:r>
            </w:hyperlink>
            <w:r w:rsidRPr="00013893">
              <w:rPr>
                <w:b w:val="0"/>
              </w:rPr>
              <w:t>)</w:t>
            </w:r>
          </w:p>
          <w:p w:rsidR="000B2E15" w:rsidP="00C1091E" w:rsidRDefault="000B2E15">
            <w:pPr>
              <w:spacing w:line="280" w:lineRule="exact"/>
            </w:pPr>
          </w:p>
        </w:tc>
        <w:tc>
          <w:tcPr>
            <w:tcW w:w="4508" w:type="dxa"/>
          </w:tcPr>
          <w:p w:rsidRPr="00013893" w:rsidR="000B2E15" w:rsidP="00C1091E" w:rsidRDefault="000B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>
              <w:br/>
            </w:r>
          </w:p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893">
              <w:t xml:space="preserve">Commissie DiZa volgcommissie maken, geen </w:t>
            </w:r>
            <w:proofErr w:type="spellStart"/>
            <w:r w:rsidRPr="00013893">
              <w:t>commissieoverstijgend</w:t>
            </w:r>
            <w:proofErr w:type="spellEnd"/>
            <w:r w:rsidRPr="00013893">
              <w:t xml:space="preserve"> onderwerp, maar wel raakvlakken (cyberveiligheid)</w:t>
            </w:r>
          </w:p>
          <w:p w:rsidRPr="00013893" w:rsidR="000B2E15" w:rsidP="00C1091E" w:rsidRDefault="000B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893">
              <w:t xml:space="preserve">Commissie DiZa volgcommissie maken, geen </w:t>
            </w:r>
            <w:proofErr w:type="spellStart"/>
            <w:r w:rsidRPr="00013893">
              <w:t>commissieoverstijgend</w:t>
            </w:r>
            <w:proofErr w:type="spellEnd"/>
            <w:r w:rsidRPr="00013893">
              <w:t xml:space="preserve"> onderwerp, maar wel raakvlakken (cyberveiligheid)</w:t>
            </w:r>
          </w:p>
          <w:p w:rsidR="000B2E15" w:rsidP="00C1091E" w:rsidRDefault="000B2E1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2E15" w:rsidTr="00C10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:rsidRPr="00013893" w:rsidR="000B2E15" w:rsidP="00C1091E" w:rsidRDefault="000B2E15">
            <w:r w:rsidRPr="00013893">
              <w:t>Wetenschapsbeleid</w:t>
            </w:r>
          </w:p>
          <w:p w:rsidRPr="00013893" w:rsidR="000B2E15" w:rsidP="00C1091E" w:rsidRDefault="000B2E15"/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</w:pPr>
            <w:r w:rsidRPr="00013893">
              <w:rPr>
                <w:b w:val="0"/>
              </w:rPr>
              <w:t xml:space="preserve">Informatie over de knelpunten bij het nationaal omarmen van Plan S voor de versnelling naar open access en bij eventuele deelname aan </w:t>
            </w:r>
            <w:proofErr w:type="spellStart"/>
            <w:r w:rsidRPr="00013893">
              <w:rPr>
                <w:b w:val="0"/>
              </w:rPr>
              <w:t>cOAlition</w:t>
            </w:r>
            <w:proofErr w:type="spellEnd"/>
            <w:r w:rsidRPr="00013893">
              <w:rPr>
                <w:b w:val="0"/>
              </w:rPr>
              <w:t xml:space="preserve"> S (Kamerstuk </w:t>
            </w:r>
            <w:hyperlink w:history="1" r:id="rId14">
              <w:r w:rsidRPr="00013893">
                <w:rPr>
                  <w:rStyle w:val="Hyperlink"/>
                  <w:b w:val="0"/>
                  <w:bCs w:val="0"/>
                </w:rPr>
                <w:t>31288-881</w:t>
              </w:r>
            </w:hyperlink>
            <w:r w:rsidRPr="00013893">
              <w:rPr>
                <w:b w:val="0"/>
              </w:rPr>
              <w:t>)</w:t>
            </w:r>
          </w:p>
          <w:p w:rsidR="000B2E15" w:rsidP="00C1091E" w:rsidRDefault="000B2E15">
            <w:pPr>
              <w:spacing w:line="280" w:lineRule="exact"/>
            </w:pPr>
          </w:p>
        </w:tc>
        <w:tc>
          <w:tcPr>
            <w:tcW w:w="4508" w:type="dxa"/>
          </w:tcPr>
          <w:p w:rsidRPr="00013893" w:rsidR="000B2E15" w:rsidP="00C1091E" w:rsidRDefault="000B2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</w:r>
          </w:p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3893">
              <w:t xml:space="preserve">Commissie DiZa volgcommissie maken, geen </w:t>
            </w:r>
            <w:proofErr w:type="spellStart"/>
            <w:r w:rsidRPr="00013893">
              <w:t>commissieoverstijgend</w:t>
            </w:r>
            <w:proofErr w:type="spellEnd"/>
            <w:r w:rsidRPr="00013893">
              <w:t xml:space="preserve"> onderwerp, maar wel raakvlakken (open access)</w:t>
            </w:r>
          </w:p>
          <w:p w:rsidR="000B2E15" w:rsidP="00C1091E" w:rsidRDefault="000B2E1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2E15" w:rsidTr="00C10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:rsidRPr="00013893" w:rsidR="000B2E15" w:rsidP="00C1091E" w:rsidRDefault="000B2E15">
            <w:r w:rsidRPr="00013893">
              <w:t>Schoolleidersregister po</w:t>
            </w:r>
          </w:p>
          <w:p w:rsidRPr="00013893" w:rsidR="000B2E15" w:rsidP="00C1091E" w:rsidRDefault="000B2E15">
            <w:pPr>
              <w:rPr>
                <w:b w:val="0"/>
              </w:rPr>
            </w:pPr>
          </w:p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</w:pPr>
            <w:r w:rsidRPr="00013893">
              <w:rPr>
                <w:b w:val="0"/>
              </w:rPr>
              <w:lastRenderedPageBreak/>
              <w:t>Onderzoeksrapport ‘Kwalitatieve evaluatie Schoolleidersregister PO’ (</w:t>
            </w:r>
            <w:hyperlink w:history="1" r:id="rId15">
              <w:r w:rsidRPr="00013893">
                <w:rPr>
                  <w:rStyle w:val="Hyperlink"/>
                  <w:b w:val="0"/>
                  <w:bCs w:val="0"/>
                </w:rPr>
                <w:t>Kamerstuk 31293-458</w:t>
              </w:r>
            </w:hyperlink>
            <w:r w:rsidRPr="00013893">
              <w:rPr>
                <w:b w:val="0"/>
              </w:rPr>
              <w:t>)</w:t>
            </w:r>
          </w:p>
          <w:p w:rsidR="000B2E15" w:rsidP="00C1091E" w:rsidRDefault="000B2E15">
            <w:pPr>
              <w:spacing w:line="280" w:lineRule="exact"/>
            </w:pPr>
          </w:p>
        </w:tc>
        <w:tc>
          <w:tcPr>
            <w:tcW w:w="4508" w:type="dxa"/>
          </w:tcPr>
          <w:p w:rsidRPr="00013893" w:rsidR="000B2E15" w:rsidP="00C1091E" w:rsidRDefault="000B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013893" w:rsidR="000B2E15" w:rsidP="00C1091E" w:rsidRDefault="000B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203F46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F46">
              <w:lastRenderedPageBreak/>
              <w:t>Niet overdragen</w:t>
            </w:r>
          </w:p>
        </w:tc>
      </w:tr>
      <w:tr w:rsidR="000B2E15" w:rsidTr="00C10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:rsidRPr="00013893" w:rsidR="000B2E15" w:rsidP="00C1091E" w:rsidRDefault="000B2E15">
            <w:pPr>
              <w:rPr>
                <w:b w:val="0"/>
              </w:rPr>
            </w:pPr>
            <w:r w:rsidRPr="00013893">
              <w:lastRenderedPageBreak/>
              <w:t xml:space="preserve">Leven lang ontwikkelen </w:t>
            </w:r>
            <w:r w:rsidRPr="00013893">
              <w:rPr>
                <w:b w:val="0"/>
              </w:rPr>
              <w:t>(</w:t>
            </w:r>
            <w:r w:rsidRPr="00013893">
              <w:rPr>
                <w:b w:val="0"/>
                <w:i/>
              </w:rPr>
              <w:t>controversieel</w:t>
            </w:r>
            <w:r w:rsidRPr="00013893">
              <w:rPr>
                <w:b w:val="0"/>
              </w:rPr>
              <w:t>)</w:t>
            </w:r>
          </w:p>
          <w:p w:rsidRPr="00013893" w:rsidR="000B2E15" w:rsidP="00C1091E" w:rsidRDefault="000B2E15">
            <w:pPr>
              <w:rPr>
                <w:b w:val="0"/>
              </w:rPr>
            </w:pPr>
          </w:p>
          <w:p w:rsidRPr="00013893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spacing w:line="240" w:lineRule="auto"/>
              <w:textAlignment w:val="auto"/>
            </w:pPr>
            <w:r w:rsidRPr="00013893">
              <w:rPr>
                <w:b w:val="0"/>
              </w:rPr>
              <w:t xml:space="preserve">Advies haalbaarheid digitaal overzicht individuele scholingsmogelijkheden (Kamerstuk </w:t>
            </w:r>
            <w:hyperlink w:history="1" r:id="rId16">
              <w:r w:rsidRPr="00013893">
                <w:rPr>
                  <w:rStyle w:val="Hyperlink"/>
                  <w:b w:val="0"/>
                  <w:bCs w:val="0"/>
                </w:rPr>
                <w:t>30012-124</w:t>
              </w:r>
            </w:hyperlink>
            <w:r w:rsidRPr="00013893">
              <w:rPr>
                <w:b w:val="0"/>
              </w:rPr>
              <w:t>)</w:t>
            </w:r>
          </w:p>
          <w:p w:rsidR="000B2E15" w:rsidP="00C1091E" w:rsidRDefault="000B2E15">
            <w:pPr>
              <w:spacing w:line="280" w:lineRule="exact"/>
            </w:pPr>
          </w:p>
        </w:tc>
        <w:tc>
          <w:tcPr>
            <w:tcW w:w="4508" w:type="dxa"/>
          </w:tcPr>
          <w:p w:rsidRPr="00013893" w:rsidR="000B2E15" w:rsidP="00C1091E" w:rsidRDefault="000B2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Pr="00013893" w:rsidR="000B2E15" w:rsidP="00C1091E" w:rsidRDefault="000B2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</w:r>
          </w:p>
          <w:p w:rsidRPr="00203F46" w:rsidR="000B2E15" w:rsidP="000B2E15" w:rsidRDefault="000B2E15">
            <w:pPr>
              <w:pStyle w:val="Lijstalinea"/>
              <w:numPr>
                <w:ilvl w:val="0"/>
                <w:numId w:val="1"/>
              </w:numPr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F46">
              <w:t>Niet overdragen</w:t>
            </w:r>
          </w:p>
        </w:tc>
      </w:tr>
    </w:tbl>
    <w:p w:rsidR="00A1216C" w:rsidRDefault="007341AD"/>
    <w:sectPr w:rsidR="00A1216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15" w:rsidRDefault="000B2E15" w:rsidP="000B2E15">
      <w:pPr>
        <w:spacing w:line="240" w:lineRule="auto"/>
      </w:pPr>
      <w:r>
        <w:separator/>
      </w:r>
    </w:p>
  </w:endnote>
  <w:endnote w:type="continuationSeparator" w:id="0">
    <w:p w:rsidR="000B2E15" w:rsidRDefault="000B2E15" w:rsidP="000B2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15" w:rsidRDefault="000B2E15" w:rsidP="000B2E15">
      <w:pPr>
        <w:spacing w:line="240" w:lineRule="auto"/>
      </w:pPr>
      <w:r>
        <w:separator/>
      </w:r>
    </w:p>
  </w:footnote>
  <w:footnote w:type="continuationSeparator" w:id="0">
    <w:p w:rsidR="000B2E15" w:rsidRDefault="000B2E15" w:rsidP="000B2E15">
      <w:pPr>
        <w:spacing w:line="240" w:lineRule="auto"/>
      </w:pPr>
      <w:r>
        <w:continuationSeparator/>
      </w:r>
    </w:p>
  </w:footnote>
  <w:footnote w:id="1">
    <w:p w:rsidR="000B2E15" w:rsidRDefault="000B2E15" w:rsidP="000B2E15">
      <w:pPr>
        <w:pStyle w:val="Voetnoottekst"/>
      </w:pPr>
      <w:r>
        <w:rPr>
          <w:rStyle w:val="Voetnootmarkering"/>
        </w:rPr>
        <w:footnoteRef/>
      </w:r>
      <w:r>
        <w:t xml:space="preserve"> ECP: Platform voor de Informatiesamenleving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5DAF"/>
    <w:multiLevelType w:val="hybridMultilevel"/>
    <w:tmpl w:val="3588EF8C"/>
    <w:lvl w:ilvl="0" w:tplc="DA08F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15"/>
    <w:rsid w:val="0003089B"/>
    <w:rsid w:val="000B2E15"/>
    <w:rsid w:val="001E167B"/>
    <w:rsid w:val="00304411"/>
    <w:rsid w:val="007341AD"/>
    <w:rsid w:val="0092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CDD8"/>
  <w15:chartTrackingRefBased/>
  <w15:docId w15:val="{78CFBC41-BB08-43DA-9240-629B1A20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0B2E15"/>
    <w:pPr>
      <w:autoSpaceDN w:val="0"/>
      <w:spacing w:after="0"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B2E15"/>
    <w:rPr>
      <w:color w:val="0563C1" w:themeColor="hyperlink"/>
      <w:u w:val="single"/>
    </w:rPr>
  </w:style>
  <w:style w:type="paragraph" w:styleId="Voetnoottekst">
    <w:name w:val="footnote text"/>
    <w:basedOn w:val="Standaard"/>
    <w:next w:val="Standaard"/>
    <w:link w:val="VoetnoottekstChar"/>
    <w:rsid w:val="000B2E15"/>
    <w:rPr>
      <w:sz w:val="13"/>
      <w:szCs w:val="13"/>
    </w:rPr>
  </w:style>
  <w:style w:type="character" w:customStyle="1" w:styleId="VoetnoottekstChar">
    <w:name w:val="Voetnoottekst Char"/>
    <w:basedOn w:val="Standaardalinea-lettertype"/>
    <w:link w:val="Voetnoottekst"/>
    <w:rsid w:val="000B2E15"/>
    <w:rPr>
      <w:rFonts w:ascii="Verdana" w:eastAsia="DejaVu Sans" w:hAnsi="Verdana" w:cs="Lohit Hindi"/>
      <w:color w:val="000000"/>
      <w:sz w:val="13"/>
      <w:szCs w:val="13"/>
      <w:lang w:eastAsia="nl-NL"/>
    </w:rPr>
  </w:style>
  <w:style w:type="character" w:styleId="Voetnootmarkering">
    <w:name w:val="footnote reference"/>
    <w:aliases w:val="callout,Footnotes refss,Fußnotenzeichen_Raxen Car,SUPERS Car,Footnote symbol Car,Times 10 Point Car,Exposant 3 Point Car,En-tête Car Char Char Car,callout Car,Footnotes refss Car,callout Char Char Char Char Char,callout Char,4_G,Ref"/>
    <w:basedOn w:val="Standaardalinea-lettertype"/>
    <w:unhideWhenUsed/>
    <w:qFormat/>
    <w:rsid w:val="000B2E15"/>
    <w:rPr>
      <w:vertAlign w:val="superscript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,L"/>
    <w:basedOn w:val="Standaard"/>
    <w:link w:val="LijstalineaChar"/>
    <w:uiPriority w:val="34"/>
    <w:qFormat/>
    <w:rsid w:val="000B2E15"/>
    <w:pPr>
      <w:spacing w:line="280" w:lineRule="exact"/>
      <w:ind w:left="720"/>
      <w:contextualSpacing/>
    </w:p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,L Char"/>
    <w:link w:val="Lijstalinea"/>
    <w:uiPriority w:val="34"/>
    <w:qFormat/>
    <w:locked/>
    <w:rsid w:val="000B2E15"/>
    <w:rPr>
      <w:rFonts w:ascii="Verdana" w:eastAsia="DejaVu Sans" w:hAnsi="Verdana" w:cs="Lohit Hindi"/>
      <w:color w:val="000000"/>
      <w:sz w:val="18"/>
      <w:szCs w:val="18"/>
      <w:lang w:eastAsia="nl-NL"/>
    </w:rPr>
  </w:style>
  <w:style w:type="table" w:styleId="Rastertabel4-Accent3">
    <w:name w:val="Grid Table 4 Accent 3"/>
    <w:basedOn w:val="Standaardtabel"/>
    <w:uiPriority w:val="49"/>
    <w:rsid w:val="000B2E1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lisweb/parlis/zaak.aspx?id=e0bf16e9-ee3d-4f37-9627-9ee1898227b9" TargetMode="External"/><Relationship Id="rId13" Type="http://schemas.openxmlformats.org/officeDocument/2006/relationships/hyperlink" Target="https://parlisweb/parlis/zaak.aspx?id=cddc2797-0f81-4038-bf58-d852201eb18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lisweb/Parlis/document.aspx?id=403d2c31-bae5-4711-b238-03f0261bdb3a" TargetMode="External"/><Relationship Id="rId12" Type="http://schemas.openxmlformats.org/officeDocument/2006/relationships/hyperlink" Target="https://parlisweb/parlis/zaak.aspx?id=e3ff1fde-c1fc-462c-8218-ac276da37be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arlisweb/parlis/zaak.aspx?id=32d87ba2-3e39-41d4-a854-2bf4edeb3a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rlisweb/parlis/document.aspx?Id=2128ecae-d059-4572-8c13-ce1f8fbcbe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lisweb/parlis/zaak.aspx?id=ec9a3bbd-a5be-42ce-b213-2cb19bbc8f12" TargetMode="External"/><Relationship Id="rId10" Type="http://schemas.openxmlformats.org/officeDocument/2006/relationships/hyperlink" Target="https://parlisweb/parlis/zaak.aspx?id=be606380-aa7e-4049-8b73-857cce1e46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lisweb/parlis/zaak.aspx?id=5c0f28c6-6c2b-4aeb-b8ea-124f8b81533c" TargetMode="External"/><Relationship Id="rId14" Type="http://schemas.openxmlformats.org/officeDocument/2006/relationships/hyperlink" Target="https://parlisweb/parlis/zaak.aspx?id=58dd82ea-da94-4a61-9f51-6c33f800e8fb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493</ap:Words>
  <ap:Characters>2716</ap:Characters>
  <ap:DocSecurity>4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2021-07-16T11:17:00.0000000Z</dcterms:created>
  <dcterms:modified xsi:type="dcterms:W3CDTF">2021-07-16T11:17:00.0000000Z</dcterms:modified>
  <version/>
  <category/>
</coreProperties>
</file>