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CA" w:rsidP="009442CA" w:rsidRDefault="009442CA">
      <w:pPr>
        <w:pStyle w:val="PlatteTekst"/>
      </w:pPr>
      <w:r>
        <w:rPr>
          <w:noProof/>
          <w:lang w:eastAsia="nl-NL"/>
        </w:rPr>
        <mc:AlternateContent>
          <mc:Choice Requires="wps">
            <w:drawing>
              <wp:anchor distT="0" distB="0" distL="114300" distR="114300" simplePos="0" relativeHeight="251660288" behindDoc="0" locked="0" layoutInCell="1" allowOverlap="1" wp14:editId="5D9FA21C" wp14:anchorId="24FB740B">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42CA" w:rsidP="009442CA" w:rsidRDefault="009442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FB740B">
                <v:stroke joinstyle="miter"/>
                <v:path gradientshapeok="t" o:connecttype="rect"/>
              </v:shapetype>
              <v:shape id="Tekstvak 13" style="position:absolute;margin-left:282.4pt;margin-top:133.5pt;width:161.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442CA" w:rsidP="009442CA" w:rsidRDefault="009442CA"/>
                  </w:txbxContent>
                </v:textbox>
                <w10:wrap anchory="page"/>
              </v:shape>
            </w:pict>
          </mc:Fallback>
        </mc:AlternateContent>
      </w:r>
    </w:p>
    <w:p w:rsidR="009442CA" w:rsidP="009442CA" w:rsidRDefault="009442CA">
      <w:pPr>
        <w:pStyle w:val="PlatteTekst"/>
        <w:sectPr w:rsidR="009442CA" w:rsidSect="009442CA">
          <w:headerReference w:type="default" r:id="rId7"/>
          <w:footerReference w:type="default" r:id="rId8"/>
          <w:pgSz w:w="11907" w:h="16840" w:code="9"/>
          <w:pgMar w:top="-2410" w:right="1361" w:bottom="1418" w:left="2211" w:header="2370" w:footer="992" w:gutter="0"/>
          <w:cols w:space="708"/>
          <w:docGrid w:type="lines" w:linePitch="284"/>
        </w:sectPr>
      </w:pPr>
    </w:p>
    <w:p w:rsidR="009442CA" w:rsidP="009442CA" w:rsidRDefault="009442CA">
      <w:pPr>
        <w:rPr>
          <w:szCs w:val="17"/>
        </w:rPr>
      </w:pPr>
      <w:r>
        <w:rPr>
          <w:noProof/>
          <w:lang w:eastAsia="nl-NL"/>
        </w:rPr>
        <mc:AlternateContent>
          <mc:Choice Requires="wps">
            <w:drawing>
              <wp:anchor distT="0" distB="0" distL="114300" distR="114300" simplePos="0" relativeHeight="251659264" behindDoc="0" locked="0" layoutInCell="1" allowOverlap="1" wp14:editId="3677AA6A" wp14:anchorId="501AFD63">
                <wp:simplePos x="0" y="0"/>
                <wp:positionH relativeFrom="page">
                  <wp:posOffset>4600575</wp:posOffset>
                </wp:positionH>
                <wp:positionV relativeFrom="page">
                  <wp:posOffset>1866900</wp:posOffset>
                </wp:positionV>
                <wp:extent cx="2095500" cy="2447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20955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42CA" w:rsidP="009442CA" w:rsidRDefault="009442CA">
                            <w:pPr>
                              <w:pStyle w:val="Geenafstand"/>
                              <w:jc w:val="right"/>
                              <w:rPr>
                                <w:rFonts w:ascii="Verdana" w:hAnsi="Verdana"/>
                                <w:sz w:val="13"/>
                                <w:szCs w:val="13"/>
                              </w:rPr>
                            </w:pPr>
                            <w:r>
                              <w:rPr>
                                <w:rFonts w:ascii="Verdana" w:hAnsi="Verdana"/>
                                <w:sz w:val="13"/>
                                <w:szCs w:val="13"/>
                              </w:rPr>
                              <w:t>A. de Vries</w:t>
                            </w:r>
                          </w:p>
                          <w:p w:rsidR="009442CA" w:rsidP="009442CA" w:rsidRDefault="009442CA">
                            <w:pPr>
                              <w:pStyle w:val="Geenafstand"/>
                              <w:jc w:val="right"/>
                              <w:rPr>
                                <w:rFonts w:ascii="Verdana" w:hAnsi="Verdana"/>
                                <w:sz w:val="13"/>
                                <w:szCs w:val="13"/>
                              </w:rPr>
                            </w:pPr>
                            <w:r>
                              <w:rPr>
                                <w:rFonts w:ascii="Verdana" w:hAnsi="Verdana"/>
                                <w:sz w:val="13"/>
                                <w:szCs w:val="13"/>
                              </w:rPr>
                              <w:t>W. Paulusma</w:t>
                            </w:r>
                          </w:p>
                          <w:p w:rsidRPr="009027E5" w:rsidR="009442CA" w:rsidP="009442CA" w:rsidRDefault="009442CA">
                            <w:pPr>
                              <w:pStyle w:val="Geenafstand"/>
                              <w:jc w:val="right"/>
                              <w:rPr>
                                <w:rFonts w:ascii="Verdana" w:hAnsi="Verdana"/>
                                <w:sz w:val="13"/>
                                <w:szCs w:val="13"/>
                              </w:rPr>
                            </w:pPr>
                            <w:r>
                              <w:rPr>
                                <w:rFonts w:ascii="Verdana" w:hAnsi="Verdana"/>
                                <w:sz w:val="13"/>
                                <w:szCs w:val="13"/>
                              </w:rPr>
                              <w:t xml:space="preserve">N. </w:t>
                            </w:r>
                            <w:proofErr w:type="spellStart"/>
                            <w:r>
                              <w:rPr>
                                <w:rFonts w:ascii="Verdana" w:hAnsi="Verdana"/>
                                <w:sz w:val="13"/>
                                <w:szCs w:val="13"/>
                              </w:rPr>
                              <w:t>Gündogan</w:t>
                            </w:r>
                            <w:proofErr w:type="spellEnd"/>
                          </w:p>
                          <w:p w:rsidRPr="009027E5" w:rsidR="009442CA" w:rsidP="009442CA" w:rsidRDefault="009442CA">
                            <w:pPr>
                              <w:pStyle w:val="Geenafstand"/>
                              <w:jc w:val="right"/>
                              <w:rPr>
                                <w:rFonts w:ascii="Verdana" w:hAnsi="Verdana"/>
                                <w:sz w:val="13"/>
                                <w:szCs w:val="13"/>
                              </w:rPr>
                            </w:pPr>
                          </w:p>
                          <w:p w:rsidRPr="009027E5" w:rsidR="009442CA" w:rsidP="009442CA" w:rsidRDefault="009442CA">
                            <w:pPr>
                              <w:pStyle w:val="Geenafstand"/>
                              <w:jc w:val="right"/>
                              <w:rPr>
                                <w:rFonts w:ascii="Verdana" w:hAnsi="Verdana"/>
                                <w:sz w:val="13"/>
                                <w:szCs w:val="13"/>
                              </w:rPr>
                            </w:pPr>
                            <w:r w:rsidRPr="009027E5">
                              <w:rPr>
                                <w:rFonts w:ascii="Verdana" w:hAnsi="Verdana"/>
                                <w:sz w:val="13"/>
                                <w:szCs w:val="13"/>
                              </w:rPr>
                              <w:t xml:space="preserve"> </w:t>
                            </w:r>
                          </w:p>
                          <w:p w:rsidRPr="009027E5" w:rsidR="009442CA" w:rsidP="009442CA" w:rsidRDefault="009442CA">
                            <w:pPr>
                              <w:pStyle w:val="Geenafstand"/>
                              <w:jc w:val="right"/>
                              <w:rPr>
                                <w:rFonts w:ascii="Verdana" w:hAnsi="Verdana"/>
                                <w:sz w:val="13"/>
                                <w:szCs w:val="13"/>
                              </w:rPr>
                            </w:pPr>
                            <w:r w:rsidRPr="009027E5">
                              <w:rPr>
                                <w:rFonts w:ascii="Verdana" w:hAnsi="Verdana"/>
                                <w:sz w:val="13"/>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25pt;margin-top:147pt;width:165pt;height:1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" w14:anchorId="501AFD63">
                <v:textbox style="mso-fit-shape-to-text:t" inset="0,0,0,0">
                  <w:txbxContent>
                    <w:p w:rsidR="009442CA" w:rsidP="009442CA" w:rsidRDefault="009442CA">
                      <w:pPr>
                        <w:pStyle w:val="Geenafstand"/>
                        <w:jc w:val="right"/>
                        <w:rPr>
                          <w:rFonts w:ascii="Verdana" w:hAnsi="Verdana"/>
                          <w:sz w:val="13"/>
                          <w:szCs w:val="13"/>
                        </w:rPr>
                      </w:pPr>
                      <w:r>
                        <w:rPr>
                          <w:rFonts w:ascii="Verdana" w:hAnsi="Verdana"/>
                          <w:sz w:val="13"/>
                          <w:szCs w:val="13"/>
                        </w:rPr>
                        <w:t>A</w:t>
                      </w:r>
                      <w:r>
                        <w:rPr>
                          <w:rFonts w:ascii="Verdana" w:hAnsi="Verdana"/>
                          <w:sz w:val="13"/>
                          <w:szCs w:val="13"/>
                        </w:rPr>
                        <w:t xml:space="preserve">. </w:t>
                      </w:r>
                      <w:r>
                        <w:rPr>
                          <w:rFonts w:ascii="Verdana" w:hAnsi="Verdana"/>
                          <w:sz w:val="13"/>
                          <w:szCs w:val="13"/>
                        </w:rPr>
                        <w:t>de Vries</w:t>
                      </w:r>
                    </w:p>
                    <w:p w:rsidR="009442CA" w:rsidP="009442CA" w:rsidRDefault="009442CA">
                      <w:pPr>
                        <w:pStyle w:val="Geenafstand"/>
                        <w:jc w:val="right"/>
                        <w:rPr>
                          <w:rFonts w:ascii="Verdana" w:hAnsi="Verdana"/>
                          <w:sz w:val="13"/>
                          <w:szCs w:val="13"/>
                        </w:rPr>
                      </w:pPr>
                      <w:r>
                        <w:rPr>
                          <w:rFonts w:ascii="Verdana" w:hAnsi="Verdana"/>
                          <w:sz w:val="13"/>
                          <w:szCs w:val="13"/>
                        </w:rPr>
                        <w:t>W</w:t>
                      </w:r>
                      <w:r>
                        <w:rPr>
                          <w:rFonts w:ascii="Verdana" w:hAnsi="Verdana"/>
                          <w:sz w:val="13"/>
                          <w:szCs w:val="13"/>
                        </w:rPr>
                        <w:t>.</w:t>
                      </w:r>
                      <w:r>
                        <w:rPr>
                          <w:rFonts w:ascii="Verdana" w:hAnsi="Verdana"/>
                          <w:sz w:val="13"/>
                          <w:szCs w:val="13"/>
                        </w:rPr>
                        <w:t xml:space="preserve"> Paulusma</w:t>
                      </w:r>
                    </w:p>
                    <w:p w:rsidRPr="009027E5" w:rsidR="009442CA" w:rsidP="009442CA" w:rsidRDefault="009442CA">
                      <w:pPr>
                        <w:pStyle w:val="Geenafstand"/>
                        <w:jc w:val="right"/>
                        <w:rPr>
                          <w:rFonts w:ascii="Verdana" w:hAnsi="Verdana"/>
                          <w:sz w:val="13"/>
                          <w:szCs w:val="13"/>
                        </w:rPr>
                      </w:pPr>
                      <w:r>
                        <w:rPr>
                          <w:rFonts w:ascii="Verdana" w:hAnsi="Verdana"/>
                          <w:sz w:val="13"/>
                          <w:szCs w:val="13"/>
                        </w:rPr>
                        <w:t>N. Gündogan</w:t>
                      </w:r>
                    </w:p>
                    <w:p w:rsidRPr="009027E5" w:rsidR="009442CA" w:rsidP="009442CA" w:rsidRDefault="009442CA">
                      <w:pPr>
                        <w:pStyle w:val="Geenafstand"/>
                        <w:jc w:val="right"/>
                        <w:rPr>
                          <w:rFonts w:ascii="Verdana" w:hAnsi="Verdana"/>
                          <w:sz w:val="13"/>
                          <w:szCs w:val="13"/>
                        </w:rPr>
                      </w:pPr>
                    </w:p>
                    <w:p w:rsidRPr="009027E5" w:rsidR="009442CA" w:rsidP="009442CA" w:rsidRDefault="009442CA">
                      <w:pPr>
                        <w:pStyle w:val="Geenafstand"/>
                        <w:jc w:val="right"/>
                        <w:rPr>
                          <w:rFonts w:ascii="Verdana" w:hAnsi="Verdana"/>
                          <w:sz w:val="13"/>
                          <w:szCs w:val="13"/>
                        </w:rPr>
                      </w:pPr>
                      <w:r w:rsidRPr="009027E5">
                        <w:rPr>
                          <w:rFonts w:ascii="Verdana" w:hAnsi="Verdana"/>
                          <w:sz w:val="13"/>
                          <w:szCs w:val="13"/>
                        </w:rPr>
                        <w:t xml:space="preserve"> </w:t>
                      </w:r>
                    </w:p>
                    <w:p w:rsidRPr="009027E5" w:rsidR="009442CA" w:rsidP="009442CA" w:rsidRDefault="009442CA">
                      <w:pPr>
                        <w:pStyle w:val="Geenafstand"/>
                        <w:jc w:val="right"/>
                        <w:rPr>
                          <w:rFonts w:ascii="Verdana" w:hAnsi="Verdana"/>
                          <w:sz w:val="13"/>
                          <w:szCs w:val="13"/>
                        </w:rPr>
                      </w:pPr>
                      <w:r w:rsidRPr="009027E5">
                        <w:rPr>
                          <w:rFonts w:ascii="Verdana" w:hAnsi="Verdana"/>
                          <w:sz w:val="13"/>
                          <w:szCs w:val="13"/>
                        </w:rPr>
                        <w:t xml:space="preserve"> </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61312" behindDoc="0" locked="0" layoutInCell="1" allowOverlap="1" wp14:editId="27E0D0EC" wp14:anchorId="27D16A1E">
                <wp:simplePos x="0" y="0"/>
                <wp:positionH relativeFrom="page">
                  <wp:posOffset>600075</wp:posOffset>
                </wp:positionH>
                <wp:positionV relativeFrom="page">
                  <wp:posOffset>2000250</wp:posOffset>
                </wp:positionV>
                <wp:extent cx="44672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4672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42CA" w:rsidP="009442CA" w:rsidRDefault="009442CA">
                            <w:pPr>
                              <w:pStyle w:val="Huisstijl-Agendatitel"/>
                              <w:tabs>
                                <w:tab w:val="right" w:pos="1264"/>
                                <w:tab w:val="right" w:pos="1344"/>
                              </w:tabs>
                              <w:ind w:left="1418" w:hanging="1418"/>
                            </w:pPr>
                            <w:r>
                              <w:tab/>
                              <w:t>Memo</w:t>
                            </w:r>
                            <w:r>
                              <w:tab/>
                              <w:t xml:space="preserve"> </w:t>
                            </w:r>
                            <w:proofErr w:type="spellStart"/>
                            <w:r>
                              <w:t>Rapporteurschap</w:t>
                            </w:r>
                            <w:proofErr w:type="spellEnd"/>
                            <w:r>
                              <w:t xml:space="preserve"> Farmaceutische strategie voor Europa</w:t>
                            </w:r>
                          </w:p>
                          <w:p w:rsidR="009442CA" w:rsidP="009442CA" w:rsidRDefault="009442CA">
                            <w:pPr>
                              <w:pStyle w:val="Huisstijl-Agendatitel"/>
                              <w:ind w:left="0" w:firstLine="0"/>
                            </w:pPr>
                          </w:p>
                          <w:p w:rsidR="009442CA" w:rsidP="009442CA" w:rsidRDefault="009442CA">
                            <w:pPr>
                              <w:pStyle w:val="Huisstijl-Agendatitel"/>
                              <w:ind w:left="0" w:firstLine="0"/>
                            </w:pPr>
                          </w:p>
                          <w:p w:rsidR="009442CA" w:rsidP="009442CA" w:rsidRDefault="009442CA">
                            <w:pPr>
                              <w:pStyle w:val="Huisstijl-Notitiegegevens"/>
                            </w:pPr>
                            <w:r>
                              <w:tab/>
                              <w:t>aan</w:t>
                            </w:r>
                            <w:r>
                              <w:tab/>
                              <w:t>de vaste commissie voor Volksgezondheid, Welzijn en Sport</w:t>
                            </w:r>
                          </w:p>
                          <w:p w:rsidR="009442CA" w:rsidP="009442CA" w:rsidRDefault="009442CA">
                            <w:pPr>
                              <w:pStyle w:val="Huisstijl-Notitiegegevens"/>
                            </w:pPr>
                            <w:r>
                              <w:tab/>
                              <w:t>van</w:t>
                            </w:r>
                            <w:r>
                              <w:tab/>
                              <w:t>de rapporteurs</w:t>
                            </w:r>
                          </w:p>
                          <w:p w:rsidR="009442CA" w:rsidP="009442CA" w:rsidRDefault="009442CA">
                            <w:pPr>
                              <w:pStyle w:val="Huisstijl-Notitiegegevens"/>
                            </w:pPr>
                          </w:p>
                          <w:p w:rsidR="009442CA" w:rsidP="009442CA" w:rsidRDefault="009442CA">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21-07-01T00:00:00Z">
                                  <w:dateFormat w:val="d MMMM YYYY"/>
                                  <w:lid w:val="nl-NL"/>
                                  <w:storeMappedDataAs w:val="dateTime"/>
                                  <w:calendar w:val="gregorian"/>
                                </w:date>
                              </w:sdtPr>
                              <w:sdtEndPr/>
                              <w:sdtContent>
                                <w:r w:rsidR="0048513C">
                                  <w:t>1 juli 2021</w:t>
                                </w:r>
                              </w:sdtContent>
                            </w:sdt>
                          </w:p>
                          <w:p w:rsidR="009442CA" w:rsidP="009442CA" w:rsidRDefault="009442CA">
                            <w:pPr>
                              <w:pStyle w:val="Huisstijl-Notitiegegevens"/>
                            </w:pPr>
                            <w:r>
                              <w:tab/>
                              <w:t>onderwerp</w:t>
                            </w:r>
                            <w:r>
                              <w:tab/>
                              <w:t>Mandaat en begroting EU-rapporteurschap Farmaceutische strategie voor Europa</w:t>
                            </w:r>
                          </w:p>
                          <w:p w:rsidR="009442CA" w:rsidP="009442CA" w:rsidRDefault="009442CA">
                            <w:pPr>
                              <w:pStyle w:val="Huisstijl-Notitiegegevens"/>
                            </w:pPr>
                            <w:r>
                              <w:tab/>
                              <w:t>te betrekken bij</w:t>
                            </w:r>
                            <w:r>
                              <w:tab/>
                              <w:t>procedurevergadering d.d. 7 juli 2021</w:t>
                            </w:r>
                          </w:p>
                          <w:p w:rsidR="00BB61EB" w:rsidP="00BB61EB" w:rsidRDefault="00BB61EB">
                            <w:pPr>
                              <w:pStyle w:val="Huisstijl-Notitiegegevens"/>
                              <w:jc w:val="both"/>
                            </w:pPr>
                            <w:r>
                              <w:t>kenmerk</w:t>
                            </w:r>
                            <w:r>
                              <w:tab/>
                            </w:r>
                            <w:r>
                              <w:tab/>
                              <w:t>2021Z12405/2021D26691</w:t>
                            </w:r>
                          </w:p>
                          <w:p w:rsidR="009442CA" w:rsidP="009442CA" w:rsidRDefault="009442CA">
                            <w:pPr>
                              <w:pStyle w:val="Huisstijl-AgendagegevensW1"/>
                            </w:pPr>
                          </w:p>
                          <w:p w:rsidR="009442CA" w:rsidP="009442CA" w:rsidRDefault="009442CA">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D16A1E">
                <v:stroke joinstyle="miter"/>
                <v:path gradientshapeok="t" o:connecttype="rect"/>
              </v:shapetype>
              <v:shape id="Tekstvak 8" style="position:absolute;margin-left:47.25pt;margin-top:157.5pt;width:351.75pt;height:131.2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">
                <v:textbox inset="0,0,0,0">
                  <w:txbxContent>
                    <w:p w:rsidR="009442CA" w:rsidP="009442CA" w:rsidRDefault="009442CA">
                      <w:pPr>
                        <w:pStyle w:val="Huisstijl-Agendatitel"/>
                        <w:tabs>
                          <w:tab w:val="right" w:pos="1264"/>
                          <w:tab w:val="right" w:pos="1344"/>
                        </w:tabs>
                        <w:ind w:left="1418" w:hanging="1418"/>
                      </w:pPr>
                      <w:r>
                        <w:tab/>
                        <w:t>Memo</w:t>
                      </w:r>
                      <w:r>
                        <w:tab/>
                        <w:t xml:space="preserve"> </w:t>
                      </w:r>
                      <w:proofErr w:type="spellStart"/>
                      <w:r>
                        <w:t>Rapporteurschap</w:t>
                      </w:r>
                      <w:proofErr w:type="spellEnd"/>
                      <w:r>
                        <w:t xml:space="preserve"> Farmaceutische strategie voor Europa</w:t>
                      </w:r>
                    </w:p>
                    <w:p w:rsidR="009442CA" w:rsidP="009442CA" w:rsidRDefault="009442CA">
                      <w:pPr>
                        <w:pStyle w:val="Huisstijl-Agendatitel"/>
                        <w:ind w:left="0" w:firstLine="0"/>
                      </w:pPr>
                    </w:p>
                    <w:p w:rsidR="009442CA" w:rsidP="009442CA" w:rsidRDefault="009442CA">
                      <w:pPr>
                        <w:pStyle w:val="Huisstijl-Agendatitel"/>
                        <w:ind w:left="0" w:firstLine="0"/>
                      </w:pPr>
                    </w:p>
                    <w:p w:rsidR="009442CA" w:rsidP="009442CA" w:rsidRDefault="009442CA">
                      <w:pPr>
                        <w:pStyle w:val="Huisstijl-Notitiegegevens"/>
                      </w:pPr>
                      <w:r>
                        <w:tab/>
                        <w:t>aan</w:t>
                      </w:r>
                      <w:r>
                        <w:tab/>
                        <w:t>de vaste commissie voor Volksgezondheid, Welzijn en Sport</w:t>
                      </w:r>
                    </w:p>
                    <w:p w:rsidR="009442CA" w:rsidP="009442CA" w:rsidRDefault="009442CA">
                      <w:pPr>
                        <w:pStyle w:val="Huisstijl-Notitiegegevens"/>
                      </w:pPr>
                      <w:r>
                        <w:tab/>
                        <w:t>van</w:t>
                      </w:r>
                      <w:r>
                        <w:tab/>
                        <w:t>de rapporteurs</w:t>
                      </w:r>
                    </w:p>
                    <w:p w:rsidR="009442CA" w:rsidP="009442CA" w:rsidRDefault="009442CA">
                      <w:pPr>
                        <w:pStyle w:val="Huisstijl-Notitiegegevens"/>
                      </w:pPr>
                    </w:p>
                    <w:p w:rsidR="009442CA" w:rsidP="009442CA" w:rsidRDefault="009442CA">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21-07-01T00:00:00Z">
                            <w:dateFormat w:val="d MMMM YYYY"/>
                            <w:lid w:val="nl-NL"/>
                            <w:storeMappedDataAs w:val="dateTime"/>
                            <w:calendar w:val="gregorian"/>
                          </w:date>
                        </w:sdtPr>
                        <w:sdtEndPr/>
                        <w:sdtContent>
                          <w:r w:rsidR="0048513C">
                            <w:t>1 juli 2021</w:t>
                          </w:r>
                        </w:sdtContent>
                      </w:sdt>
                    </w:p>
                    <w:p w:rsidR="009442CA" w:rsidP="009442CA" w:rsidRDefault="009442CA">
                      <w:pPr>
                        <w:pStyle w:val="Huisstijl-Notitiegegevens"/>
                      </w:pPr>
                      <w:r>
                        <w:tab/>
                        <w:t>onderwerp</w:t>
                      </w:r>
                      <w:r>
                        <w:tab/>
                        <w:t>Mandaat en begroting EU-rapporteurschap Farmaceutische strategie voor Europa</w:t>
                      </w:r>
                    </w:p>
                    <w:p w:rsidR="009442CA" w:rsidP="009442CA" w:rsidRDefault="009442CA">
                      <w:pPr>
                        <w:pStyle w:val="Huisstijl-Notitiegegevens"/>
                      </w:pPr>
                      <w:r>
                        <w:tab/>
                        <w:t>te betrekken bij</w:t>
                      </w:r>
                      <w:r>
                        <w:tab/>
                        <w:t>procedurevergadering d.d. 7 juli 2021</w:t>
                      </w:r>
                    </w:p>
                    <w:p w:rsidR="00BB61EB" w:rsidP="00BB61EB" w:rsidRDefault="00BB61EB">
                      <w:pPr>
                        <w:pStyle w:val="Huisstijl-Notitiegegevens"/>
                        <w:jc w:val="both"/>
                      </w:pPr>
                      <w:r>
                        <w:t>kenmerk</w:t>
                      </w:r>
                      <w:r>
                        <w:tab/>
                      </w:r>
                      <w:r>
                        <w:tab/>
                        <w:t>2021Z12405/2021D26691</w:t>
                      </w:r>
                    </w:p>
                    <w:p w:rsidR="009442CA" w:rsidP="009442CA" w:rsidRDefault="009442CA">
                      <w:pPr>
                        <w:pStyle w:val="Huisstijl-AgendagegevensW1"/>
                      </w:pPr>
                    </w:p>
                    <w:p w:rsidR="009442CA" w:rsidP="009442CA" w:rsidRDefault="009442CA">
                      <w:pPr>
                        <w:pStyle w:val="Huisstijl-Notitiegegevens"/>
                      </w:pPr>
                    </w:p>
                  </w:txbxContent>
                </v:textbox>
                <w10:wrap type="topAndBottom" anchorx="page" anchory="page"/>
              </v:shape>
            </w:pict>
          </mc:Fallback>
        </mc:AlternateContent>
      </w:r>
    </w:p>
    <w:p w:rsidRPr="0060648F" w:rsidR="009442CA" w:rsidP="009442CA" w:rsidRDefault="009442CA">
      <w:pPr>
        <w:pStyle w:val="Geenafstand"/>
        <w:rPr>
          <w:rFonts w:ascii="Verdana" w:hAnsi="Verdana"/>
          <w:sz w:val="18"/>
          <w:szCs w:val="18"/>
        </w:rPr>
      </w:pPr>
      <w:bookmarkStart w:name="_GoBack" w:id="0"/>
      <w:r w:rsidRPr="0028476E">
        <w:rPr>
          <w:rFonts w:ascii="Verdana" w:hAnsi="Verdana"/>
          <w:sz w:val="18"/>
          <w:szCs w:val="18"/>
        </w:rPr>
        <w:t>Geachte</w:t>
      </w:r>
      <w:r>
        <w:rPr>
          <w:rFonts w:ascii="Verdana" w:hAnsi="Verdana"/>
          <w:sz w:val="18"/>
          <w:szCs w:val="18"/>
        </w:rPr>
        <w:t xml:space="preserve"> leden van de vaste commissie voor Volksgezondheid, Welzijn en Sport</w:t>
      </w:r>
      <w:r w:rsidRPr="0028476E">
        <w:rPr>
          <w:rFonts w:ascii="Verdana" w:hAnsi="Verdana"/>
          <w:sz w:val="18"/>
          <w:szCs w:val="18"/>
        </w:rPr>
        <w:t>,</w:t>
      </w:r>
      <w:r w:rsidRPr="0028476E">
        <w:rPr>
          <w:rFonts w:ascii="Verdana" w:hAnsi="Verdana"/>
          <w:sz w:val="18"/>
          <w:szCs w:val="18"/>
        </w:rPr>
        <w:br/>
      </w:r>
      <w:r w:rsidRPr="0028476E">
        <w:rPr>
          <w:rFonts w:ascii="Verdana" w:hAnsi="Verdana"/>
          <w:sz w:val="18"/>
          <w:szCs w:val="18"/>
        </w:rPr>
        <w:br/>
        <w:t>I</w:t>
      </w:r>
      <w:r>
        <w:rPr>
          <w:rFonts w:ascii="Verdana" w:hAnsi="Verdana"/>
          <w:sz w:val="18"/>
          <w:szCs w:val="18"/>
        </w:rPr>
        <w:t xml:space="preserve">n de </w:t>
      </w:r>
      <w:r>
        <w:t xml:space="preserve">procedurevergadering </w:t>
      </w:r>
      <w:r>
        <w:rPr>
          <w:rFonts w:ascii="Verdana" w:hAnsi="Verdana"/>
          <w:sz w:val="18"/>
          <w:szCs w:val="18"/>
        </w:rPr>
        <w:t>van 9 juni jl.</w:t>
      </w:r>
      <w:r w:rsidRPr="0028476E">
        <w:rPr>
          <w:rFonts w:ascii="Verdana" w:hAnsi="Verdana"/>
          <w:sz w:val="18"/>
          <w:szCs w:val="18"/>
        </w:rPr>
        <w:t xml:space="preserve"> </w:t>
      </w:r>
      <w:r>
        <w:rPr>
          <w:rFonts w:ascii="Verdana" w:hAnsi="Verdana"/>
          <w:sz w:val="18"/>
          <w:szCs w:val="18"/>
        </w:rPr>
        <w:t>heeft</w:t>
      </w:r>
      <w:r w:rsidRPr="0028476E">
        <w:rPr>
          <w:rFonts w:ascii="Verdana" w:hAnsi="Verdana"/>
          <w:sz w:val="18"/>
          <w:szCs w:val="18"/>
        </w:rPr>
        <w:t xml:space="preserve"> </w:t>
      </w:r>
      <w:r>
        <w:rPr>
          <w:rFonts w:ascii="Verdana" w:hAnsi="Verdana"/>
          <w:sz w:val="18"/>
          <w:szCs w:val="18"/>
        </w:rPr>
        <w:t xml:space="preserve">u besloten ons, Aukje de Vries (VVD), Wieke Paulusma (D66) en Nilüfer </w:t>
      </w:r>
      <w:proofErr w:type="spellStart"/>
      <w:r>
        <w:rPr>
          <w:rFonts w:ascii="Verdana" w:hAnsi="Verdana"/>
          <w:sz w:val="18"/>
          <w:szCs w:val="18"/>
        </w:rPr>
        <w:t>Gündogan</w:t>
      </w:r>
      <w:proofErr w:type="spellEnd"/>
      <w:r>
        <w:rPr>
          <w:rFonts w:ascii="Verdana" w:hAnsi="Verdana"/>
          <w:sz w:val="18"/>
          <w:szCs w:val="18"/>
        </w:rPr>
        <w:t xml:space="preserve"> (VOLT), namens de vaste commissie </w:t>
      </w:r>
      <w:r w:rsidR="0060648F">
        <w:rPr>
          <w:rFonts w:ascii="Verdana" w:hAnsi="Verdana"/>
          <w:sz w:val="18"/>
          <w:szCs w:val="18"/>
        </w:rPr>
        <w:t>voor Volksgezondheid, Welzijn en Sport</w:t>
      </w:r>
      <w:r w:rsidRPr="0028476E">
        <w:rPr>
          <w:rFonts w:ascii="Verdana" w:hAnsi="Verdana"/>
          <w:sz w:val="18"/>
          <w:szCs w:val="18"/>
        </w:rPr>
        <w:t xml:space="preserve"> aan te stellen als rapporteur</w:t>
      </w:r>
      <w:r>
        <w:rPr>
          <w:rFonts w:ascii="Verdana" w:hAnsi="Verdana"/>
          <w:sz w:val="18"/>
          <w:szCs w:val="18"/>
        </w:rPr>
        <w:t>s</w:t>
      </w:r>
      <w:r w:rsidRPr="0028476E">
        <w:rPr>
          <w:rFonts w:ascii="Verdana" w:hAnsi="Verdana"/>
          <w:sz w:val="18"/>
          <w:szCs w:val="18"/>
        </w:rPr>
        <w:t xml:space="preserve"> op het dossier </w:t>
      </w:r>
      <w:r w:rsidR="0060648F">
        <w:rPr>
          <w:rFonts w:ascii="Verdana" w:hAnsi="Verdana"/>
          <w:sz w:val="18"/>
          <w:szCs w:val="18"/>
        </w:rPr>
        <w:t>Farmaceutische strategie voor Europa (</w:t>
      </w:r>
      <w:hyperlink w:history="1" r:id="rId9">
        <w:r w:rsidRPr="0060648F" w:rsidR="0060648F">
          <w:rPr>
            <w:rStyle w:val="Hyperlink"/>
            <w:rFonts w:ascii="Verdana" w:hAnsi="Verdana"/>
            <w:sz w:val="18"/>
            <w:szCs w:val="18"/>
          </w:rPr>
          <w:t>COM(2020)761</w:t>
        </w:r>
      </w:hyperlink>
      <w:r w:rsidR="0060648F">
        <w:rPr>
          <w:rFonts w:ascii="Verdana" w:hAnsi="Verdana"/>
          <w:sz w:val="18"/>
          <w:szCs w:val="18"/>
        </w:rPr>
        <w:t>)</w:t>
      </w:r>
      <w:r w:rsidRPr="0028476E">
        <w:rPr>
          <w:rFonts w:ascii="Verdana" w:hAnsi="Verdana"/>
          <w:sz w:val="18"/>
          <w:szCs w:val="18"/>
        </w:rPr>
        <w:t xml:space="preserve">. </w:t>
      </w:r>
      <w:r w:rsidR="0060648F">
        <w:rPr>
          <w:rFonts w:ascii="Verdana" w:hAnsi="Verdana"/>
          <w:sz w:val="18"/>
          <w:szCs w:val="18"/>
        </w:rPr>
        <w:t xml:space="preserve">Aanleiding voor het </w:t>
      </w:r>
      <w:proofErr w:type="spellStart"/>
      <w:r w:rsidR="0060648F">
        <w:rPr>
          <w:rFonts w:ascii="Verdana" w:hAnsi="Verdana"/>
          <w:sz w:val="18"/>
          <w:szCs w:val="18"/>
        </w:rPr>
        <w:t>rapporteurschap</w:t>
      </w:r>
      <w:proofErr w:type="spellEnd"/>
      <w:r w:rsidR="0060648F">
        <w:rPr>
          <w:rFonts w:ascii="Verdana" w:hAnsi="Verdana"/>
          <w:sz w:val="18"/>
          <w:szCs w:val="18"/>
        </w:rPr>
        <w:t xml:space="preserve"> is de aanbeveling van de eerdere rapporteurs Veldman (VVD) en Van den Berg (CDA) om het </w:t>
      </w:r>
      <w:proofErr w:type="spellStart"/>
      <w:r w:rsidR="0060648F">
        <w:rPr>
          <w:rFonts w:ascii="Verdana" w:hAnsi="Verdana"/>
          <w:sz w:val="18"/>
          <w:szCs w:val="18"/>
        </w:rPr>
        <w:t>rapporteurschap</w:t>
      </w:r>
      <w:proofErr w:type="spellEnd"/>
      <w:r w:rsidR="0060648F">
        <w:rPr>
          <w:rFonts w:ascii="Verdana" w:hAnsi="Verdana"/>
          <w:sz w:val="18"/>
          <w:szCs w:val="18"/>
        </w:rPr>
        <w:t xml:space="preserve"> Farmaceutische strategie voor Europa voort te zetten (</w:t>
      </w:r>
      <w:hyperlink w:history="1" r:id="rId10">
        <w:r w:rsidRPr="002D4D0E" w:rsidR="0060648F">
          <w:rPr>
            <w:rStyle w:val="Hyperlink"/>
            <w:rFonts w:ascii="Verdana" w:hAnsi="Verdana"/>
            <w:sz w:val="18"/>
            <w:szCs w:val="18"/>
          </w:rPr>
          <w:t>2021D04788</w:t>
        </w:r>
      </w:hyperlink>
      <w:r w:rsidR="0060648F">
        <w:rPr>
          <w:rFonts w:ascii="Verdana" w:hAnsi="Verdana"/>
          <w:sz w:val="18"/>
          <w:szCs w:val="18"/>
        </w:rPr>
        <w:t xml:space="preserve">). </w:t>
      </w:r>
      <w:r w:rsidRPr="0028476E">
        <w:rPr>
          <w:rFonts w:ascii="Verdana" w:hAnsi="Verdana"/>
          <w:sz w:val="18"/>
          <w:szCs w:val="18"/>
        </w:rPr>
        <w:t>In dit memo leg</w:t>
      </w:r>
      <w:r>
        <w:rPr>
          <w:rFonts w:ascii="Verdana" w:hAnsi="Verdana"/>
          <w:sz w:val="18"/>
          <w:szCs w:val="18"/>
        </w:rPr>
        <w:t>gen wij</w:t>
      </w:r>
      <w:r w:rsidRPr="0028476E">
        <w:rPr>
          <w:rFonts w:ascii="Verdana" w:hAnsi="Verdana"/>
          <w:sz w:val="18"/>
          <w:szCs w:val="18"/>
        </w:rPr>
        <w:t xml:space="preserve"> de commi</w:t>
      </w:r>
      <w:r>
        <w:rPr>
          <w:rFonts w:ascii="Verdana" w:hAnsi="Verdana"/>
          <w:sz w:val="18"/>
          <w:szCs w:val="18"/>
        </w:rPr>
        <w:t>ssie ter goedkeuring voor hoe wij</w:t>
      </w:r>
      <w:r w:rsidRPr="0028476E">
        <w:rPr>
          <w:rFonts w:ascii="Verdana" w:hAnsi="Verdana"/>
          <w:sz w:val="18"/>
          <w:szCs w:val="18"/>
        </w:rPr>
        <w:t xml:space="preserve"> </w:t>
      </w:r>
      <w:r>
        <w:rPr>
          <w:rFonts w:ascii="Verdana" w:hAnsi="Verdana"/>
          <w:sz w:val="18"/>
          <w:szCs w:val="18"/>
        </w:rPr>
        <w:t xml:space="preserve">voornemens zijn </w:t>
      </w:r>
      <w:r w:rsidRPr="0028476E">
        <w:rPr>
          <w:rFonts w:ascii="Verdana" w:hAnsi="Verdana"/>
          <w:sz w:val="18"/>
          <w:szCs w:val="18"/>
        </w:rPr>
        <w:t xml:space="preserve">dit </w:t>
      </w:r>
      <w:proofErr w:type="spellStart"/>
      <w:r w:rsidRPr="0028476E">
        <w:rPr>
          <w:rFonts w:ascii="Verdana" w:hAnsi="Verdana"/>
          <w:sz w:val="18"/>
          <w:szCs w:val="18"/>
        </w:rPr>
        <w:t>rapporteurschap</w:t>
      </w:r>
      <w:proofErr w:type="spellEnd"/>
      <w:r w:rsidRPr="0028476E">
        <w:rPr>
          <w:rFonts w:ascii="Verdana" w:hAnsi="Verdana"/>
          <w:sz w:val="18"/>
          <w:szCs w:val="18"/>
        </w:rPr>
        <w:t xml:space="preserve"> in te vullen. </w:t>
      </w:r>
    </w:p>
    <w:bookmarkEnd w:id="0"/>
    <w:p w:rsidR="009442CA" w:rsidP="009442CA" w:rsidRDefault="009442CA">
      <w:pPr>
        <w:rPr>
          <w:szCs w:val="18"/>
        </w:rPr>
      </w:pPr>
    </w:p>
    <w:tbl>
      <w:tblPr>
        <w:tblStyle w:val="Tabelraster"/>
        <w:tblpPr w:leftFromText="141" w:rightFromText="141" w:vertAnchor="text" w:horzAnchor="margin" w:tblpY="-26"/>
        <w:tblW w:w="0" w:type="auto"/>
        <w:tblLook w:val="04A0" w:firstRow="1" w:lastRow="0" w:firstColumn="1" w:lastColumn="0" w:noHBand="0" w:noVBand="1"/>
      </w:tblPr>
      <w:tblGrid>
        <w:gridCol w:w="7985"/>
      </w:tblGrid>
      <w:tr w:rsidR="009442CA" w:rsidTr="004D4352">
        <w:tc>
          <w:tcPr>
            <w:tcW w:w="7985" w:type="dxa"/>
          </w:tcPr>
          <w:p w:rsidR="009442CA" w:rsidP="004D4352" w:rsidRDefault="009442CA">
            <w:pPr>
              <w:rPr>
                <w:b/>
                <w:szCs w:val="18"/>
              </w:rPr>
            </w:pPr>
            <w:r>
              <w:rPr>
                <w:b/>
                <w:szCs w:val="18"/>
              </w:rPr>
              <w:t>Beslispunt</w:t>
            </w:r>
          </w:p>
          <w:p w:rsidR="009442CA" w:rsidP="004D4352" w:rsidRDefault="009442CA">
            <w:pPr>
              <w:rPr>
                <w:szCs w:val="18"/>
              </w:rPr>
            </w:pPr>
          </w:p>
          <w:p w:rsidR="009442CA" w:rsidP="009442CA" w:rsidRDefault="009442CA">
            <w:pPr>
              <w:pStyle w:val="Lijstalinea"/>
              <w:numPr>
                <w:ilvl w:val="0"/>
                <w:numId w:val="1"/>
              </w:numPr>
              <w:rPr>
                <w:szCs w:val="18"/>
              </w:rPr>
            </w:pPr>
            <w:r>
              <w:rPr>
                <w:szCs w:val="18"/>
              </w:rPr>
              <w:t xml:space="preserve">Kunt u instemmen met het voorgestelde mandaat en de begroting voor het </w:t>
            </w:r>
            <w:proofErr w:type="spellStart"/>
            <w:r>
              <w:rPr>
                <w:szCs w:val="18"/>
              </w:rPr>
              <w:t>rapporteurschap</w:t>
            </w:r>
            <w:proofErr w:type="spellEnd"/>
            <w:r>
              <w:rPr>
                <w:szCs w:val="18"/>
              </w:rPr>
              <w:t xml:space="preserve"> </w:t>
            </w:r>
            <w:r w:rsidR="004542E0">
              <w:rPr>
                <w:szCs w:val="18"/>
              </w:rPr>
              <w:t>Farmaceutische Strategie voor Europa</w:t>
            </w:r>
            <w:r>
              <w:rPr>
                <w:szCs w:val="18"/>
              </w:rPr>
              <w:t>?</w:t>
            </w:r>
          </w:p>
          <w:p w:rsidR="009442CA" w:rsidP="004D4352" w:rsidRDefault="009442CA">
            <w:pPr>
              <w:pStyle w:val="Lijstalinea"/>
              <w:rPr>
                <w:szCs w:val="18"/>
              </w:rPr>
            </w:pPr>
          </w:p>
        </w:tc>
      </w:tr>
    </w:tbl>
    <w:p w:rsidR="009442CA" w:rsidP="009442CA" w:rsidRDefault="009442CA">
      <w:pPr>
        <w:pStyle w:val="Geenafstand"/>
        <w:rPr>
          <w:rFonts w:ascii="Verdana" w:hAnsi="Verdana"/>
          <w:b/>
          <w:sz w:val="18"/>
          <w:szCs w:val="18"/>
        </w:rPr>
      </w:pPr>
    </w:p>
    <w:p w:rsidR="009442CA" w:rsidP="009442CA" w:rsidRDefault="009442CA">
      <w:pPr>
        <w:pStyle w:val="Geenafstand"/>
        <w:rPr>
          <w:rFonts w:ascii="Verdana" w:hAnsi="Verdana"/>
          <w:b/>
          <w:sz w:val="18"/>
          <w:szCs w:val="18"/>
        </w:rPr>
      </w:pPr>
      <w:r w:rsidRPr="0028476E">
        <w:rPr>
          <w:rFonts w:ascii="Verdana" w:hAnsi="Verdana"/>
          <w:b/>
          <w:sz w:val="18"/>
          <w:szCs w:val="18"/>
        </w:rPr>
        <w:t xml:space="preserve">Doel van het </w:t>
      </w:r>
      <w:proofErr w:type="spellStart"/>
      <w:r w:rsidRPr="0028476E">
        <w:rPr>
          <w:rFonts w:ascii="Verdana" w:hAnsi="Verdana"/>
          <w:b/>
          <w:sz w:val="18"/>
          <w:szCs w:val="18"/>
        </w:rPr>
        <w:t>rapporteurschap</w:t>
      </w:r>
      <w:proofErr w:type="spellEnd"/>
    </w:p>
    <w:p w:rsidR="00F55423" w:rsidP="009442CA" w:rsidRDefault="00F55423">
      <w:pPr>
        <w:pStyle w:val="Geenafstand"/>
        <w:rPr>
          <w:rFonts w:ascii="Verdana" w:hAnsi="Verdana"/>
          <w:b/>
          <w:sz w:val="18"/>
          <w:szCs w:val="18"/>
        </w:rPr>
      </w:pPr>
    </w:p>
    <w:p w:rsidRPr="00F55423" w:rsidR="00F55423" w:rsidP="009442CA" w:rsidRDefault="00F55423">
      <w:pPr>
        <w:pStyle w:val="Geenafstand"/>
        <w:rPr>
          <w:rFonts w:ascii="Verdana" w:hAnsi="Verdana"/>
          <w:sz w:val="18"/>
          <w:szCs w:val="18"/>
        </w:rPr>
      </w:pPr>
      <w:r>
        <w:rPr>
          <w:rFonts w:ascii="Verdana" w:hAnsi="Verdana"/>
          <w:sz w:val="18"/>
          <w:szCs w:val="18"/>
        </w:rPr>
        <w:t xml:space="preserve">Het </w:t>
      </w:r>
      <w:proofErr w:type="spellStart"/>
      <w:r>
        <w:rPr>
          <w:rFonts w:ascii="Verdana" w:hAnsi="Verdana"/>
          <w:sz w:val="18"/>
          <w:szCs w:val="18"/>
        </w:rPr>
        <w:t>rapporteurschap</w:t>
      </w:r>
      <w:proofErr w:type="spellEnd"/>
      <w:r>
        <w:rPr>
          <w:rFonts w:ascii="Verdana" w:hAnsi="Verdana"/>
          <w:sz w:val="18"/>
          <w:szCs w:val="18"/>
        </w:rPr>
        <w:t xml:space="preserve"> zal zich richten op de nadere uitwerking van de EU farmaceutische strategie, waarbij bijzondere aandacht is voor de verschillende wetsvoorstellen die hieruit voortvloeien: Herziening van de EU geneesmiddelenwetgeving (2022), herziening van de verordening voor weesgeneesmiddelen en de verordening voor geneesmiddelen voor pediatrisch gebruik (2022), het wetgevend voorstel voor de </w:t>
      </w:r>
      <w:r>
        <w:rPr>
          <w:rFonts w:ascii="Verdana" w:hAnsi="Verdana"/>
          <w:i/>
          <w:sz w:val="18"/>
          <w:szCs w:val="18"/>
        </w:rPr>
        <w:t xml:space="preserve">Health </w:t>
      </w:r>
      <w:proofErr w:type="spellStart"/>
      <w:r>
        <w:rPr>
          <w:rFonts w:ascii="Verdana" w:hAnsi="Verdana"/>
          <w:i/>
          <w:sz w:val="18"/>
          <w:szCs w:val="18"/>
        </w:rPr>
        <w:t>Emergency</w:t>
      </w:r>
      <w:proofErr w:type="spellEnd"/>
      <w:r>
        <w:rPr>
          <w:rFonts w:ascii="Verdana" w:hAnsi="Verdana"/>
          <w:i/>
          <w:sz w:val="18"/>
          <w:szCs w:val="18"/>
        </w:rPr>
        <w:t xml:space="preserve"> Response </w:t>
      </w:r>
      <w:proofErr w:type="spellStart"/>
      <w:r>
        <w:rPr>
          <w:rFonts w:ascii="Verdana" w:hAnsi="Verdana"/>
          <w:i/>
          <w:sz w:val="18"/>
          <w:szCs w:val="18"/>
        </w:rPr>
        <w:t>Authority</w:t>
      </w:r>
      <w:proofErr w:type="spellEnd"/>
      <w:r>
        <w:rPr>
          <w:rFonts w:ascii="Verdana" w:hAnsi="Verdana"/>
          <w:i/>
          <w:sz w:val="18"/>
          <w:szCs w:val="18"/>
        </w:rPr>
        <w:t xml:space="preserve"> </w:t>
      </w:r>
      <w:r>
        <w:rPr>
          <w:rFonts w:ascii="Verdana" w:hAnsi="Verdana"/>
          <w:sz w:val="18"/>
          <w:szCs w:val="18"/>
        </w:rPr>
        <w:t xml:space="preserve">(HERA – 2021) en het wetgevend voorstel voor een Europese ruimte voor gezondheidsdata (2021/2022). </w:t>
      </w:r>
    </w:p>
    <w:p w:rsidRPr="00F55423" w:rsidR="00F55423" w:rsidP="009442CA" w:rsidRDefault="00F55423">
      <w:pPr>
        <w:pStyle w:val="Geenafstand"/>
        <w:rPr>
          <w:rFonts w:ascii="Verdana" w:hAnsi="Verdana"/>
          <w:sz w:val="18"/>
          <w:szCs w:val="18"/>
        </w:rPr>
      </w:pPr>
    </w:p>
    <w:p w:rsidR="00F55423" w:rsidP="009442CA" w:rsidRDefault="00F55423">
      <w:pPr>
        <w:pStyle w:val="Geenafstand"/>
        <w:rPr>
          <w:rFonts w:ascii="Verdana" w:hAnsi="Verdana"/>
          <w:sz w:val="18"/>
          <w:szCs w:val="18"/>
        </w:rPr>
      </w:pPr>
      <w:r>
        <w:rPr>
          <w:rFonts w:ascii="Verdana" w:hAnsi="Verdana"/>
          <w:sz w:val="18"/>
          <w:szCs w:val="18"/>
        </w:rPr>
        <w:t xml:space="preserve">Doel van dit </w:t>
      </w:r>
      <w:proofErr w:type="spellStart"/>
      <w:r>
        <w:rPr>
          <w:rFonts w:ascii="Verdana" w:hAnsi="Verdana"/>
          <w:sz w:val="18"/>
          <w:szCs w:val="18"/>
        </w:rPr>
        <w:t>rapporteurschap</w:t>
      </w:r>
      <w:proofErr w:type="spellEnd"/>
      <w:r>
        <w:rPr>
          <w:rFonts w:ascii="Verdana" w:hAnsi="Verdana"/>
          <w:sz w:val="18"/>
          <w:szCs w:val="18"/>
        </w:rPr>
        <w:t xml:space="preserve"> zal tweeledig zijn: </w:t>
      </w:r>
    </w:p>
    <w:p w:rsidR="00F55423" w:rsidP="00F55423" w:rsidRDefault="00F55423">
      <w:pPr>
        <w:pStyle w:val="Geenafstand"/>
        <w:numPr>
          <w:ilvl w:val="0"/>
          <w:numId w:val="1"/>
        </w:numPr>
        <w:rPr>
          <w:rFonts w:ascii="Verdana" w:hAnsi="Verdana"/>
          <w:sz w:val="18"/>
          <w:szCs w:val="18"/>
        </w:rPr>
      </w:pPr>
      <w:r>
        <w:rPr>
          <w:rFonts w:ascii="Verdana" w:hAnsi="Verdana"/>
          <w:sz w:val="18"/>
          <w:szCs w:val="18"/>
        </w:rPr>
        <w:t xml:space="preserve">Het versterken van de informatiepositie van de Kamer; en </w:t>
      </w:r>
    </w:p>
    <w:p w:rsidRPr="00F55423" w:rsidR="00F55423" w:rsidP="00F55423" w:rsidRDefault="00F55423">
      <w:pPr>
        <w:pStyle w:val="Geenafstand"/>
        <w:numPr>
          <w:ilvl w:val="0"/>
          <w:numId w:val="1"/>
        </w:numPr>
        <w:rPr>
          <w:rFonts w:ascii="Verdana" w:hAnsi="Verdana"/>
          <w:sz w:val="18"/>
          <w:szCs w:val="18"/>
        </w:rPr>
      </w:pPr>
      <w:r>
        <w:rPr>
          <w:rFonts w:ascii="Verdana" w:hAnsi="Verdana"/>
          <w:sz w:val="18"/>
          <w:szCs w:val="18"/>
        </w:rPr>
        <w:t xml:space="preserve">Optimale behandeling van het dossier in de Kamer. </w:t>
      </w:r>
    </w:p>
    <w:p w:rsidR="004542E0" w:rsidP="009442CA" w:rsidRDefault="004542E0">
      <w:pPr>
        <w:pStyle w:val="Geenafstand"/>
        <w:rPr>
          <w:rFonts w:ascii="Verdana" w:hAnsi="Verdana"/>
          <w:sz w:val="18"/>
          <w:szCs w:val="18"/>
        </w:rPr>
      </w:pPr>
    </w:p>
    <w:p w:rsidR="002827DC" w:rsidP="009442CA" w:rsidRDefault="002827DC">
      <w:pPr>
        <w:pStyle w:val="Geenafstand"/>
        <w:rPr>
          <w:rFonts w:ascii="Verdana" w:hAnsi="Verdana"/>
          <w:b/>
          <w:sz w:val="18"/>
          <w:szCs w:val="18"/>
        </w:rPr>
      </w:pPr>
    </w:p>
    <w:p w:rsidR="002827DC" w:rsidP="009442CA" w:rsidRDefault="002827DC">
      <w:pPr>
        <w:pStyle w:val="Geenafstand"/>
        <w:rPr>
          <w:rFonts w:ascii="Verdana" w:hAnsi="Verdana"/>
          <w:b/>
          <w:sz w:val="18"/>
          <w:szCs w:val="18"/>
        </w:rPr>
      </w:pPr>
    </w:p>
    <w:p w:rsidRPr="000859D9" w:rsidR="009442CA" w:rsidP="009442CA" w:rsidRDefault="009442CA">
      <w:pPr>
        <w:pStyle w:val="Geenafstand"/>
        <w:rPr>
          <w:rFonts w:ascii="Verdana" w:hAnsi="Verdana"/>
          <w:b/>
          <w:sz w:val="18"/>
          <w:szCs w:val="18"/>
        </w:rPr>
      </w:pPr>
      <w:r w:rsidRPr="000859D9">
        <w:rPr>
          <w:rFonts w:ascii="Verdana" w:hAnsi="Verdana"/>
          <w:b/>
          <w:sz w:val="18"/>
          <w:szCs w:val="18"/>
        </w:rPr>
        <w:lastRenderedPageBreak/>
        <w:t>Activiteiten</w:t>
      </w:r>
    </w:p>
    <w:p w:rsidR="009442CA" w:rsidP="009442CA" w:rsidRDefault="009442CA">
      <w:pPr>
        <w:pStyle w:val="Geenafstand"/>
        <w:rPr>
          <w:rFonts w:ascii="Verdana" w:hAnsi="Verdana"/>
          <w:sz w:val="18"/>
          <w:szCs w:val="18"/>
        </w:rPr>
      </w:pPr>
      <w:r>
        <w:rPr>
          <w:rFonts w:ascii="Verdana" w:hAnsi="Verdana"/>
          <w:sz w:val="18"/>
          <w:szCs w:val="18"/>
        </w:rPr>
        <w:t xml:space="preserve">Voor een zorgvuldige uitvoering van ons </w:t>
      </w:r>
      <w:proofErr w:type="spellStart"/>
      <w:r>
        <w:rPr>
          <w:rFonts w:ascii="Verdana" w:hAnsi="Verdana"/>
          <w:sz w:val="18"/>
          <w:szCs w:val="18"/>
        </w:rPr>
        <w:t>rapporteurschap</w:t>
      </w:r>
      <w:proofErr w:type="spellEnd"/>
      <w:r>
        <w:rPr>
          <w:rFonts w:ascii="Verdana" w:hAnsi="Verdana"/>
          <w:sz w:val="18"/>
          <w:szCs w:val="18"/>
        </w:rPr>
        <w:t>, zijn wij van zins de volgende activiteiten te ondernemen.</w:t>
      </w:r>
    </w:p>
    <w:p w:rsidR="009442CA" w:rsidP="009442CA" w:rsidRDefault="009442CA">
      <w:pPr>
        <w:pStyle w:val="Geenafstand"/>
        <w:rPr>
          <w:rFonts w:ascii="Verdana" w:hAnsi="Verdana"/>
          <w:sz w:val="18"/>
          <w:szCs w:val="18"/>
        </w:rPr>
      </w:pPr>
    </w:p>
    <w:p w:rsidRPr="00CD34A4" w:rsidR="009442CA" w:rsidP="009442CA" w:rsidRDefault="009442CA">
      <w:pPr>
        <w:pStyle w:val="Geenafstand"/>
        <w:rPr>
          <w:i/>
          <w:szCs w:val="18"/>
        </w:rPr>
      </w:pPr>
      <w:r w:rsidRPr="00CD34A4">
        <w:rPr>
          <w:szCs w:val="18"/>
          <w:u w:val="single"/>
        </w:rPr>
        <w:t>Opmerking</w:t>
      </w:r>
      <w:r>
        <w:rPr>
          <w:i/>
          <w:szCs w:val="18"/>
        </w:rPr>
        <w:t xml:space="preserve">: </w:t>
      </w:r>
      <w:r w:rsidRPr="00CD34A4">
        <w:rPr>
          <w:i/>
          <w:szCs w:val="18"/>
        </w:rPr>
        <w:t xml:space="preserve">gezien de coronamaatregelen en de daaruit voortvloeiende beperkingen voor activiteiten binnen en buiten de Tweede Kamer, moet </w:t>
      </w:r>
      <w:r>
        <w:rPr>
          <w:i/>
          <w:szCs w:val="18"/>
        </w:rPr>
        <w:t xml:space="preserve">voor elk van de hieronder </w:t>
      </w:r>
      <w:r w:rsidRPr="00CD34A4">
        <w:rPr>
          <w:i/>
          <w:szCs w:val="18"/>
        </w:rPr>
        <w:t xml:space="preserve">voorgestelde activiteiten t.z.t. bezien worden in welke vorm </w:t>
      </w:r>
      <w:r>
        <w:rPr>
          <w:i/>
          <w:szCs w:val="18"/>
        </w:rPr>
        <w:t>z</w:t>
      </w:r>
      <w:r w:rsidRPr="00CD34A4">
        <w:rPr>
          <w:i/>
          <w:szCs w:val="18"/>
        </w:rPr>
        <w:t>e kunnen plaatsvinden</w:t>
      </w:r>
      <w:r w:rsidRPr="00CD34A4">
        <w:rPr>
          <w:szCs w:val="18"/>
        </w:rPr>
        <w:t>.</w:t>
      </w:r>
    </w:p>
    <w:p w:rsidR="009442CA" w:rsidP="009442CA" w:rsidRDefault="009442CA">
      <w:pPr>
        <w:pStyle w:val="Geenafstand"/>
        <w:rPr>
          <w:rFonts w:ascii="Verdana" w:hAnsi="Verdana"/>
          <w:i/>
          <w:sz w:val="18"/>
          <w:szCs w:val="18"/>
        </w:rPr>
      </w:pPr>
    </w:p>
    <w:p w:rsidR="003B7AC9" w:rsidP="009442CA" w:rsidRDefault="003B7AC9">
      <w:pPr>
        <w:pStyle w:val="Geenafstand"/>
        <w:rPr>
          <w:rFonts w:ascii="Verdana" w:hAnsi="Verdana"/>
          <w:sz w:val="18"/>
          <w:szCs w:val="18"/>
        </w:rPr>
      </w:pPr>
      <w:r>
        <w:rPr>
          <w:rFonts w:ascii="Verdana" w:hAnsi="Verdana"/>
          <w:i/>
          <w:sz w:val="18"/>
          <w:szCs w:val="18"/>
        </w:rPr>
        <w:t>Werkbezoek Brussel door de drie rapporteurs</w:t>
      </w:r>
    </w:p>
    <w:p w:rsidR="003B7AC9" w:rsidP="009442CA" w:rsidRDefault="003B7AC9">
      <w:pPr>
        <w:pStyle w:val="Geenafstand"/>
        <w:rPr>
          <w:rFonts w:ascii="Verdana" w:hAnsi="Verdana"/>
          <w:sz w:val="18"/>
          <w:szCs w:val="18"/>
        </w:rPr>
      </w:pPr>
      <w:r>
        <w:rPr>
          <w:rFonts w:ascii="Verdana" w:hAnsi="Verdana"/>
          <w:sz w:val="18"/>
          <w:szCs w:val="18"/>
        </w:rPr>
        <w:t xml:space="preserve">Wij zijn voornemens om in het najaar van 2021 een werkbezoek aan Brussel </w:t>
      </w:r>
      <w:r w:rsidR="00B441FE">
        <w:rPr>
          <w:rFonts w:ascii="Verdana" w:hAnsi="Verdana"/>
          <w:sz w:val="18"/>
          <w:szCs w:val="18"/>
        </w:rPr>
        <w:t xml:space="preserve">af te leggen om te spreken met vertegenwoordigers van de relevante EU-instellingen, waaronder de Europese Commissie, rapporteurs in het Europees Parlement en de Nederlandse Permanent Vertegenwoordiger bij de EU. </w:t>
      </w:r>
    </w:p>
    <w:p w:rsidR="0045009F" w:rsidP="009442CA" w:rsidRDefault="0045009F">
      <w:pPr>
        <w:pStyle w:val="Geenafstand"/>
        <w:rPr>
          <w:rFonts w:ascii="Verdana" w:hAnsi="Verdana"/>
          <w:sz w:val="18"/>
          <w:szCs w:val="18"/>
        </w:rPr>
      </w:pPr>
    </w:p>
    <w:p w:rsidR="0045009F" w:rsidP="009442CA" w:rsidRDefault="0045009F">
      <w:pPr>
        <w:pStyle w:val="Geenafstand"/>
        <w:rPr>
          <w:rFonts w:ascii="Verdana" w:hAnsi="Verdana"/>
          <w:sz w:val="18"/>
          <w:szCs w:val="18"/>
        </w:rPr>
      </w:pPr>
      <w:r>
        <w:rPr>
          <w:rFonts w:ascii="Verdana" w:hAnsi="Verdana"/>
          <w:i/>
          <w:sz w:val="18"/>
          <w:szCs w:val="18"/>
        </w:rPr>
        <w:t xml:space="preserve">Gesprekken </w:t>
      </w:r>
      <w:r w:rsidR="004442A1">
        <w:rPr>
          <w:rFonts w:ascii="Verdana" w:hAnsi="Verdana"/>
          <w:i/>
          <w:sz w:val="18"/>
          <w:szCs w:val="18"/>
        </w:rPr>
        <w:t xml:space="preserve">rapporteurs </w:t>
      </w:r>
      <w:r>
        <w:rPr>
          <w:rFonts w:ascii="Verdana" w:hAnsi="Verdana"/>
          <w:i/>
          <w:sz w:val="18"/>
          <w:szCs w:val="18"/>
        </w:rPr>
        <w:t>met stakeholders</w:t>
      </w:r>
    </w:p>
    <w:p w:rsidRPr="0045009F" w:rsidR="0045009F" w:rsidP="009442CA" w:rsidRDefault="0045009F">
      <w:pPr>
        <w:pStyle w:val="Geenafstand"/>
        <w:rPr>
          <w:rFonts w:ascii="Verdana" w:hAnsi="Verdana"/>
          <w:sz w:val="18"/>
          <w:szCs w:val="18"/>
        </w:rPr>
      </w:pPr>
      <w:r>
        <w:rPr>
          <w:rFonts w:ascii="Verdana" w:hAnsi="Verdana"/>
          <w:sz w:val="18"/>
          <w:szCs w:val="18"/>
        </w:rPr>
        <w:t>De rapporteurs zullen met verschillende stakeholders gesprekken voeren om informatie op te halen voor de Kamer.</w:t>
      </w:r>
      <w:r w:rsidR="004442A1">
        <w:rPr>
          <w:rFonts w:ascii="Verdana" w:hAnsi="Verdana"/>
          <w:sz w:val="18"/>
          <w:szCs w:val="18"/>
        </w:rPr>
        <w:t xml:space="preserve"> Dit zal via een voortgangsrapportage worden teruggekoppeld aan de Kamer.</w:t>
      </w:r>
      <w:r>
        <w:rPr>
          <w:rFonts w:ascii="Verdana" w:hAnsi="Verdana"/>
          <w:sz w:val="18"/>
          <w:szCs w:val="18"/>
        </w:rPr>
        <w:t xml:space="preserve"> Daarbij zullen de verschillende vraagstukken uit de EU farmaceutische strategie als uitgangspunt worden genomen, zoals betaalbaarheid en toegankelijkheid van geneesmiddelen</w:t>
      </w:r>
      <w:r w:rsidR="004442A1">
        <w:rPr>
          <w:rFonts w:ascii="Verdana" w:hAnsi="Verdana"/>
          <w:sz w:val="18"/>
          <w:szCs w:val="18"/>
        </w:rPr>
        <w:t xml:space="preserve"> (waaronder kostenbeheersing, verantwoord/minder medicijngebruik en antibiotica resistentie)</w:t>
      </w:r>
      <w:r>
        <w:rPr>
          <w:rFonts w:ascii="Verdana" w:hAnsi="Verdana"/>
          <w:sz w:val="18"/>
          <w:szCs w:val="18"/>
        </w:rPr>
        <w:t>, strategische autonomie,</w:t>
      </w:r>
      <w:r w:rsidR="004442A1">
        <w:rPr>
          <w:rFonts w:ascii="Verdana" w:hAnsi="Verdana"/>
          <w:sz w:val="18"/>
          <w:szCs w:val="18"/>
        </w:rPr>
        <w:t xml:space="preserve"> behoud en versterking van</w:t>
      </w:r>
      <w:r>
        <w:rPr>
          <w:rFonts w:ascii="Verdana" w:hAnsi="Verdana"/>
          <w:sz w:val="18"/>
          <w:szCs w:val="18"/>
        </w:rPr>
        <w:t xml:space="preserve"> kennis en innovatie</w:t>
      </w:r>
      <w:r w:rsidR="004442A1">
        <w:rPr>
          <w:rFonts w:ascii="Verdana" w:hAnsi="Verdana"/>
          <w:sz w:val="18"/>
          <w:szCs w:val="18"/>
        </w:rPr>
        <w:t xml:space="preserve">, </w:t>
      </w:r>
      <w:r w:rsidR="002827DC">
        <w:rPr>
          <w:rFonts w:ascii="Verdana" w:hAnsi="Verdana"/>
          <w:sz w:val="18"/>
          <w:szCs w:val="18"/>
        </w:rPr>
        <w:t xml:space="preserve">digitale transformatie en de Europese ruimte voor gezondheidsdata, </w:t>
      </w:r>
      <w:r w:rsidR="004442A1">
        <w:rPr>
          <w:rFonts w:ascii="Verdana" w:hAnsi="Verdana"/>
          <w:sz w:val="18"/>
          <w:szCs w:val="18"/>
        </w:rPr>
        <w:t xml:space="preserve">en de samenwerking op internationaal niveau. De balans tussen deze verschillende vraagstukken is daarbij ook een belangrijk aandachtspunt. In het kader van deze thematiek denken we onder andere aan gesprekken met het Europees Geneesmiddelenbureau (EMA), universiteiten, de WHO, patiëntenorganisaties, big </w:t>
      </w:r>
      <w:proofErr w:type="spellStart"/>
      <w:r w:rsidR="004442A1">
        <w:rPr>
          <w:rFonts w:ascii="Verdana" w:hAnsi="Verdana"/>
          <w:sz w:val="18"/>
          <w:szCs w:val="18"/>
        </w:rPr>
        <w:t>pharma</w:t>
      </w:r>
      <w:proofErr w:type="spellEnd"/>
      <w:r w:rsidR="004442A1">
        <w:rPr>
          <w:rFonts w:ascii="Verdana" w:hAnsi="Verdana"/>
          <w:sz w:val="18"/>
          <w:szCs w:val="18"/>
        </w:rPr>
        <w:t xml:space="preserve">, </w:t>
      </w:r>
      <w:proofErr w:type="spellStart"/>
      <w:r w:rsidR="004442A1">
        <w:rPr>
          <w:rFonts w:ascii="Verdana" w:hAnsi="Verdana"/>
          <w:sz w:val="18"/>
          <w:szCs w:val="18"/>
        </w:rPr>
        <w:t>biotech</w:t>
      </w:r>
      <w:proofErr w:type="spellEnd"/>
      <w:r w:rsidR="004442A1">
        <w:rPr>
          <w:rFonts w:ascii="Verdana" w:hAnsi="Verdana"/>
          <w:sz w:val="18"/>
          <w:szCs w:val="18"/>
        </w:rPr>
        <w:t xml:space="preserve"> en het Amerikaans congres. </w:t>
      </w:r>
    </w:p>
    <w:p w:rsidR="003B7AC9" w:rsidP="009442CA" w:rsidRDefault="003B7AC9">
      <w:pPr>
        <w:pStyle w:val="Geenafstand"/>
        <w:rPr>
          <w:rFonts w:ascii="Verdana" w:hAnsi="Verdana"/>
          <w:i/>
          <w:sz w:val="18"/>
          <w:szCs w:val="18"/>
        </w:rPr>
      </w:pPr>
    </w:p>
    <w:p w:rsidR="004442A1" w:rsidP="009442CA" w:rsidRDefault="004442A1">
      <w:pPr>
        <w:pStyle w:val="Geenafstand"/>
        <w:rPr>
          <w:rFonts w:ascii="Verdana" w:hAnsi="Verdana"/>
          <w:i/>
          <w:sz w:val="18"/>
          <w:szCs w:val="18"/>
        </w:rPr>
      </w:pPr>
      <w:r>
        <w:rPr>
          <w:rFonts w:ascii="Verdana" w:hAnsi="Verdana"/>
          <w:i/>
          <w:sz w:val="18"/>
          <w:szCs w:val="18"/>
        </w:rPr>
        <w:t>Rondetafelgesprek commissie VWS</w:t>
      </w:r>
    </w:p>
    <w:p w:rsidRPr="004442A1" w:rsidR="004442A1" w:rsidP="009442CA" w:rsidRDefault="004442A1">
      <w:pPr>
        <w:pStyle w:val="Geenafstand"/>
        <w:rPr>
          <w:rFonts w:ascii="Verdana" w:hAnsi="Verdana"/>
          <w:sz w:val="18"/>
          <w:szCs w:val="18"/>
        </w:rPr>
      </w:pPr>
      <w:r>
        <w:rPr>
          <w:rFonts w:ascii="Verdana" w:hAnsi="Verdana"/>
          <w:sz w:val="18"/>
          <w:szCs w:val="18"/>
        </w:rPr>
        <w:t>Na de eerste oriënterende gesprekken om informatie op te halen overwegen wij een rondetafelgesprek te organiseren</w:t>
      </w:r>
      <w:r w:rsidR="0048513C">
        <w:rPr>
          <w:rFonts w:ascii="Verdana" w:hAnsi="Verdana"/>
          <w:sz w:val="18"/>
          <w:szCs w:val="18"/>
        </w:rPr>
        <w:t xml:space="preserve">. Hierbij kan gedacht worden aan </w:t>
      </w:r>
      <w:r w:rsidR="002827DC">
        <w:rPr>
          <w:rFonts w:ascii="Verdana" w:hAnsi="Verdana"/>
          <w:sz w:val="18"/>
          <w:szCs w:val="18"/>
        </w:rPr>
        <w:t xml:space="preserve">een gesprek met </w:t>
      </w:r>
      <w:r w:rsidR="0048513C">
        <w:rPr>
          <w:rFonts w:ascii="Verdana" w:hAnsi="Verdana"/>
          <w:sz w:val="18"/>
          <w:szCs w:val="18"/>
        </w:rPr>
        <w:t xml:space="preserve">wetenschappers, vertegenwoordigers uit de big </w:t>
      </w:r>
      <w:proofErr w:type="spellStart"/>
      <w:r w:rsidR="0048513C">
        <w:rPr>
          <w:rFonts w:ascii="Verdana" w:hAnsi="Verdana"/>
          <w:sz w:val="18"/>
          <w:szCs w:val="18"/>
        </w:rPr>
        <w:t>pharma</w:t>
      </w:r>
      <w:proofErr w:type="spellEnd"/>
      <w:r w:rsidR="0048513C">
        <w:rPr>
          <w:rFonts w:ascii="Verdana" w:hAnsi="Verdana"/>
          <w:sz w:val="18"/>
          <w:szCs w:val="18"/>
        </w:rPr>
        <w:t xml:space="preserve"> en </w:t>
      </w:r>
      <w:proofErr w:type="spellStart"/>
      <w:r w:rsidR="0048513C">
        <w:rPr>
          <w:rFonts w:ascii="Verdana" w:hAnsi="Verdana"/>
          <w:sz w:val="18"/>
          <w:szCs w:val="18"/>
        </w:rPr>
        <w:t>biotech</w:t>
      </w:r>
      <w:proofErr w:type="spellEnd"/>
      <w:r w:rsidR="0048513C">
        <w:rPr>
          <w:rFonts w:ascii="Verdana" w:hAnsi="Verdana"/>
          <w:sz w:val="18"/>
          <w:szCs w:val="18"/>
        </w:rPr>
        <w:t>, patiëntenorganisaties, consumentenorganisaties, zorgprofessionals, EMA/</w:t>
      </w:r>
      <w:proofErr w:type="spellStart"/>
      <w:r w:rsidR="0048513C">
        <w:rPr>
          <w:rFonts w:ascii="Verdana" w:hAnsi="Verdana"/>
          <w:sz w:val="18"/>
          <w:szCs w:val="18"/>
        </w:rPr>
        <w:t>CtgB</w:t>
      </w:r>
      <w:proofErr w:type="spellEnd"/>
      <w:r w:rsidR="0048513C">
        <w:rPr>
          <w:rFonts w:ascii="Verdana" w:hAnsi="Verdana"/>
          <w:sz w:val="18"/>
          <w:szCs w:val="18"/>
        </w:rPr>
        <w:t xml:space="preserve">. Een nadere invulling zal te zijner tijd via de gebruikelijke procedures worden afgestemd. </w:t>
      </w:r>
    </w:p>
    <w:p w:rsidR="004442A1" w:rsidP="009442CA" w:rsidRDefault="004442A1">
      <w:pPr>
        <w:pStyle w:val="Geenafstand"/>
        <w:rPr>
          <w:rFonts w:ascii="Verdana" w:hAnsi="Verdana"/>
          <w:i/>
          <w:sz w:val="18"/>
          <w:szCs w:val="18"/>
        </w:rPr>
      </w:pPr>
    </w:p>
    <w:p w:rsidR="004442A1" w:rsidP="009442CA" w:rsidRDefault="004442A1">
      <w:pPr>
        <w:pStyle w:val="Geenafstand"/>
        <w:rPr>
          <w:rFonts w:ascii="Verdana" w:hAnsi="Verdana"/>
          <w:i/>
          <w:sz w:val="18"/>
          <w:szCs w:val="18"/>
        </w:rPr>
      </w:pPr>
      <w:r>
        <w:rPr>
          <w:rFonts w:ascii="Verdana" w:hAnsi="Verdana"/>
          <w:i/>
          <w:sz w:val="18"/>
          <w:szCs w:val="18"/>
        </w:rPr>
        <w:t>Gesprekken commissie VWS met EU-vertegenwoordigers</w:t>
      </w:r>
    </w:p>
    <w:p w:rsidRPr="004442A1" w:rsidR="004442A1" w:rsidP="009442CA" w:rsidRDefault="004442A1">
      <w:pPr>
        <w:pStyle w:val="Geenafstand"/>
        <w:rPr>
          <w:rFonts w:ascii="Verdana" w:hAnsi="Verdana"/>
          <w:sz w:val="18"/>
          <w:szCs w:val="18"/>
        </w:rPr>
      </w:pPr>
      <w:r>
        <w:rPr>
          <w:rFonts w:ascii="Verdana" w:hAnsi="Verdana"/>
          <w:sz w:val="18"/>
          <w:szCs w:val="18"/>
        </w:rPr>
        <w:t xml:space="preserve">Na het uitkomen van de wetsvoorstellen zullen wij voorstellen doen om in gesprek te gaan met de Europese Commissie. Dit kan via een gesprek met de Eurocommissaris of via een technische briefing door ambtenaren van de Europese Commissie. </w:t>
      </w:r>
    </w:p>
    <w:p w:rsidR="004442A1" w:rsidP="009442CA" w:rsidRDefault="004442A1">
      <w:pPr>
        <w:pStyle w:val="Geenafstand"/>
        <w:rPr>
          <w:rFonts w:ascii="Verdana" w:hAnsi="Verdana"/>
          <w:i/>
          <w:sz w:val="18"/>
          <w:szCs w:val="18"/>
        </w:rPr>
      </w:pPr>
    </w:p>
    <w:p w:rsidR="002827DC" w:rsidP="009442CA" w:rsidRDefault="002827DC">
      <w:pPr>
        <w:pStyle w:val="Geenafstand"/>
        <w:rPr>
          <w:rFonts w:ascii="Verdana" w:hAnsi="Verdana"/>
          <w:i/>
          <w:sz w:val="18"/>
          <w:szCs w:val="18"/>
        </w:rPr>
      </w:pPr>
    </w:p>
    <w:p w:rsidR="002827DC" w:rsidP="009442CA" w:rsidRDefault="002827DC">
      <w:pPr>
        <w:pStyle w:val="Geenafstand"/>
        <w:rPr>
          <w:rFonts w:ascii="Verdana" w:hAnsi="Verdana"/>
          <w:i/>
          <w:sz w:val="18"/>
          <w:szCs w:val="18"/>
        </w:rPr>
      </w:pPr>
    </w:p>
    <w:p w:rsidR="004442A1" w:rsidP="009442CA" w:rsidRDefault="004442A1">
      <w:pPr>
        <w:pStyle w:val="Geenafstand"/>
        <w:rPr>
          <w:rFonts w:ascii="Verdana" w:hAnsi="Verdana"/>
          <w:i/>
          <w:sz w:val="18"/>
          <w:szCs w:val="18"/>
        </w:rPr>
      </w:pPr>
      <w:r>
        <w:rPr>
          <w:rFonts w:ascii="Verdana" w:hAnsi="Verdana"/>
          <w:i/>
          <w:sz w:val="18"/>
          <w:szCs w:val="18"/>
        </w:rPr>
        <w:lastRenderedPageBreak/>
        <w:t>Contact met andere nationale parlementen</w:t>
      </w:r>
    </w:p>
    <w:p w:rsidRPr="0048513C" w:rsidR="0048513C" w:rsidP="009442CA" w:rsidRDefault="0048513C">
      <w:pPr>
        <w:pStyle w:val="Geenafstand"/>
        <w:rPr>
          <w:rFonts w:ascii="Verdana" w:hAnsi="Verdana"/>
          <w:sz w:val="18"/>
          <w:szCs w:val="18"/>
        </w:rPr>
      </w:pPr>
      <w:r>
        <w:rPr>
          <w:rFonts w:ascii="Verdana" w:hAnsi="Verdana"/>
          <w:sz w:val="18"/>
          <w:szCs w:val="18"/>
        </w:rPr>
        <w:t xml:space="preserve">Wij zijn voornemens een bijeenkomst te organiseren om van gedachten te kunnen wisselen met andere nationale parlementen (bijvoorbeeld de Scandinavische parlementen, het Belgisch parlement, het Luxemburgs parlement en het Duits parlement) over onderwerpen als kostenbeheersing, een toekomstbestendig zorgstelsel en grensoverschrijdende samenwerking. </w:t>
      </w:r>
    </w:p>
    <w:p w:rsidRPr="0048513C" w:rsidR="004442A1" w:rsidP="009442CA" w:rsidRDefault="004442A1">
      <w:pPr>
        <w:pStyle w:val="Geenafstand"/>
        <w:rPr>
          <w:rFonts w:ascii="Verdana" w:hAnsi="Verdana"/>
          <w:sz w:val="18"/>
          <w:szCs w:val="18"/>
        </w:rPr>
      </w:pPr>
    </w:p>
    <w:p w:rsidR="009442CA" w:rsidP="009442CA" w:rsidRDefault="009442CA">
      <w:pPr>
        <w:pStyle w:val="Geenafstand"/>
        <w:rPr>
          <w:rFonts w:ascii="Verdana" w:hAnsi="Verdana"/>
          <w:sz w:val="18"/>
          <w:szCs w:val="18"/>
        </w:rPr>
      </w:pPr>
    </w:p>
    <w:p w:rsidRPr="002544B8" w:rsidR="009442CA" w:rsidP="009442CA" w:rsidRDefault="009442CA">
      <w:pPr>
        <w:pStyle w:val="Geenafstand"/>
        <w:rPr>
          <w:rFonts w:ascii="Verdana" w:hAnsi="Verdana"/>
          <w:b/>
          <w:sz w:val="18"/>
          <w:szCs w:val="18"/>
        </w:rPr>
      </w:pPr>
      <w:r w:rsidRPr="002544B8">
        <w:rPr>
          <w:rFonts w:ascii="Verdana" w:hAnsi="Verdana"/>
          <w:b/>
          <w:sz w:val="18"/>
          <w:szCs w:val="18"/>
        </w:rPr>
        <w:t xml:space="preserve">Duur van het </w:t>
      </w:r>
      <w:proofErr w:type="spellStart"/>
      <w:r w:rsidRPr="002544B8">
        <w:rPr>
          <w:rFonts w:ascii="Verdana" w:hAnsi="Verdana"/>
          <w:b/>
          <w:sz w:val="18"/>
          <w:szCs w:val="18"/>
        </w:rPr>
        <w:t>rapporteurschap</w:t>
      </w:r>
      <w:proofErr w:type="spellEnd"/>
    </w:p>
    <w:p w:rsidR="00AB7091" w:rsidP="00AB7091" w:rsidRDefault="00ED5AB7">
      <w:pPr>
        <w:spacing w:after="160" w:line="259" w:lineRule="auto"/>
        <w:rPr>
          <w:rFonts w:eastAsia="Times New Roman" w:asciiTheme="minorHAnsi" w:hAnsiTheme="minorHAnsi"/>
          <w:sz w:val="22"/>
        </w:rPr>
      </w:pPr>
      <w:r>
        <w:rPr>
          <w:rFonts w:eastAsia="Times New Roman" w:asciiTheme="minorHAnsi" w:hAnsiTheme="minorHAnsi"/>
          <w:sz w:val="22"/>
        </w:rPr>
        <w:t xml:space="preserve">De looptijd van het </w:t>
      </w:r>
      <w:proofErr w:type="spellStart"/>
      <w:r>
        <w:rPr>
          <w:rFonts w:eastAsia="Times New Roman" w:asciiTheme="minorHAnsi" w:hAnsiTheme="minorHAnsi"/>
          <w:sz w:val="22"/>
        </w:rPr>
        <w:t>rapporteurschap</w:t>
      </w:r>
      <w:proofErr w:type="spellEnd"/>
      <w:r>
        <w:rPr>
          <w:rFonts w:eastAsia="Times New Roman" w:asciiTheme="minorHAnsi" w:hAnsiTheme="minorHAnsi"/>
          <w:sz w:val="22"/>
        </w:rPr>
        <w:t xml:space="preserve"> strekt</w:t>
      </w:r>
      <w:r w:rsidR="00687A3A">
        <w:rPr>
          <w:rFonts w:eastAsia="Times New Roman" w:asciiTheme="minorHAnsi" w:hAnsiTheme="minorHAnsi"/>
          <w:sz w:val="22"/>
        </w:rPr>
        <w:t xml:space="preserve"> tot na het uitkomen van de laatste wetgevende voorstellen die voortvloeien uit de farmaceutische strategie. Dit zal naar verwachting betekenen dat het </w:t>
      </w:r>
      <w:proofErr w:type="spellStart"/>
      <w:r w:rsidR="00687A3A">
        <w:rPr>
          <w:rFonts w:eastAsia="Times New Roman" w:asciiTheme="minorHAnsi" w:hAnsiTheme="minorHAnsi"/>
          <w:sz w:val="22"/>
        </w:rPr>
        <w:t>rapporteurschap</w:t>
      </w:r>
      <w:proofErr w:type="spellEnd"/>
      <w:r w:rsidR="00687A3A">
        <w:rPr>
          <w:rFonts w:eastAsia="Times New Roman" w:asciiTheme="minorHAnsi" w:hAnsiTheme="minorHAnsi"/>
          <w:sz w:val="22"/>
        </w:rPr>
        <w:t xml:space="preserve"> ongeveer zal lopen </w:t>
      </w:r>
      <w:r>
        <w:rPr>
          <w:rFonts w:eastAsia="Times New Roman" w:asciiTheme="minorHAnsi" w:hAnsiTheme="minorHAnsi"/>
          <w:sz w:val="22"/>
        </w:rPr>
        <w:t xml:space="preserve">tot </w:t>
      </w:r>
      <w:r w:rsidR="005030A9">
        <w:rPr>
          <w:rFonts w:eastAsia="Times New Roman" w:asciiTheme="minorHAnsi" w:hAnsiTheme="minorHAnsi"/>
          <w:sz w:val="22"/>
        </w:rPr>
        <w:t xml:space="preserve">en met eind 2022/begin 2023. </w:t>
      </w:r>
    </w:p>
    <w:p w:rsidR="005030A9" w:rsidP="009442CA" w:rsidRDefault="005030A9">
      <w:pPr>
        <w:pStyle w:val="Geenafstand"/>
        <w:rPr>
          <w:rFonts w:ascii="Verdana" w:hAnsi="Verdana"/>
          <w:b/>
          <w:sz w:val="18"/>
          <w:szCs w:val="18"/>
        </w:rPr>
      </w:pPr>
    </w:p>
    <w:p w:rsidRPr="002544B8" w:rsidR="009442CA" w:rsidP="009442CA" w:rsidRDefault="009442CA">
      <w:pPr>
        <w:pStyle w:val="Geenafstand"/>
        <w:rPr>
          <w:rFonts w:ascii="Verdana" w:hAnsi="Verdana"/>
          <w:b/>
          <w:sz w:val="18"/>
          <w:szCs w:val="18"/>
        </w:rPr>
      </w:pPr>
      <w:r w:rsidRPr="002544B8">
        <w:rPr>
          <w:rFonts w:ascii="Verdana" w:hAnsi="Verdana"/>
          <w:b/>
          <w:sz w:val="18"/>
          <w:szCs w:val="18"/>
        </w:rPr>
        <w:t>Rapportage</w:t>
      </w:r>
    </w:p>
    <w:p w:rsidRPr="00710945" w:rsidR="009442CA" w:rsidP="009442CA" w:rsidRDefault="009442CA">
      <w:pPr>
        <w:pStyle w:val="Geenafstand"/>
        <w:rPr>
          <w:rFonts w:ascii="Verdana" w:hAnsi="Verdana"/>
          <w:sz w:val="18"/>
          <w:szCs w:val="18"/>
        </w:rPr>
      </w:pPr>
      <w:r w:rsidRPr="00710945">
        <w:rPr>
          <w:rFonts w:ascii="Verdana" w:hAnsi="Verdana"/>
          <w:sz w:val="18"/>
          <w:szCs w:val="18"/>
        </w:rPr>
        <w:t xml:space="preserve">Gedurende de loop van dit </w:t>
      </w:r>
      <w:proofErr w:type="spellStart"/>
      <w:r w:rsidRPr="00710945">
        <w:rPr>
          <w:rFonts w:ascii="Verdana" w:hAnsi="Verdana"/>
          <w:sz w:val="18"/>
          <w:szCs w:val="18"/>
        </w:rPr>
        <w:t>rapporteurschap</w:t>
      </w:r>
      <w:proofErr w:type="spellEnd"/>
      <w:r w:rsidRPr="00710945">
        <w:rPr>
          <w:rFonts w:ascii="Verdana" w:hAnsi="Verdana"/>
          <w:sz w:val="18"/>
          <w:szCs w:val="18"/>
        </w:rPr>
        <w:t xml:space="preserve"> zullen wij u regelmatig op de hoogte houden van de voortgang van ons </w:t>
      </w:r>
      <w:proofErr w:type="spellStart"/>
      <w:r w:rsidRPr="00710945">
        <w:rPr>
          <w:rFonts w:ascii="Verdana" w:hAnsi="Verdana"/>
          <w:sz w:val="18"/>
          <w:szCs w:val="18"/>
        </w:rPr>
        <w:t>rapporteurschap</w:t>
      </w:r>
      <w:proofErr w:type="spellEnd"/>
      <w:r w:rsidRPr="00710945">
        <w:rPr>
          <w:rFonts w:ascii="Verdana" w:hAnsi="Verdana"/>
          <w:sz w:val="18"/>
          <w:szCs w:val="18"/>
        </w:rPr>
        <w:t xml:space="preserve">. Na afloop van ons </w:t>
      </w:r>
      <w:proofErr w:type="spellStart"/>
      <w:r w:rsidRPr="00710945">
        <w:rPr>
          <w:rFonts w:ascii="Verdana" w:hAnsi="Verdana"/>
          <w:sz w:val="18"/>
          <w:szCs w:val="18"/>
        </w:rPr>
        <w:t>rapporteurschap</w:t>
      </w:r>
      <w:proofErr w:type="spellEnd"/>
      <w:r w:rsidRPr="00710945">
        <w:rPr>
          <w:rFonts w:ascii="Verdana" w:hAnsi="Verdana"/>
          <w:sz w:val="18"/>
          <w:szCs w:val="18"/>
        </w:rPr>
        <w:t xml:space="preserve"> zullen wij verslag van onze werkzaamheden uitbrengen aan de Commissie </w:t>
      </w:r>
      <w:r w:rsidRPr="00710945" w:rsidR="00AB7091">
        <w:rPr>
          <w:rFonts w:ascii="Verdana" w:hAnsi="Verdana"/>
          <w:sz w:val="18"/>
          <w:szCs w:val="18"/>
        </w:rPr>
        <w:t>VWS</w:t>
      </w:r>
      <w:r w:rsidRPr="00710945">
        <w:rPr>
          <w:rFonts w:ascii="Verdana" w:hAnsi="Verdana"/>
          <w:sz w:val="18"/>
          <w:szCs w:val="18"/>
        </w:rPr>
        <w:t xml:space="preserve">. Ten tijde van het </w:t>
      </w:r>
      <w:proofErr w:type="spellStart"/>
      <w:r w:rsidRPr="00710945">
        <w:rPr>
          <w:rFonts w:ascii="Verdana" w:hAnsi="Verdana"/>
          <w:sz w:val="18"/>
          <w:szCs w:val="18"/>
        </w:rPr>
        <w:t>rapporteurschap</w:t>
      </w:r>
      <w:proofErr w:type="spellEnd"/>
      <w:r w:rsidRPr="00710945">
        <w:rPr>
          <w:rFonts w:ascii="Verdana" w:hAnsi="Verdana"/>
          <w:sz w:val="18"/>
          <w:szCs w:val="18"/>
        </w:rPr>
        <w:t xml:space="preserve"> kunt u altijd bij ons terecht voor informatie.</w:t>
      </w:r>
    </w:p>
    <w:p w:rsidRPr="0028476E" w:rsidR="009442CA" w:rsidP="009442CA" w:rsidRDefault="009442CA">
      <w:pPr>
        <w:pStyle w:val="Geenafstand"/>
        <w:rPr>
          <w:rFonts w:ascii="Verdana" w:hAnsi="Verdana"/>
          <w:sz w:val="18"/>
          <w:szCs w:val="18"/>
        </w:rPr>
      </w:pPr>
    </w:p>
    <w:p w:rsidRPr="0028476E" w:rsidR="009442CA" w:rsidP="009442CA" w:rsidRDefault="009442CA">
      <w:pPr>
        <w:pStyle w:val="Geenafstand"/>
        <w:rPr>
          <w:rFonts w:ascii="Verdana" w:hAnsi="Verdana"/>
          <w:sz w:val="18"/>
          <w:szCs w:val="18"/>
        </w:rPr>
      </w:pPr>
    </w:p>
    <w:p w:rsidR="009442CA" w:rsidP="009442CA" w:rsidRDefault="009442CA">
      <w:pPr>
        <w:pStyle w:val="Geenafstand"/>
        <w:rPr>
          <w:rFonts w:ascii="Verdana" w:hAnsi="Verdana"/>
          <w:b/>
          <w:sz w:val="18"/>
          <w:szCs w:val="18"/>
        </w:rPr>
      </w:pPr>
      <w:r w:rsidRPr="004F49C5">
        <w:rPr>
          <w:rFonts w:ascii="Verdana" w:hAnsi="Verdana"/>
          <w:b/>
          <w:sz w:val="18"/>
          <w:szCs w:val="18"/>
        </w:rPr>
        <w:t xml:space="preserve">Planning </w:t>
      </w:r>
    </w:p>
    <w:p w:rsidRPr="004F49C5" w:rsidR="00AB7091" w:rsidP="009442CA" w:rsidRDefault="00AB7091">
      <w:pPr>
        <w:pStyle w:val="Geenafstand"/>
        <w:rPr>
          <w:rFonts w:ascii="Verdana" w:hAnsi="Verdana"/>
          <w:b/>
          <w:color w:val="FF0000"/>
          <w:sz w:val="18"/>
          <w:szCs w:val="18"/>
        </w:rPr>
      </w:pPr>
    </w:p>
    <w:tbl>
      <w:tblPr>
        <w:tblStyle w:val="Tabelraster"/>
        <w:tblW w:w="0" w:type="auto"/>
        <w:tblInd w:w="108" w:type="dxa"/>
        <w:tblLook w:val="04A0" w:firstRow="1" w:lastRow="0" w:firstColumn="1" w:lastColumn="0" w:noHBand="0" w:noVBand="1"/>
      </w:tblPr>
      <w:tblGrid>
        <w:gridCol w:w="5279"/>
        <w:gridCol w:w="2598"/>
      </w:tblGrid>
      <w:tr w:rsidRPr="0028476E" w:rsidR="009442CA" w:rsidTr="004D4352">
        <w:tc>
          <w:tcPr>
            <w:tcW w:w="5279" w:type="dxa"/>
            <w:shd w:val="clear" w:color="auto" w:fill="F5801F"/>
          </w:tcPr>
          <w:p w:rsidRPr="0028476E" w:rsidR="009442CA" w:rsidP="006063E5" w:rsidRDefault="009442CA">
            <w:pPr>
              <w:pStyle w:val="Geenafstand"/>
              <w:rPr>
                <w:rFonts w:ascii="Verdana" w:hAnsi="Verdana"/>
                <w:sz w:val="18"/>
                <w:szCs w:val="18"/>
              </w:rPr>
            </w:pPr>
            <w:r>
              <w:rPr>
                <w:rFonts w:ascii="Verdana" w:hAnsi="Verdana"/>
                <w:sz w:val="18"/>
                <w:szCs w:val="18"/>
              </w:rPr>
              <w:t>ACTIVITEIT</w:t>
            </w:r>
            <w:r w:rsidR="006063E5">
              <w:rPr>
                <w:rFonts w:ascii="Verdana" w:hAnsi="Verdana"/>
                <w:sz w:val="18"/>
                <w:szCs w:val="18"/>
              </w:rPr>
              <w:t xml:space="preserve"> </w:t>
            </w:r>
          </w:p>
        </w:tc>
        <w:tc>
          <w:tcPr>
            <w:tcW w:w="2598" w:type="dxa"/>
            <w:shd w:val="clear" w:color="auto" w:fill="F5801F"/>
          </w:tcPr>
          <w:p w:rsidRPr="0028476E" w:rsidR="009442CA" w:rsidP="004D4352" w:rsidRDefault="009442CA">
            <w:pPr>
              <w:pStyle w:val="Geenafstand"/>
              <w:rPr>
                <w:rFonts w:ascii="Verdana" w:hAnsi="Verdana"/>
                <w:sz w:val="18"/>
                <w:szCs w:val="18"/>
              </w:rPr>
            </w:pPr>
            <w:r>
              <w:rPr>
                <w:rFonts w:ascii="Verdana" w:hAnsi="Verdana"/>
                <w:sz w:val="18"/>
                <w:szCs w:val="18"/>
              </w:rPr>
              <w:t>PERIODE</w:t>
            </w:r>
          </w:p>
        </w:tc>
      </w:tr>
      <w:tr w:rsidRPr="0028476E" w:rsidR="009442CA" w:rsidTr="004D4352">
        <w:tc>
          <w:tcPr>
            <w:tcW w:w="5279" w:type="dxa"/>
          </w:tcPr>
          <w:p w:rsidRPr="00CC0D5A" w:rsidR="009442CA" w:rsidP="004D4352" w:rsidRDefault="009442CA">
            <w:pPr>
              <w:pStyle w:val="Geenafstand"/>
              <w:rPr>
                <w:rFonts w:ascii="Verdana" w:hAnsi="Verdana"/>
                <w:sz w:val="18"/>
                <w:szCs w:val="18"/>
              </w:rPr>
            </w:pPr>
            <w:r>
              <w:rPr>
                <w:rFonts w:ascii="Verdana" w:hAnsi="Verdana"/>
                <w:sz w:val="18"/>
                <w:szCs w:val="18"/>
              </w:rPr>
              <w:t>Werkbezoek</w:t>
            </w:r>
            <w:r w:rsidRPr="00CC0D5A">
              <w:rPr>
                <w:rFonts w:ascii="Verdana" w:hAnsi="Verdana"/>
                <w:sz w:val="18"/>
                <w:szCs w:val="18"/>
              </w:rPr>
              <w:t xml:space="preserve"> Brussel</w:t>
            </w:r>
          </w:p>
        </w:tc>
        <w:tc>
          <w:tcPr>
            <w:tcW w:w="2598" w:type="dxa"/>
          </w:tcPr>
          <w:p w:rsidRPr="00C85B8A" w:rsidR="009442CA" w:rsidP="004D4352" w:rsidRDefault="009442CA">
            <w:pPr>
              <w:pStyle w:val="Geenafstand"/>
              <w:rPr>
                <w:rFonts w:ascii="Verdana" w:hAnsi="Verdana"/>
                <w:sz w:val="18"/>
                <w:szCs w:val="18"/>
              </w:rPr>
            </w:pPr>
            <w:r w:rsidRPr="00C85B8A">
              <w:rPr>
                <w:rFonts w:ascii="Verdana" w:hAnsi="Verdana"/>
                <w:sz w:val="18"/>
                <w:szCs w:val="18"/>
              </w:rPr>
              <w:t>Najaar 2021</w:t>
            </w:r>
          </w:p>
        </w:tc>
      </w:tr>
      <w:tr w:rsidRPr="0028476E" w:rsidR="00C85B8A" w:rsidTr="004D4352">
        <w:tc>
          <w:tcPr>
            <w:tcW w:w="5279" w:type="dxa"/>
          </w:tcPr>
          <w:p w:rsidR="00C85B8A" w:rsidP="004D4352" w:rsidRDefault="00C85B8A">
            <w:pPr>
              <w:pStyle w:val="Geenafstand"/>
              <w:rPr>
                <w:rFonts w:ascii="Verdana" w:hAnsi="Verdana"/>
                <w:sz w:val="18"/>
                <w:szCs w:val="18"/>
              </w:rPr>
            </w:pPr>
            <w:r>
              <w:rPr>
                <w:rFonts w:ascii="Verdana" w:hAnsi="Verdana"/>
                <w:sz w:val="18"/>
                <w:szCs w:val="18"/>
              </w:rPr>
              <w:t>Gesprekken met stakeholders</w:t>
            </w:r>
          </w:p>
        </w:tc>
        <w:tc>
          <w:tcPr>
            <w:tcW w:w="2598" w:type="dxa"/>
          </w:tcPr>
          <w:p w:rsidRPr="00C85B8A" w:rsidR="00C85B8A" w:rsidP="00C85B8A" w:rsidRDefault="00C85B8A">
            <w:pPr>
              <w:pStyle w:val="Geenafstand"/>
              <w:rPr>
                <w:rFonts w:ascii="Verdana" w:hAnsi="Verdana"/>
                <w:sz w:val="18"/>
                <w:szCs w:val="18"/>
              </w:rPr>
            </w:pPr>
            <w:r>
              <w:rPr>
                <w:rFonts w:ascii="Verdana" w:hAnsi="Verdana"/>
                <w:sz w:val="18"/>
                <w:szCs w:val="18"/>
              </w:rPr>
              <w:t>Najaar 2021 + eerste kwartaal 2022</w:t>
            </w:r>
          </w:p>
        </w:tc>
      </w:tr>
      <w:tr w:rsidRPr="0028476E" w:rsidR="00710945" w:rsidTr="004D4352">
        <w:tc>
          <w:tcPr>
            <w:tcW w:w="5279" w:type="dxa"/>
          </w:tcPr>
          <w:p w:rsidR="00710945" w:rsidP="004D4352" w:rsidRDefault="00710945">
            <w:pPr>
              <w:pStyle w:val="Geenafstand"/>
              <w:rPr>
                <w:rFonts w:ascii="Verdana" w:hAnsi="Verdana"/>
                <w:sz w:val="18"/>
                <w:szCs w:val="18"/>
              </w:rPr>
            </w:pPr>
            <w:r>
              <w:rPr>
                <w:rFonts w:ascii="Verdana" w:hAnsi="Verdana"/>
                <w:sz w:val="18"/>
                <w:szCs w:val="18"/>
              </w:rPr>
              <w:t>Bijeenkomst met andere nationale parlementen</w:t>
            </w:r>
          </w:p>
        </w:tc>
        <w:tc>
          <w:tcPr>
            <w:tcW w:w="2598" w:type="dxa"/>
          </w:tcPr>
          <w:p w:rsidR="00710945" w:rsidP="00C85B8A" w:rsidRDefault="00710945">
            <w:pPr>
              <w:pStyle w:val="Geenafstand"/>
              <w:rPr>
                <w:rFonts w:ascii="Verdana" w:hAnsi="Verdana"/>
                <w:sz w:val="18"/>
                <w:szCs w:val="18"/>
              </w:rPr>
            </w:pPr>
            <w:r>
              <w:rPr>
                <w:rFonts w:ascii="Verdana" w:hAnsi="Verdana"/>
                <w:sz w:val="18"/>
                <w:szCs w:val="18"/>
              </w:rPr>
              <w:t>Begin 2022</w:t>
            </w:r>
          </w:p>
        </w:tc>
      </w:tr>
      <w:tr w:rsidRPr="0028476E" w:rsidR="00C85B8A" w:rsidTr="004D4352">
        <w:tc>
          <w:tcPr>
            <w:tcW w:w="5279" w:type="dxa"/>
          </w:tcPr>
          <w:p w:rsidR="00C85B8A" w:rsidP="004D4352" w:rsidRDefault="00C85B8A">
            <w:pPr>
              <w:pStyle w:val="Geenafstand"/>
              <w:rPr>
                <w:rFonts w:ascii="Verdana" w:hAnsi="Verdana"/>
                <w:sz w:val="18"/>
                <w:szCs w:val="18"/>
              </w:rPr>
            </w:pPr>
            <w:r>
              <w:rPr>
                <w:rFonts w:ascii="Verdana" w:hAnsi="Verdana"/>
                <w:sz w:val="18"/>
                <w:szCs w:val="18"/>
              </w:rPr>
              <w:t>Gesprek commissie VWS met Eurocommissaris</w:t>
            </w:r>
          </w:p>
        </w:tc>
        <w:tc>
          <w:tcPr>
            <w:tcW w:w="2598" w:type="dxa"/>
          </w:tcPr>
          <w:p w:rsidRPr="00C85B8A" w:rsidR="00C85B8A" w:rsidP="004D4352" w:rsidRDefault="00C85B8A">
            <w:pPr>
              <w:pStyle w:val="Geenafstand"/>
              <w:rPr>
                <w:rFonts w:ascii="Verdana" w:hAnsi="Verdana"/>
                <w:i/>
                <w:sz w:val="18"/>
                <w:szCs w:val="18"/>
              </w:rPr>
            </w:pPr>
            <w:r>
              <w:rPr>
                <w:rFonts w:ascii="Verdana" w:hAnsi="Verdana"/>
                <w:i/>
                <w:sz w:val="18"/>
                <w:szCs w:val="18"/>
              </w:rPr>
              <w:t>Na uitkomen wetgevende voorstellen</w:t>
            </w:r>
          </w:p>
        </w:tc>
      </w:tr>
      <w:tr w:rsidRPr="0028476E" w:rsidR="00C85B8A" w:rsidTr="004D4352">
        <w:tc>
          <w:tcPr>
            <w:tcW w:w="5279" w:type="dxa"/>
          </w:tcPr>
          <w:p w:rsidR="00C85B8A" w:rsidP="004D4352" w:rsidRDefault="00C85B8A">
            <w:pPr>
              <w:pStyle w:val="Geenafstand"/>
              <w:rPr>
                <w:rFonts w:ascii="Verdana" w:hAnsi="Verdana"/>
                <w:sz w:val="18"/>
                <w:szCs w:val="18"/>
              </w:rPr>
            </w:pPr>
            <w:r>
              <w:rPr>
                <w:rFonts w:ascii="Verdana" w:hAnsi="Verdana"/>
                <w:sz w:val="18"/>
                <w:szCs w:val="18"/>
              </w:rPr>
              <w:t xml:space="preserve">Digitale technische briefing ambtenaren Europese Commissie </w:t>
            </w:r>
          </w:p>
        </w:tc>
        <w:tc>
          <w:tcPr>
            <w:tcW w:w="2598" w:type="dxa"/>
          </w:tcPr>
          <w:p w:rsidR="00C85B8A" w:rsidP="004D4352" w:rsidRDefault="00C85B8A">
            <w:pPr>
              <w:pStyle w:val="Geenafstand"/>
              <w:rPr>
                <w:rFonts w:ascii="Verdana" w:hAnsi="Verdana"/>
                <w:i/>
                <w:sz w:val="18"/>
                <w:szCs w:val="18"/>
              </w:rPr>
            </w:pPr>
            <w:r>
              <w:rPr>
                <w:rFonts w:ascii="Verdana" w:hAnsi="Verdana"/>
                <w:i/>
                <w:sz w:val="18"/>
                <w:szCs w:val="18"/>
              </w:rPr>
              <w:t>Na uitkomen wetgevende voorstellen</w:t>
            </w:r>
          </w:p>
        </w:tc>
      </w:tr>
      <w:tr w:rsidRPr="0028476E" w:rsidR="009442CA" w:rsidTr="004D4352">
        <w:tc>
          <w:tcPr>
            <w:tcW w:w="5279" w:type="dxa"/>
          </w:tcPr>
          <w:p w:rsidR="009442CA" w:rsidP="004D4352" w:rsidRDefault="009442CA">
            <w:pPr>
              <w:pStyle w:val="Geenafstand"/>
              <w:rPr>
                <w:rFonts w:ascii="Verdana" w:hAnsi="Verdana"/>
                <w:sz w:val="18"/>
                <w:szCs w:val="18"/>
              </w:rPr>
            </w:pPr>
            <w:r>
              <w:rPr>
                <w:rFonts w:ascii="Verdana" w:hAnsi="Verdana"/>
                <w:sz w:val="18"/>
                <w:szCs w:val="18"/>
              </w:rPr>
              <w:t>Rondetafelgesprek</w:t>
            </w:r>
            <w:r w:rsidR="00710945">
              <w:rPr>
                <w:rFonts w:ascii="Verdana" w:hAnsi="Verdana"/>
                <w:sz w:val="18"/>
                <w:szCs w:val="18"/>
              </w:rPr>
              <w:t xml:space="preserve"> commissie VWS</w:t>
            </w:r>
          </w:p>
        </w:tc>
        <w:tc>
          <w:tcPr>
            <w:tcW w:w="2598" w:type="dxa"/>
          </w:tcPr>
          <w:p w:rsidRPr="007D1ECF" w:rsidR="009442CA" w:rsidP="00710945" w:rsidRDefault="00C85B8A">
            <w:pPr>
              <w:pStyle w:val="Geenafstand"/>
              <w:rPr>
                <w:rFonts w:ascii="Verdana" w:hAnsi="Verdana"/>
                <w:i/>
                <w:sz w:val="18"/>
                <w:szCs w:val="18"/>
              </w:rPr>
            </w:pPr>
            <w:r>
              <w:rPr>
                <w:rFonts w:ascii="Verdana" w:hAnsi="Verdana"/>
                <w:i/>
                <w:sz w:val="18"/>
                <w:szCs w:val="18"/>
              </w:rPr>
              <w:t xml:space="preserve">Na </w:t>
            </w:r>
            <w:r w:rsidR="00710945">
              <w:rPr>
                <w:rFonts w:ascii="Verdana" w:hAnsi="Verdana"/>
                <w:i/>
                <w:sz w:val="18"/>
                <w:szCs w:val="18"/>
              </w:rPr>
              <w:t xml:space="preserve">eerste oriënterende gesprekken </w:t>
            </w:r>
          </w:p>
        </w:tc>
      </w:tr>
      <w:tr w:rsidRPr="0028476E" w:rsidR="009442CA" w:rsidTr="004D4352">
        <w:tc>
          <w:tcPr>
            <w:tcW w:w="5279" w:type="dxa"/>
          </w:tcPr>
          <w:p w:rsidRPr="00CC0D5A" w:rsidR="009442CA" w:rsidP="004D4352" w:rsidRDefault="009442CA">
            <w:pPr>
              <w:pStyle w:val="Geenafstand"/>
              <w:rPr>
                <w:rFonts w:ascii="Verdana" w:hAnsi="Verdana"/>
                <w:sz w:val="18"/>
                <w:szCs w:val="18"/>
              </w:rPr>
            </w:pPr>
            <w:r w:rsidRPr="00CC0D5A">
              <w:rPr>
                <w:rFonts w:ascii="Verdana" w:hAnsi="Verdana"/>
                <w:sz w:val="18"/>
                <w:szCs w:val="18"/>
              </w:rPr>
              <w:t>Verslaglegging</w:t>
            </w:r>
            <w:r>
              <w:rPr>
                <w:rFonts w:ascii="Verdana" w:hAnsi="Verdana"/>
                <w:sz w:val="18"/>
                <w:szCs w:val="18"/>
              </w:rPr>
              <w:t xml:space="preserve"> einde </w:t>
            </w:r>
            <w:proofErr w:type="spellStart"/>
            <w:r>
              <w:rPr>
                <w:rFonts w:ascii="Verdana" w:hAnsi="Verdana"/>
                <w:sz w:val="18"/>
                <w:szCs w:val="18"/>
              </w:rPr>
              <w:t>rapporteurschap</w:t>
            </w:r>
            <w:proofErr w:type="spellEnd"/>
          </w:p>
        </w:tc>
        <w:tc>
          <w:tcPr>
            <w:tcW w:w="2598" w:type="dxa"/>
          </w:tcPr>
          <w:p w:rsidRPr="00CC0D5A" w:rsidR="009442CA" w:rsidP="004D4352" w:rsidRDefault="00AB7091">
            <w:pPr>
              <w:pStyle w:val="Geenafstand"/>
              <w:rPr>
                <w:rFonts w:ascii="Verdana" w:hAnsi="Verdana"/>
                <w:sz w:val="18"/>
                <w:szCs w:val="18"/>
              </w:rPr>
            </w:pPr>
            <w:r>
              <w:rPr>
                <w:rFonts w:ascii="Verdana" w:hAnsi="Verdana"/>
                <w:sz w:val="18"/>
                <w:szCs w:val="18"/>
              </w:rPr>
              <w:t>Begin 2023</w:t>
            </w:r>
          </w:p>
        </w:tc>
      </w:tr>
      <w:tr w:rsidRPr="0028476E" w:rsidR="009442CA" w:rsidTr="004D4352">
        <w:tc>
          <w:tcPr>
            <w:tcW w:w="5279" w:type="dxa"/>
          </w:tcPr>
          <w:p w:rsidRPr="00CC0D5A" w:rsidR="009442CA" w:rsidP="004D4352" w:rsidRDefault="009442CA">
            <w:pPr>
              <w:pStyle w:val="Geenafstand"/>
              <w:rPr>
                <w:rFonts w:ascii="Verdana" w:hAnsi="Verdana"/>
                <w:sz w:val="18"/>
                <w:szCs w:val="18"/>
              </w:rPr>
            </w:pPr>
            <w:r w:rsidRPr="00CC0D5A">
              <w:rPr>
                <w:rFonts w:ascii="Verdana" w:hAnsi="Verdana"/>
                <w:sz w:val="18"/>
                <w:szCs w:val="18"/>
              </w:rPr>
              <w:t xml:space="preserve">Afronding </w:t>
            </w:r>
            <w:proofErr w:type="spellStart"/>
            <w:r w:rsidRPr="00CC0D5A">
              <w:rPr>
                <w:rFonts w:ascii="Verdana" w:hAnsi="Verdana"/>
                <w:sz w:val="18"/>
                <w:szCs w:val="18"/>
              </w:rPr>
              <w:t>rapporteurschap</w:t>
            </w:r>
            <w:proofErr w:type="spellEnd"/>
          </w:p>
        </w:tc>
        <w:tc>
          <w:tcPr>
            <w:tcW w:w="2598" w:type="dxa"/>
          </w:tcPr>
          <w:p w:rsidRPr="00CC0D5A" w:rsidR="009442CA" w:rsidP="004D4352" w:rsidRDefault="00AB7091">
            <w:pPr>
              <w:pStyle w:val="Geenafstand"/>
              <w:rPr>
                <w:rFonts w:ascii="Verdana" w:hAnsi="Verdana"/>
                <w:sz w:val="18"/>
                <w:szCs w:val="18"/>
              </w:rPr>
            </w:pPr>
            <w:r>
              <w:rPr>
                <w:rFonts w:ascii="Verdana" w:hAnsi="Verdana"/>
                <w:sz w:val="18"/>
                <w:szCs w:val="18"/>
              </w:rPr>
              <w:t>Begin 2023</w:t>
            </w:r>
          </w:p>
        </w:tc>
      </w:tr>
    </w:tbl>
    <w:p w:rsidR="00AB7091" w:rsidP="009442CA" w:rsidRDefault="00AB7091">
      <w:pPr>
        <w:pStyle w:val="Geenafstand"/>
        <w:rPr>
          <w:b/>
          <w:szCs w:val="18"/>
        </w:rPr>
      </w:pPr>
    </w:p>
    <w:p w:rsidR="00AB7091" w:rsidP="009442CA" w:rsidRDefault="00AB7091">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D2752C" w:rsidP="009442CA" w:rsidRDefault="00D2752C">
      <w:pPr>
        <w:pStyle w:val="Geenafstand"/>
        <w:rPr>
          <w:b/>
          <w:szCs w:val="18"/>
        </w:rPr>
      </w:pPr>
    </w:p>
    <w:p w:rsidR="009442CA" w:rsidP="009442CA" w:rsidRDefault="009442CA">
      <w:pPr>
        <w:pStyle w:val="Geenafstand"/>
        <w:rPr>
          <w:rFonts w:ascii="Verdana" w:hAnsi="Verdana"/>
          <w:sz w:val="18"/>
          <w:szCs w:val="18"/>
        </w:rPr>
      </w:pPr>
      <w:r>
        <w:rPr>
          <w:b/>
          <w:szCs w:val="18"/>
        </w:rPr>
        <w:t>B</w:t>
      </w:r>
      <w:r w:rsidR="006063E5">
        <w:rPr>
          <w:b/>
          <w:szCs w:val="18"/>
        </w:rPr>
        <w:t>udget</w:t>
      </w:r>
    </w:p>
    <w:p w:rsidR="00710945" w:rsidP="009442CA" w:rsidRDefault="009442CA">
      <w:pPr>
        <w:pStyle w:val="Geenafstand"/>
        <w:rPr>
          <w:rFonts w:ascii="Verdana" w:hAnsi="Verdana"/>
          <w:i/>
          <w:sz w:val="18"/>
          <w:szCs w:val="18"/>
        </w:rPr>
      </w:pPr>
      <w:r w:rsidRPr="00710945">
        <w:rPr>
          <w:rFonts w:ascii="Verdana" w:hAnsi="Verdana"/>
          <w:sz w:val="18"/>
          <w:szCs w:val="18"/>
        </w:rPr>
        <w:t xml:space="preserve">Gelet op de coronacrisis en -maatregelen is het opstellen van een precieze begroting niet goed mogelijk. Onze intentie is om daar waar mogelijk en noodzakelijk onze gesprekpartners in fysieke nabijheid te ontmoeten. </w:t>
      </w:r>
    </w:p>
    <w:p w:rsidRPr="00710945" w:rsidR="00710945" w:rsidP="009442CA" w:rsidRDefault="00710945">
      <w:pPr>
        <w:pStyle w:val="Geenafstand"/>
        <w:rPr>
          <w:rFonts w:ascii="Verdana" w:hAnsi="Verdana"/>
          <w:i/>
          <w:sz w:val="18"/>
          <w:szCs w:val="18"/>
        </w:rPr>
      </w:pPr>
    </w:p>
    <w:tbl>
      <w:tblPr>
        <w:tblStyle w:val="Tabelraster"/>
        <w:tblW w:w="0" w:type="auto"/>
        <w:tblInd w:w="108" w:type="dxa"/>
        <w:tblLook w:val="04A0" w:firstRow="1" w:lastRow="0" w:firstColumn="1" w:lastColumn="0" w:noHBand="0" w:noVBand="1"/>
      </w:tblPr>
      <w:tblGrid>
        <w:gridCol w:w="3564"/>
        <w:gridCol w:w="1841"/>
        <w:gridCol w:w="2472"/>
      </w:tblGrid>
      <w:tr w:rsidRPr="00A64291" w:rsidR="009442CA" w:rsidTr="00AB7091">
        <w:tc>
          <w:tcPr>
            <w:tcW w:w="3564" w:type="dxa"/>
            <w:tcBorders>
              <w:top w:val="single" w:color="auto" w:sz="4" w:space="0"/>
              <w:left w:val="single" w:color="auto" w:sz="4" w:space="0"/>
              <w:bottom w:val="single" w:color="auto" w:sz="4" w:space="0"/>
              <w:right w:val="single" w:color="auto" w:sz="4" w:space="0"/>
            </w:tcBorders>
            <w:shd w:val="clear" w:color="auto" w:fill="70AD47" w:themeFill="accent6"/>
          </w:tcPr>
          <w:p w:rsidR="009442CA" w:rsidP="004D4352" w:rsidRDefault="009442CA">
            <w:pPr>
              <w:pStyle w:val="Geenafstand"/>
              <w:rPr>
                <w:rFonts w:ascii="Verdana" w:hAnsi="Verdana"/>
                <w:b/>
                <w:i/>
                <w:sz w:val="18"/>
                <w:szCs w:val="18"/>
              </w:rPr>
            </w:pPr>
            <w:r>
              <w:rPr>
                <w:rFonts w:ascii="Verdana" w:hAnsi="Verdana"/>
                <w:b/>
                <w:i/>
                <w:sz w:val="18"/>
                <w:szCs w:val="18"/>
              </w:rPr>
              <w:t>Werkbezoek Brussel najaar 2021</w:t>
            </w:r>
          </w:p>
          <w:p w:rsidR="009442CA" w:rsidP="004D4352" w:rsidRDefault="009442CA">
            <w:pPr>
              <w:pStyle w:val="Geenafstand"/>
              <w:rPr>
                <w:rFonts w:ascii="Verdana" w:hAnsi="Verdana"/>
                <w:b/>
                <w:i/>
                <w:sz w:val="18"/>
                <w:szCs w:val="18"/>
              </w:rPr>
            </w:pPr>
          </w:p>
          <w:p w:rsidR="009442CA" w:rsidP="004D4352" w:rsidRDefault="009442CA">
            <w:pPr>
              <w:pStyle w:val="Geenafstand"/>
              <w:rPr>
                <w:rFonts w:ascii="Verdana" w:hAnsi="Verdana"/>
                <w:b/>
                <w:sz w:val="18"/>
                <w:szCs w:val="18"/>
              </w:rPr>
            </w:pPr>
            <w:r>
              <w:rPr>
                <w:rFonts w:ascii="Verdana" w:hAnsi="Verdana"/>
                <w:b/>
                <w:i/>
                <w:sz w:val="18"/>
                <w:szCs w:val="18"/>
              </w:rPr>
              <w:t>Nb. geen overnachting voorzien</w:t>
            </w:r>
          </w:p>
        </w:tc>
        <w:tc>
          <w:tcPr>
            <w:tcW w:w="1841" w:type="dxa"/>
            <w:tcBorders>
              <w:top w:val="single" w:color="auto" w:sz="4" w:space="0"/>
              <w:left w:val="single" w:color="auto" w:sz="4" w:space="0"/>
              <w:bottom w:val="single" w:color="auto" w:sz="4" w:space="0"/>
              <w:right w:val="single" w:color="auto" w:sz="4" w:space="0"/>
            </w:tcBorders>
            <w:shd w:val="clear" w:color="auto" w:fill="70AD47" w:themeFill="accent6"/>
            <w:hideMark/>
          </w:tcPr>
          <w:p w:rsidR="009442CA" w:rsidP="004D4352" w:rsidRDefault="009442CA">
            <w:pPr>
              <w:pStyle w:val="Geenafstand"/>
              <w:rPr>
                <w:rFonts w:ascii="Verdana" w:hAnsi="Verdana"/>
                <w:b/>
                <w:sz w:val="18"/>
                <w:szCs w:val="18"/>
              </w:rPr>
            </w:pPr>
            <w:r>
              <w:rPr>
                <w:rFonts w:ascii="Verdana" w:hAnsi="Verdana"/>
                <w:b/>
                <w:sz w:val="18"/>
                <w:szCs w:val="18"/>
              </w:rPr>
              <w:t>Uitgavenpost pp</w:t>
            </w:r>
          </w:p>
        </w:tc>
        <w:tc>
          <w:tcPr>
            <w:tcW w:w="2472" w:type="dxa"/>
            <w:tcBorders>
              <w:top w:val="single" w:color="auto" w:sz="4" w:space="0"/>
              <w:left w:val="single" w:color="auto" w:sz="4" w:space="0"/>
              <w:bottom w:val="single" w:color="auto" w:sz="4" w:space="0"/>
              <w:right w:val="single" w:color="auto" w:sz="4" w:space="0"/>
            </w:tcBorders>
            <w:shd w:val="clear" w:color="auto" w:fill="70AD47" w:themeFill="accent6"/>
            <w:hideMark/>
          </w:tcPr>
          <w:p w:rsidR="009442CA" w:rsidP="004D4352" w:rsidRDefault="009442CA">
            <w:pPr>
              <w:pStyle w:val="Geenafstand"/>
              <w:rPr>
                <w:rFonts w:ascii="Verdana" w:hAnsi="Verdana"/>
                <w:b/>
                <w:sz w:val="18"/>
                <w:szCs w:val="18"/>
              </w:rPr>
            </w:pPr>
            <w:r>
              <w:rPr>
                <w:rFonts w:ascii="Verdana" w:hAnsi="Verdana"/>
                <w:b/>
                <w:sz w:val="18"/>
                <w:szCs w:val="18"/>
              </w:rPr>
              <w:t xml:space="preserve">Kosten </w:t>
            </w:r>
            <w:r>
              <w:rPr>
                <w:rFonts w:ascii="Verdana" w:hAnsi="Verdana"/>
                <w:sz w:val="18"/>
                <w:szCs w:val="18"/>
              </w:rPr>
              <w:t xml:space="preserve">totale delegatie bestaande uit </w:t>
            </w:r>
            <w:r>
              <w:rPr>
                <w:rFonts w:ascii="Verdana" w:hAnsi="Verdana"/>
                <w:b/>
                <w:sz w:val="18"/>
                <w:szCs w:val="18"/>
              </w:rPr>
              <w:t>3 rapporteurs</w:t>
            </w:r>
          </w:p>
        </w:tc>
      </w:tr>
      <w:tr w:rsidR="009442CA" w:rsidTr="00AB7091">
        <w:tc>
          <w:tcPr>
            <w:tcW w:w="3564" w:type="dxa"/>
            <w:tcBorders>
              <w:top w:val="single" w:color="auto" w:sz="4" w:space="0"/>
              <w:left w:val="single" w:color="auto" w:sz="4" w:space="0"/>
              <w:bottom w:val="single" w:color="auto" w:sz="4" w:space="0"/>
              <w:right w:val="single" w:color="auto" w:sz="4" w:space="0"/>
            </w:tcBorders>
          </w:tcPr>
          <w:p w:rsidR="009442CA" w:rsidP="004D4352" w:rsidRDefault="009442CA">
            <w:pPr>
              <w:pStyle w:val="Geenafstand"/>
              <w:rPr>
                <w:rFonts w:ascii="Verdana" w:hAnsi="Verdana"/>
                <w:sz w:val="18"/>
                <w:szCs w:val="18"/>
              </w:rPr>
            </w:pPr>
            <w:r>
              <w:rPr>
                <w:rFonts w:ascii="Verdana" w:hAnsi="Verdana"/>
                <w:sz w:val="18"/>
                <w:szCs w:val="18"/>
              </w:rPr>
              <w:t>Reiskosten pp</w:t>
            </w:r>
          </w:p>
          <w:p w:rsidR="009442CA" w:rsidP="004D4352" w:rsidRDefault="009442CA">
            <w:pPr>
              <w:pStyle w:val="Geenafstand"/>
              <w:rPr>
                <w:rFonts w:ascii="Verdana" w:hAnsi="Verdana"/>
                <w:sz w:val="18"/>
                <w:szCs w:val="18"/>
              </w:rPr>
            </w:pPr>
          </w:p>
        </w:tc>
        <w:tc>
          <w:tcPr>
            <w:tcW w:w="1841" w:type="dxa"/>
            <w:tcBorders>
              <w:top w:val="single" w:color="auto" w:sz="4" w:space="0"/>
              <w:left w:val="single" w:color="auto" w:sz="4" w:space="0"/>
              <w:bottom w:val="single" w:color="auto" w:sz="4" w:space="0"/>
              <w:right w:val="single" w:color="auto" w:sz="4" w:space="0"/>
            </w:tcBorders>
          </w:tcPr>
          <w:p w:rsidR="009442CA" w:rsidP="004D4352" w:rsidRDefault="009442CA">
            <w:pPr>
              <w:pStyle w:val="Geenafstand"/>
              <w:jc w:val="right"/>
              <w:rPr>
                <w:rFonts w:ascii="Verdana" w:hAnsi="Verdana"/>
                <w:sz w:val="18"/>
                <w:szCs w:val="18"/>
              </w:rPr>
            </w:pPr>
            <w:r>
              <w:rPr>
                <w:rFonts w:ascii="Verdana" w:hAnsi="Verdana"/>
                <w:sz w:val="18"/>
                <w:szCs w:val="18"/>
              </w:rPr>
              <w:t>€200</w:t>
            </w:r>
          </w:p>
          <w:p w:rsidR="009442CA" w:rsidP="004D4352" w:rsidRDefault="009442CA">
            <w:pPr>
              <w:pStyle w:val="Geenafstand"/>
              <w:rPr>
                <w:rFonts w:ascii="Verdana" w:hAnsi="Verdana"/>
                <w:sz w:val="18"/>
                <w:szCs w:val="18"/>
              </w:rPr>
            </w:pPr>
          </w:p>
        </w:tc>
        <w:tc>
          <w:tcPr>
            <w:tcW w:w="2472" w:type="dxa"/>
            <w:tcBorders>
              <w:top w:val="single" w:color="auto" w:sz="4" w:space="0"/>
              <w:left w:val="single" w:color="auto" w:sz="4" w:space="0"/>
              <w:bottom w:val="single" w:color="auto" w:sz="4" w:space="0"/>
              <w:right w:val="single" w:color="auto" w:sz="4" w:space="0"/>
            </w:tcBorders>
            <w:hideMark/>
          </w:tcPr>
          <w:p w:rsidR="009442CA" w:rsidP="004D4352" w:rsidRDefault="009442CA">
            <w:pPr>
              <w:pStyle w:val="Geenafstand"/>
              <w:jc w:val="right"/>
              <w:rPr>
                <w:rFonts w:ascii="Verdana" w:hAnsi="Verdana"/>
                <w:sz w:val="18"/>
                <w:szCs w:val="18"/>
              </w:rPr>
            </w:pPr>
            <w:r>
              <w:rPr>
                <w:rFonts w:ascii="Verdana" w:hAnsi="Verdana"/>
                <w:sz w:val="18"/>
                <w:szCs w:val="18"/>
              </w:rPr>
              <w:t>€600</w:t>
            </w:r>
          </w:p>
        </w:tc>
      </w:tr>
      <w:tr w:rsidR="009442CA" w:rsidTr="00AB7091">
        <w:tc>
          <w:tcPr>
            <w:tcW w:w="3564" w:type="dxa"/>
            <w:tcBorders>
              <w:top w:val="single" w:color="auto" w:sz="4" w:space="0"/>
              <w:left w:val="single" w:color="auto" w:sz="4" w:space="0"/>
              <w:bottom w:val="single" w:color="auto" w:sz="12" w:space="0"/>
              <w:right w:val="single" w:color="auto" w:sz="4" w:space="0"/>
            </w:tcBorders>
          </w:tcPr>
          <w:p w:rsidR="009442CA" w:rsidP="004D4352" w:rsidRDefault="009442CA">
            <w:pPr>
              <w:pStyle w:val="Geenafstand"/>
              <w:rPr>
                <w:rFonts w:ascii="Verdana" w:hAnsi="Verdana"/>
                <w:sz w:val="18"/>
                <w:szCs w:val="18"/>
              </w:rPr>
            </w:pPr>
            <w:r>
              <w:rPr>
                <w:rFonts w:ascii="Verdana" w:hAnsi="Verdana"/>
                <w:sz w:val="18"/>
                <w:szCs w:val="18"/>
              </w:rPr>
              <w:t>Dagvergoeding</w:t>
            </w:r>
          </w:p>
          <w:p w:rsidR="009442CA" w:rsidP="004D4352" w:rsidRDefault="009442CA">
            <w:pPr>
              <w:pStyle w:val="Geenafstand"/>
              <w:rPr>
                <w:rFonts w:ascii="Verdana" w:hAnsi="Verdana"/>
                <w:sz w:val="18"/>
                <w:szCs w:val="18"/>
              </w:rPr>
            </w:pPr>
          </w:p>
        </w:tc>
        <w:tc>
          <w:tcPr>
            <w:tcW w:w="1841" w:type="dxa"/>
            <w:tcBorders>
              <w:top w:val="single" w:color="auto" w:sz="4" w:space="0"/>
              <w:left w:val="single" w:color="auto" w:sz="4" w:space="0"/>
              <w:bottom w:val="single" w:color="auto" w:sz="12" w:space="0"/>
              <w:right w:val="single" w:color="auto" w:sz="4" w:space="0"/>
            </w:tcBorders>
          </w:tcPr>
          <w:p w:rsidR="009442CA" w:rsidP="004D4352" w:rsidRDefault="009442CA">
            <w:pPr>
              <w:pStyle w:val="Geenafstand"/>
              <w:jc w:val="right"/>
              <w:rPr>
                <w:rFonts w:ascii="Verdana" w:hAnsi="Verdana"/>
                <w:sz w:val="18"/>
                <w:szCs w:val="18"/>
              </w:rPr>
            </w:pPr>
            <w:r>
              <w:rPr>
                <w:rFonts w:ascii="Verdana" w:hAnsi="Verdana"/>
                <w:sz w:val="18"/>
                <w:szCs w:val="18"/>
              </w:rPr>
              <w:t>€121</w:t>
            </w:r>
          </w:p>
          <w:p w:rsidR="009442CA" w:rsidP="004D4352" w:rsidRDefault="009442CA">
            <w:pPr>
              <w:pStyle w:val="Geenafstand"/>
              <w:rPr>
                <w:rFonts w:ascii="Verdana" w:hAnsi="Verdana"/>
                <w:sz w:val="18"/>
                <w:szCs w:val="18"/>
              </w:rPr>
            </w:pPr>
          </w:p>
        </w:tc>
        <w:tc>
          <w:tcPr>
            <w:tcW w:w="2472" w:type="dxa"/>
            <w:tcBorders>
              <w:top w:val="single" w:color="auto" w:sz="4" w:space="0"/>
              <w:left w:val="single" w:color="auto" w:sz="4" w:space="0"/>
              <w:bottom w:val="single" w:color="auto" w:sz="12" w:space="0"/>
              <w:right w:val="single" w:color="auto" w:sz="4" w:space="0"/>
            </w:tcBorders>
            <w:hideMark/>
          </w:tcPr>
          <w:p w:rsidR="009442CA" w:rsidP="004D4352" w:rsidRDefault="009442CA">
            <w:pPr>
              <w:pStyle w:val="Geenafstand"/>
              <w:jc w:val="right"/>
              <w:rPr>
                <w:rFonts w:ascii="Verdana" w:hAnsi="Verdana"/>
                <w:sz w:val="18"/>
                <w:szCs w:val="18"/>
              </w:rPr>
            </w:pPr>
            <w:r>
              <w:rPr>
                <w:rFonts w:ascii="Verdana" w:hAnsi="Verdana"/>
                <w:sz w:val="18"/>
                <w:szCs w:val="18"/>
              </w:rPr>
              <w:t>€363</w:t>
            </w:r>
          </w:p>
        </w:tc>
      </w:tr>
      <w:tr w:rsidR="009442CA" w:rsidTr="00AB7091">
        <w:tc>
          <w:tcPr>
            <w:tcW w:w="3564" w:type="dxa"/>
            <w:tcBorders>
              <w:top w:val="single" w:color="auto" w:sz="12" w:space="0"/>
              <w:left w:val="single" w:color="auto" w:sz="4" w:space="0"/>
              <w:bottom w:val="single" w:color="auto" w:sz="4" w:space="0"/>
              <w:right w:val="single" w:color="auto" w:sz="4" w:space="0"/>
            </w:tcBorders>
            <w:shd w:val="clear" w:color="auto" w:fill="EAF1DD"/>
            <w:hideMark/>
          </w:tcPr>
          <w:p w:rsidR="009442CA" w:rsidP="004D4352" w:rsidRDefault="009442CA">
            <w:pPr>
              <w:pStyle w:val="Geenafstand"/>
              <w:rPr>
                <w:rFonts w:ascii="Verdana" w:hAnsi="Verdana"/>
                <w:b/>
                <w:sz w:val="18"/>
                <w:szCs w:val="18"/>
              </w:rPr>
            </w:pPr>
            <w:r>
              <w:rPr>
                <w:rFonts w:ascii="Verdana" w:hAnsi="Verdana"/>
                <w:b/>
                <w:sz w:val="18"/>
                <w:szCs w:val="18"/>
              </w:rPr>
              <w:t>Subtotaal I</w:t>
            </w:r>
          </w:p>
        </w:tc>
        <w:tc>
          <w:tcPr>
            <w:tcW w:w="1841" w:type="dxa"/>
            <w:tcBorders>
              <w:top w:val="single" w:color="auto" w:sz="12" w:space="0"/>
              <w:left w:val="single" w:color="auto" w:sz="4" w:space="0"/>
              <w:bottom w:val="single" w:color="auto" w:sz="4" w:space="0"/>
              <w:right w:val="single" w:color="auto" w:sz="4" w:space="0"/>
            </w:tcBorders>
            <w:shd w:val="clear" w:color="auto" w:fill="EAF1DD"/>
            <w:hideMark/>
          </w:tcPr>
          <w:p w:rsidR="009442CA" w:rsidP="004D4352" w:rsidRDefault="009442CA">
            <w:pPr>
              <w:pStyle w:val="Geenafstand"/>
              <w:jc w:val="right"/>
              <w:rPr>
                <w:rFonts w:ascii="Verdana" w:hAnsi="Verdana"/>
                <w:b/>
                <w:sz w:val="18"/>
                <w:szCs w:val="18"/>
              </w:rPr>
            </w:pPr>
            <w:r>
              <w:rPr>
                <w:rFonts w:ascii="Verdana" w:hAnsi="Verdana"/>
                <w:b/>
                <w:sz w:val="18"/>
                <w:szCs w:val="18"/>
              </w:rPr>
              <w:t>€321</w:t>
            </w:r>
          </w:p>
        </w:tc>
        <w:tc>
          <w:tcPr>
            <w:tcW w:w="2472" w:type="dxa"/>
            <w:tcBorders>
              <w:top w:val="single" w:color="auto" w:sz="12" w:space="0"/>
              <w:left w:val="single" w:color="auto" w:sz="4" w:space="0"/>
              <w:bottom w:val="single" w:color="auto" w:sz="4" w:space="0"/>
              <w:right w:val="single" w:color="auto" w:sz="4" w:space="0"/>
            </w:tcBorders>
            <w:shd w:val="clear" w:color="auto" w:fill="EAF1DD"/>
            <w:hideMark/>
          </w:tcPr>
          <w:p w:rsidR="009442CA" w:rsidP="004D4352" w:rsidRDefault="009442CA">
            <w:pPr>
              <w:pStyle w:val="Geenafstand"/>
              <w:jc w:val="right"/>
              <w:rPr>
                <w:rFonts w:ascii="Verdana" w:hAnsi="Verdana"/>
                <w:b/>
                <w:sz w:val="18"/>
                <w:szCs w:val="18"/>
              </w:rPr>
            </w:pPr>
            <w:r>
              <w:rPr>
                <w:rFonts w:ascii="Verdana" w:hAnsi="Verdana"/>
                <w:b/>
                <w:sz w:val="18"/>
                <w:szCs w:val="18"/>
              </w:rPr>
              <w:t>€963</w:t>
            </w:r>
          </w:p>
        </w:tc>
      </w:tr>
      <w:tr w:rsidR="009442CA" w:rsidTr="00AB7091">
        <w:tc>
          <w:tcPr>
            <w:tcW w:w="3564" w:type="dxa"/>
            <w:tcBorders>
              <w:top w:val="single" w:color="auto" w:sz="4" w:space="0"/>
              <w:left w:val="single" w:color="auto" w:sz="4" w:space="0"/>
              <w:bottom w:val="single" w:color="auto" w:sz="4" w:space="0"/>
              <w:right w:val="single" w:color="auto" w:sz="4" w:space="0"/>
            </w:tcBorders>
          </w:tcPr>
          <w:p w:rsidR="009442CA" w:rsidP="004D4352" w:rsidRDefault="009442CA">
            <w:pPr>
              <w:pStyle w:val="Geenafstand"/>
              <w:rPr>
                <w:rFonts w:ascii="Verdana" w:hAnsi="Verdana"/>
                <w:sz w:val="18"/>
                <w:szCs w:val="18"/>
              </w:rPr>
            </w:pPr>
          </w:p>
        </w:tc>
        <w:tc>
          <w:tcPr>
            <w:tcW w:w="1841" w:type="dxa"/>
            <w:tcBorders>
              <w:top w:val="single" w:color="auto" w:sz="4" w:space="0"/>
              <w:left w:val="single" w:color="auto" w:sz="4" w:space="0"/>
              <w:bottom w:val="single" w:color="auto" w:sz="4" w:space="0"/>
              <w:right w:val="single" w:color="auto" w:sz="4" w:space="0"/>
            </w:tcBorders>
          </w:tcPr>
          <w:p w:rsidR="009442CA" w:rsidP="004D4352" w:rsidRDefault="009442CA">
            <w:pPr>
              <w:pStyle w:val="Geenafstand"/>
              <w:rPr>
                <w:rFonts w:ascii="Verdana" w:hAnsi="Verdana"/>
                <w:sz w:val="18"/>
                <w:szCs w:val="18"/>
              </w:rPr>
            </w:pPr>
          </w:p>
        </w:tc>
        <w:tc>
          <w:tcPr>
            <w:tcW w:w="2472" w:type="dxa"/>
            <w:tcBorders>
              <w:top w:val="single" w:color="auto" w:sz="4" w:space="0"/>
              <w:left w:val="single" w:color="auto" w:sz="4" w:space="0"/>
              <w:bottom w:val="single" w:color="auto" w:sz="4" w:space="0"/>
              <w:right w:val="single" w:color="auto" w:sz="4" w:space="0"/>
            </w:tcBorders>
          </w:tcPr>
          <w:p w:rsidR="009442CA" w:rsidP="004D4352" w:rsidRDefault="009442CA">
            <w:pPr>
              <w:pStyle w:val="Geenafstand"/>
              <w:jc w:val="right"/>
              <w:rPr>
                <w:rFonts w:ascii="Verdana" w:hAnsi="Verdana"/>
                <w:sz w:val="18"/>
                <w:szCs w:val="18"/>
              </w:rPr>
            </w:pPr>
          </w:p>
        </w:tc>
      </w:tr>
      <w:tr w:rsidR="009442CA" w:rsidTr="00AB7091">
        <w:tc>
          <w:tcPr>
            <w:tcW w:w="3564" w:type="dxa"/>
            <w:tcBorders>
              <w:top w:val="single" w:color="auto" w:sz="4" w:space="0"/>
              <w:left w:val="single" w:color="auto" w:sz="4" w:space="0"/>
              <w:bottom w:val="single" w:color="auto" w:sz="12" w:space="0"/>
              <w:right w:val="single" w:color="auto" w:sz="4" w:space="0"/>
            </w:tcBorders>
          </w:tcPr>
          <w:p w:rsidR="009442CA" w:rsidP="004D4352" w:rsidRDefault="009442CA">
            <w:pPr>
              <w:pStyle w:val="Geenafstand"/>
              <w:rPr>
                <w:rFonts w:ascii="Verdana" w:hAnsi="Verdana"/>
                <w:sz w:val="18"/>
                <w:szCs w:val="18"/>
              </w:rPr>
            </w:pPr>
          </w:p>
        </w:tc>
        <w:tc>
          <w:tcPr>
            <w:tcW w:w="1841" w:type="dxa"/>
            <w:tcBorders>
              <w:top w:val="single" w:color="auto" w:sz="4" w:space="0"/>
              <w:left w:val="single" w:color="auto" w:sz="4" w:space="0"/>
              <w:bottom w:val="single" w:color="auto" w:sz="12" w:space="0"/>
              <w:right w:val="single" w:color="auto" w:sz="4" w:space="0"/>
            </w:tcBorders>
          </w:tcPr>
          <w:p w:rsidR="009442CA" w:rsidP="004D4352" w:rsidRDefault="009442CA">
            <w:pPr>
              <w:pStyle w:val="Geenafstand"/>
              <w:rPr>
                <w:rFonts w:ascii="Verdana" w:hAnsi="Verdana"/>
                <w:sz w:val="18"/>
                <w:szCs w:val="18"/>
              </w:rPr>
            </w:pPr>
          </w:p>
        </w:tc>
        <w:tc>
          <w:tcPr>
            <w:tcW w:w="2472" w:type="dxa"/>
            <w:tcBorders>
              <w:top w:val="single" w:color="auto" w:sz="4" w:space="0"/>
              <w:left w:val="single" w:color="auto" w:sz="4" w:space="0"/>
              <w:bottom w:val="single" w:color="auto" w:sz="12" w:space="0"/>
              <w:right w:val="single" w:color="auto" w:sz="4" w:space="0"/>
            </w:tcBorders>
          </w:tcPr>
          <w:p w:rsidR="009442CA" w:rsidP="004D4352" w:rsidRDefault="009442CA">
            <w:pPr>
              <w:pStyle w:val="Geenafstand"/>
              <w:rPr>
                <w:rFonts w:ascii="Verdana" w:hAnsi="Verdana"/>
                <w:sz w:val="18"/>
                <w:szCs w:val="18"/>
              </w:rPr>
            </w:pPr>
          </w:p>
        </w:tc>
      </w:tr>
      <w:tr w:rsidR="009442CA" w:rsidTr="00AB7091">
        <w:tc>
          <w:tcPr>
            <w:tcW w:w="3564" w:type="dxa"/>
            <w:tcBorders>
              <w:top w:val="single" w:color="auto" w:sz="12" w:space="0"/>
              <w:left w:val="single" w:color="auto" w:sz="4" w:space="0"/>
              <w:bottom w:val="single" w:color="auto" w:sz="4" w:space="0"/>
              <w:right w:val="single" w:color="auto" w:sz="4" w:space="0"/>
            </w:tcBorders>
            <w:shd w:val="clear" w:color="auto" w:fill="EDEDED" w:themeFill="accent3" w:themeFillTint="33"/>
            <w:hideMark/>
          </w:tcPr>
          <w:p w:rsidR="009442CA" w:rsidP="004D4352" w:rsidRDefault="009442CA">
            <w:pPr>
              <w:pStyle w:val="Geenafstand"/>
              <w:rPr>
                <w:rFonts w:ascii="Verdana" w:hAnsi="Verdana"/>
                <w:b/>
                <w:sz w:val="18"/>
                <w:szCs w:val="18"/>
              </w:rPr>
            </w:pPr>
            <w:r>
              <w:rPr>
                <w:rFonts w:ascii="Verdana" w:hAnsi="Verdana"/>
                <w:b/>
                <w:sz w:val="18"/>
                <w:szCs w:val="18"/>
              </w:rPr>
              <w:t>TOTAAL</w:t>
            </w:r>
          </w:p>
        </w:tc>
        <w:tc>
          <w:tcPr>
            <w:tcW w:w="1841" w:type="dxa"/>
            <w:tcBorders>
              <w:top w:val="single" w:color="auto" w:sz="12" w:space="0"/>
              <w:left w:val="single" w:color="auto" w:sz="4" w:space="0"/>
              <w:bottom w:val="single" w:color="auto" w:sz="4" w:space="0"/>
              <w:right w:val="single" w:color="auto" w:sz="4" w:space="0"/>
            </w:tcBorders>
            <w:shd w:val="clear" w:color="auto" w:fill="EDEDED" w:themeFill="accent3" w:themeFillTint="33"/>
          </w:tcPr>
          <w:p w:rsidR="009442CA" w:rsidP="004D4352" w:rsidRDefault="009442CA">
            <w:pPr>
              <w:pStyle w:val="Geenafstand"/>
              <w:rPr>
                <w:rFonts w:ascii="Verdana" w:hAnsi="Verdana"/>
                <w:b/>
                <w:sz w:val="18"/>
                <w:szCs w:val="18"/>
              </w:rPr>
            </w:pPr>
          </w:p>
        </w:tc>
        <w:tc>
          <w:tcPr>
            <w:tcW w:w="2472" w:type="dxa"/>
            <w:tcBorders>
              <w:top w:val="single" w:color="auto" w:sz="12" w:space="0"/>
              <w:left w:val="single" w:color="auto" w:sz="4" w:space="0"/>
              <w:bottom w:val="single" w:color="auto" w:sz="4" w:space="0"/>
              <w:right w:val="single" w:color="auto" w:sz="4" w:space="0"/>
            </w:tcBorders>
            <w:shd w:val="clear" w:color="auto" w:fill="EDEDED" w:themeFill="accent3" w:themeFillTint="33"/>
            <w:hideMark/>
          </w:tcPr>
          <w:p w:rsidR="009442CA" w:rsidP="00C85B8A" w:rsidRDefault="009442CA">
            <w:pPr>
              <w:pStyle w:val="Geenafstand"/>
              <w:jc w:val="right"/>
              <w:rPr>
                <w:rFonts w:ascii="Verdana" w:hAnsi="Verdana"/>
                <w:b/>
                <w:sz w:val="18"/>
                <w:szCs w:val="18"/>
              </w:rPr>
            </w:pPr>
            <w:r>
              <w:rPr>
                <w:rFonts w:ascii="Verdana" w:hAnsi="Verdana"/>
                <w:b/>
                <w:sz w:val="18"/>
                <w:szCs w:val="18"/>
              </w:rPr>
              <w:t>€</w:t>
            </w:r>
            <w:r w:rsidR="00C85B8A">
              <w:rPr>
                <w:rFonts w:ascii="Verdana" w:hAnsi="Verdana"/>
                <w:b/>
                <w:sz w:val="18"/>
                <w:szCs w:val="18"/>
              </w:rPr>
              <w:t>963</w:t>
            </w:r>
            <w:r>
              <w:rPr>
                <w:rFonts w:ascii="Verdana" w:hAnsi="Verdana"/>
                <w:b/>
                <w:sz w:val="18"/>
                <w:szCs w:val="18"/>
              </w:rPr>
              <w:t xml:space="preserve">  </w:t>
            </w:r>
          </w:p>
        </w:tc>
      </w:tr>
    </w:tbl>
    <w:p w:rsidR="009442CA" w:rsidP="009442CA" w:rsidRDefault="009442CA"/>
    <w:p w:rsidR="009442CA" w:rsidP="009442CA" w:rsidRDefault="009442CA">
      <w:pPr>
        <w:rPr>
          <w:i/>
        </w:rPr>
      </w:pPr>
      <w:r>
        <w:rPr>
          <w:i/>
        </w:rPr>
        <w:t xml:space="preserve">De begroting is opgesteld op basis van de genoemde aantallen van deelnemende Kamerleden en de geldende vaste normbedragen per uitgavencategorie. </w:t>
      </w:r>
    </w:p>
    <w:p w:rsidR="009442CA" w:rsidP="009442CA" w:rsidRDefault="009442CA">
      <w:r>
        <w:rPr>
          <w:i/>
        </w:rPr>
        <w:t xml:space="preserve">De uitgaven ten behoeve van de delegatie komen ten laste van het kennisbudget van de commissie </w:t>
      </w:r>
      <w:r w:rsidR="00AB7091">
        <w:rPr>
          <w:i/>
        </w:rPr>
        <w:t>VWS</w:t>
      </w:r>
      <w:r>
        <w:rPr>
          <w:i/>
        </w:rPr>
        <w:t>.</w:t>
      </w:r>
      <w:r>
        <w:t xml:space="preserve"> </w:t>
      </w:r>
    </w:p>
    <w:p w:rsidR="00451F3B" w:rsidRDefault="009442CA">
      <w:pPr>
        <w:rPr>
          <w:i/>
        </w:rPr>
      </w:pPr>
      <w:r>
        <w:rPr>
          <w:i/>
        </w:rPr>
        <w:t>De uitgaven ten behoeve van de griffier</w:t>
      </w:r>
      <w:r w:rsidR="006063E5">
        <w:rPr>
          <w:i/>
        </w:rPr>
        <w:t>/EU-adviseur</w:t>
      </w:r>
      <w:r>
        <w:rPr>
          <w:i/>
        </w:rPr>
        <w:t xml:space="preserve"> van de delegatie komen ten laste van het alge</w:t>
      </w:r>
      <w:r w:rsidR="006063E5">
        <w:rPr>
          <w:i/>
        </w:rPr>
        <w:t xml:space="preserve">meen reisbudget voor ambtenaren. </w:t>
      </w:r>
    </w:p>
    <w:p w:rsidR="002D4D0E" w:rsidRDefault="002D4D0E">
      <w:pPr>
        <w:rPr>
          <w:i/>
        </w:rPr>
      </w:pPr>
    </w:p>
    <w:p w:rsidRPr="00592459" w:rsidR="00592459" w:rsidP="00592459" w:rsidRDefault="00592459">
      <w:pPr>
        <w:pStyle w:val="Default"/>
        <w:rPr>
          <w:rFonts w:ascii="Verdana" w:hAnsi="Verdana" w:cs="Verdana"/>
          <w:sz w:val="18"/>
          <w:szCs w:val="18"/>
        </w:rPr>
      </w:pPr>
    </w:p>
    <w:sectPr w:rsidRPr="00592459" w:rsidR="00592459">
      <w:headerReference w:type="default" r:id="rId11"/>
      <w:footerReference w:type="default" r:id="rId1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CA" w:rsidRDefault="009442CA" w:rsidP="009442CA">
      <w:r>
        <w:separator/>
      </w:r>
    </w:p>
  </w:endnote>
  <w:endnote w:type="continuationSeparator" w:id="0">
    <w:p w:rsidR="009442CA" w:rsidRDefault="009442CA" w:rsidP="0094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CA" w:rsidRDefault="009442CA">
    <w:pPr>
      <w:pStyle w:val="Voettekst"/>
    </w:pPr>
    <w:r>
      <w:rPr>
        <w:noProof/>
        <w:lang w:eastAsia="nl-NL"/>
      </w:rPr>
      <mc:AlternateContent>
        <mc:Choice Requires="wps">
          <w:drawing>
            <wp:anchor distT="0" distB="0" distL="0" distR="0" simplePos="0" relativeHeight="251660288" behindDoc="0" locked="1" layoutInCell="1" allowOverlap="1" wp14:anchorId="0830655A" wp14:editId="43ACEA03">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9442CA" w:rsidRDefault="009442CA">
                          <w:pPr>
                            <w:pStyle w:val="Huisstijl-Paginanummer"/>
                          </w:pPr>
                          <w:r>
                            <w:fldChar w:fldCharType="begin"/>
                          </w:r>
                          <w:r>
                            <w:instrText xml:space="preserve"> PAGE  \* Arabic  \* MERGEFORMAT </w:instrText>
                          </w:r>
                          <w:r>
                            <w:fldChar w:fldCharType="separate"/>
                          </w:r>
                          <w:r w:rsidR="00BB61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0655A"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9442CA" w:rsidRDefault="009442CA">
                    <w:pPr>
                      <w:pStyle w:val="Huisstijl-Paginanummer"/>
                    </w:pPr>
                    <w:r>
                      <w:fldChar w:fldCharType="begin"/>
                    </w:r>
                    <w:r>
                      <w:instrText xml:space="preserve"> PAGE  \* Arabic  \* MERGEFORMAT </w:instrText>
                    </w:r>
                    <w:r>
                      <w:fldChar w:fldCharType="separate"/>
                    </w:r>
                    <w:r w:rsidR="00BB61EB">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5B9A5765" wp14:editId="4B17A385">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2CA" w:rsidRDefault="009442C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B9A5765" id="Text Box 3" o:spid="_x0000_s1030" type="#_x0000_t202" style="position:absolute;margin-left:110.55pt;margin-top:751pt;width:399.4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9442CA" w:rsidRDefault="009442C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3" w:rsidRDefault="00B31064">
    <w:pPr>
      <w:pStyle w:val="Voettekst"/>
    </w:pPr>
    <w:r>
      <w:rPr>
        <w:noProof/>
        <w:lang w:eastAsia="nl-NL"/>
      </w:rPr>
      <mc:AlternateContent>
        <mc:Choice Requires="wps">
          <w:drawing>
            <wp:anchor distT="0" distB="0" distL="0" distR="0" simplePos="0" relativeHeight="251661312" behindDoc="0" locked="1" layoutInCell="1" allowOverlap="1" wp14:anchorId="4981AE42" wp14:editId="0F06EF79">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B31064">
                          <w:pPr>
                            <w:pStyle w:val="Huisstijl-Paginanummer"/>
                          </w:pPr>
                          <w:r>
                            <w:fldChar w:fldCharType="begin"/>
                          </w:r>
                          <w:r>
                            <w:instrText xml:space="preserve"> PAGE  \* Arabic  \* MERGEFORMAT </w:instrText>
                          </w:r>
                          <w:r>
                            <w:fldChar w:fldCharType="separate"/>
                          </w:r>
                          <w:r w:rsidR="00BB61E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1AE42" id="_x0000_t202" coordsize="21600,21600" o:spt="202" path="m,l,21600r21600,l21600,xe">
              <v:stroke joinstyle="miter"/>
              <v:path gradientshapeok="t" o:connecttype="rect"/>
            </v:shapetype>
            <v:shape id="_x0000_s1032"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A828E3" w:rsidRDefault="00B31064">
                    <w:pPr>
                      <w:pStyle w:val="Huisstijl-Paginanummer"/>
                    </w:pPr>
                    <w:r>
                      <w:fldChar w:fldCharType="begin"/>
                    </w:r>
                    <w:r>
                      <w:instrText xml:space="preserve"> PAGE  \* Arabic  \* MERGEFORMAT </w:instrText>
                    </w:r>
                    <w:r>
                      <w:fldChar w:fldCharType="separate"/>
                    </w:r>
                    <w:r w:rsidR="00BB61EB">
                      <w:rPr>
                        <w:noProof/>
                      </w:rPr>
                      <w:t>4</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81DB21A" wp14:editId="46464B50">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BB61E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81DB21A" id="Text Box 6" o:spid="_x0000_s1033" type="#_x0000_t202" style="position:absolute;margin-left:129pt;margin-top:759.95pt;width:388.35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B31064"/>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CA" w:rsidRDefault="009442CA" w:rsidP="009442CA">
      <w:r>
        <w:separator/>
      </w:r>
    </w:p>
  </w:footnote>
  <w:footnote w:type="continuationSeparator" w:id="0">
    <w:p w:rsidR="009442CA" w:rsidRDefault="009442CA" w:rsidP="0094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CA" w:rsidRDefault="009442CA">
    <w:pPr>
      <w:pStyle w:val="Koptekst"/>
    </w:pPr>
    <w:r>
      <w:rPr>
        <w:noProof/>
        <w:lang w:eastAsia="nl-NL"/>
      </w:rPr>
      <w:drawing>
        <wp:anchor distT="0" distB="0" distL="114300" distR="114300" simplePos="0" relativeHeight="251658240" behindDoc="1" locked="0" layoutInCell="1" allowOverlap="1" wp14:anchorId="298F3766" wp14:editId="764D16B3">
          <wp:simplePos x="0" y="0"/>
          <wp:positionH relativeFrom="page">
            <wp:posOffset>1080135</wp:posOffset>
          </wp:positionH>
          <wp:positionV relativeFrom="page">
            <wp:posOffset>374650</wp:posOffset>
          </wp:positionV>
          <wp:extent cx="3070800" cy="12384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6192" behindDoc="1" locked="0" layoutInCell="1" allowOverlap="1" wp14:anchorId="066CB848" wp14:editId="13E66153">
          <wp:simplePos x="0" y="0"/>
          <wp:positionH relativeFrom="page">
            <wp:posOffset>626745</wp:posOffset>
          </wp:positionH>
          <wp:positionV relativeFrom="page">
            <wp:posOffset>374650</wp:posOffset>
          </wp:positionV>
          <wp:extent cx="432000" cy="1238400"/>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8E3" w:rsidRDefault="00B31064">
    <w:pPr>
      <w:pStyle w:val="Koptekst"/>
    </w:pPr>
    <w:r>
      <w:rPr>
        <w:noProof/>
        <w:lang w:eastAsia="nl-NL"/>
      </w:rPr>
      <mc:AlternateContent>
        <mc:Choice Requires="wps">
          <w:drawing>
            <wp:anchor distT="0" distB="0" distL="114300" distR="114300" simplePos="0" relativeHeight="251657216" behindDoc="0" locked="0" layoutInCell="1" allowOverlap="1" wp14:anchorId="3E58DC03" wp14:editId="71FD237F">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B31064">
                          <w:pPr>
                            <w:pStyle w:val="Huisstijl-Gegevens"/>
                            <w:tabs>
                              <w:tab w:val="right" w:pos="1540"/>
                              <w:tab w:val="left" w:pos="1701"/>
                            </w:tabs>
                          </w:pPr>
                          <w:r>
                            <w:tab/>
                            <w:t>betreft</w:t>
                          </w:r>
                          <w:r>
                            <w:tab/>
                          </w:r>
                          <w:r w:rsidRPr="004E426E">
                            <w:t xml:space="preserve"> </w:t>
                          </w:r>
                          <w:r w:rsidRPr="00755B78">
                            <w:t xml:space="preserve">Mandaat en begroting EU-rapporteurschap </w:t>
                          </w:r>
                          <w:r w:rsidR="00491036">
                            <w:t>Farmaceutische strategie voor</w:t>
                          </w:r>
                          <w:r>
                            <w:t xml:space="preserve"> Europa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58DC03"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rsidR="00A828E3" w:rsidRDefault="00B31064">
                    <w:pPr>
                      <w:pStyle w:val="Huisstijl-Gegevens"/>
                      <w:tabs>
                        <w:tab w:val="right" w:pos="1540"/>
                        <w:tab w:val="left" w:pos="1701"/>
                      </w:tabs>
                    </w:pPr>
                    <w:r>
                      <w:tab/>
                      <w:t>betreft</w:t>
                    </w:r>
                    <w:r>
                      <w:tab/>
                    </w:r>
                    <w:r w:rsidRPr="004E426E">
                      <w:t xml:space="preserve"> </w:t>
                    </w:r>
                    <w:r w:rsidRPr="00755B78">
                      <w:t xml:space="preserve">Mandaat en begroting EU-rapporteurschap </w:t>
                    </w:r>
                    <w:r w:rsidR="00491036">
                      <w:t>Farmaceutische strategie voor</w:t>
                    </w:r>
                    <w:r>
                      <w:t xml:space="preserve"> Europa</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1747B91F" wp14:editId="3595A903">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F33"/>
    <w:multiLevelType w:val="hybridMultilevel"/>
    <w:tmpl w:val="E6A038F6"/>
    <w:lvl w:ilvl="0" w:tplc="9558D93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0252FE"/>
    <w:multiLevelType w:val="hybridMultilevel"/>
    <w:tmpl w:val="36B2B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870B83"/>
    <w:multiLevelType w:val="hybridMultilevel"/>
    <w:tmpl w:val="ACD4B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6D44C38"/>
    <w:multiLevelType w:val="hybridMultilevel"/>
    <w:tmpl w:val="B082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00C58"/>
    <w:multiLevelType w:val="hybridMultilevel"/>
    <w:tmpl w:val="7D50D05E"/>
    <w:lvl w:ilvl="0" w:tplc="9558D93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BE6FA8"/>
    <w:multiLevelType w:val="hybridMultilevel"/>
    <w:tmpl w:val="C742D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7756A2"/>
    <w:multiLevelType w:val="hybridMultilevel"/>
    <w:tmpl w:val="A3DA78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CA"/>
    <w:rsid w:val="0003444D"/>
    <w:rsid w:val="00165F4D"/>
    <w:rsid w:val="002442AA"/>
    <w:rsid w:val="002827DC"/>
    <w:rsid w:val="002D4D0E"/>
    <w:rsid w:val="00314451"/>
    <w:rsid w:val="003934F4"/>
    <w:rsid w:val="003B7AC9"/>
    <w:rsid w:val="003F7103"/>
    <w:rsid w:val="00413E5A"/>
    <w:rsid w:val="004442A1"/>
    <w:rsid w:val="0045009F"/>
    <w:rsid w:val="004542E0"/>
    <w:rsid w:val="0048513C"/>
    <w:rsid w:val="00491036"/>
    <w:rsid w:val="004B19F9"/>
    <w:rsid w:val="005030A9"/>
    <w:rsid w:val="00547D85"/>
    <w:rsid w:val="00592459"/>
    <w:rsid w:val="006063E5"/>
    <w:rsid w:val="0060648F"/>
    <w:rsid w:val="00687A3A"/>
    <w:rsid w:val="00710945"/>
    <w:rsid w:val="007E3F51"/>
    <w:rsid w:val="009442CA"/>
    <w:rsid w:val="009860FB"/>
    <w:rsid w:val="00A41639"/>
    <w:rsid w:val="00AB7091"/>
    <w:rsid w:val="00B31064"/>
    <w:rsid w:val="00B441FE"/>
    <w:rsid w:val="00BB61EB"/>
    <w:rsid w:val="00BE0BE6"/>
    <w:rsid w:val="00C85B8A"/>
    <w:rsid w:val="00D2752C"/>
    <w:rsid w:val="00DA6C99"/>
    <w:rsid w:val="00ED5AB7"/>
    <w:rsid w:val="00F55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34B7B"/>
  <w15:chartTrackingRefBased/>
  <w15:docId w15:val="{44DA76D4-3D8A-42BB-8D70-60510F97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42CA"/>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442C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442CA"/>
    <w:pPr>
      <w:tabs>
        <w:tab w:val="center" w:pos="4703"/>
        <w:tab w:val="right" w:pos="9406"/>
      </w:tabs>
    </w:pPr>
  </w:style>
  <w:style w:type="character" w:customStyle="1" w:styleId="KoptekstChar">
    <w:name w:val="Koptekst Char"/>
    <w:basedOn w:val="Standaardalinea-lettertype"/>
    <w:link w:val="Koptekst"/>
    <w:uiPriority w:val="99"/>
    <w:rsid w:val="009442CA"/>
    <w:rPr>
      <w:rFonts w:ascii="Verdana" w:eastAsia="Calibri" w:hAnsi="Verdana" w:cs="Times New Roman"/>
      <w:sz w:val="18"/>
    </w:rPr>
  </w:style>
  <w:style w:type="paragraph" w:styleId="Voettekst">
    <w:name w:val="footer"/>
    <w:basedOn w:val="Standaard"/>
    <w:link w:val="VoettekstChar"/>
    <w:uiPriority w:val="99"/>
    <w:rsid w:val="009442CA"/>
    <w:pPr>
      <w:tabs>
        <w:tab w:val="center" w:pos="4703"/>
        <w:tab w:val="right" w:pos="9406"/>
      </w:tabs>
    </w:pPr>
    <w:rPr>
      <w:sz w:val="15"/>
    </w:rPr>
  </w:style>
  <w:style w:type="character" w:customStyle="1" w:styleId="VoettekstChar">
    <w:name w:val="Voettekst Char"/>
    <w:basedOn w:val="Standaardalinea-lettertype"/>
    <w:link w:val="Voettekst"/>
    <w:uiPriority w:val="99"/>
    <w:rsid w:val="009442CA"/>
    <w:rPr>
      <w:rFonts w:ascii="Verdana" w:eastAsia="Calibri" w:hAnsi="Verdana" w:cs="Times New Roman"/>
      <w:sz w:val="15"/>
    </w:rPr>
  </w:style>
  <w:style w:type="paragraph" w:styleId="Geenafstand">
    <w:name w:val="No Spacing"/>
    <w:uiPriority w:val="99"/>
    <w:qFormat/>
    <w:rsid w:val="009442CA"/>
    <w:pPr>
      <w:spacing w:after="0" w:line="240" w:lineRule="auto"/>
    </w:pPr>
    <w:rPr>
      <w:rFonts w:ascii="Calibri" w:eastAsia="Calibri" w:hAnsi="Calibri" w:cs="Times New Roman"/>
    </w:rPr>
  </w:style>
  <w:style w:type="paragraph" w:customStyle="1" w:styleId="PlatteTekst">
    <w:name w:val="Platte_Tekst"/>
    <w:basedOn w:val="Standaard"/>
    <w:uiPriority w:val="99"/>
    <w:rsid w:val="009442CA"/>
    <w:pPr>
      <w:spacing w:line="284" w:lineRule="exact"/>
    </w:pPr>
  </w:style>
  <w:style w:type="paragraph" w:customStyle="1" w:styleId="Huisstijl-Paginanummer">
    <w:name w:val="Huisstijl - Paginanummer"/>
    <w:basedOn w:val="Standaard"/>
    <w:uiPriority w:val="99"/>
    <w:rsid w:val="009442CA"/>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442CA"/>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442CA"/>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442CA"/>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442CA"/>
    <w:pPr>
      <w:spacing w:before="90"/>
      <w:contextualSpacing w:val="0"/>
    </w:pPr>
  </w:style>
  <w:style w:type="character" w:styleId="Hyperlink">
    <w:name w:val="Hyperlink"/>
    <w:rsid w:val="009442CA"/>
    <w:rPr>
      <w:color w:val="0000FF"/>
      <w:u w:val="single"/>
    </w:rPr>
  </w:style>
  <w:style w:type="paragraph" w:styleId="Voetnoottekst">
    <w:name w:val="footnote text"/>
    <w:basedOn w:val="Standaard"/>
    <w:link w:val="VoetnoottekstChar"/>
    <w:semiHidden/>
    <w:rsid w:val="009442CA"/>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9442CA"/>
    <w:rPr>
      <w:rFonts w:ascii="Times New Roman" w:eastAsia="Times New Roman" w:hAnsi="Times New Roman" w:cs="Times New Roman"/>
      <w:sz w:val="20"/>
      <w:szCs w:val="20"/>
      <w:lang w:eastAsia="nl-NL"/>
    </w:rPr>
  </w:style>
  <w:style w:type="character" w:styleId="Voetnootmarkering">
    <w:name w:val="footnote reference"/>
    <w:semiHidden/>
    <w:rsid w:val="009442CA"/>
    <w:rPr>
      <w:vertAlign w:val="superscript"/>
    </w:rPr>
  </w:style>
  <w:style w:type="paragraph" w:styleId="Lijstalinea">
    <w:name w:val="List Paragraph"/>
    <w:basedOn w:val="Standaard"/>
    <w:uiPriority w:val="34"/>
    <w:qFormat/>
    <w:rsid w:val="009442CA"/>
    <w:pPr>
      <w:ind w:left="720"/>
      <w:contextualSpacing/>
    </w:pPr>
  </w:style>
  <w:style w:type="character" w:styleId="GevolgdeHyperlink">
    <w:name w:val="FollowedHyperlink"/>
    <w:basedOn w:val="Standaardalinea-lettertype"/>
    <w:uiPriority w:val="99"/>
    <w:semiHidden/>
    <w:unhideWhenUsed/>
    <w:rsid w:val="002D4D0E"/>
    <w:rPr>
      <w:color w:val="954F72" w:themeColor="followedHyperlink"/>
      <w:u w:val="single"/>
    </w:rPr>
  </w:style>
  <w:style w:type="paragraph" w:customStyle="1" w:styleId="Default">
    <w:name w:val="Default"/>
    <w:rsid w:val="00592459"/>
    <w:pPr>
      <w:autoSpaceDE w:val="0"/>
      <w:autoSpaceDN w:val="0"/>
      <w:adjustRightInd w:val="0"/>
      <w:spacing w:after="0" w:line="240" w:lineRule="auto"/>
    </w:pPr>
    <w:rPr>
      <w:rFonts w:ascii="Symbol" w:hAnsi="Symbol" w:cs="Symbol"/>
      <w:color w:val="000000"/>
      <w:sz w:val="24"/>
      <w:szCs w:val="24"/>
    </w:rPr>
  </w:style>
  <w:style w:type="paragraph" w:styleId="Ballontekst">
    <w:name w:val="Balloon Text"/>
    <w:basedOn w:val="Standaard"/>
    <w:link w:val="BallontekstChar"/>
    <w:uiPriority w:val="99"/>
    <w:semiHidden/>
    <w:unhideWhenUsed/>
    <w:rsid w:val="00687A3A"/>
    <w:rPr>
      <w:rFonts w:ascii="Segoe UI" w:hAnsi="Segoe UI" w:cs="Segoe UI"/>
      <w:szCs w:val="18"/>
    </w:rPr>
  </w:style>
  <w:style w:type="character" w:customStyle="1" w:styleId="BallontekstChar">
    <w:name w:val="Ballontekst Char"/>
    <w:basedOn w:val="Standaardalinea-lettertype"/>
    <w:link w:val="Ballontekst"/>
    <w:uiPriority w:val="99"/>
    <w:semiHidden/>
    <w:rsid w:val="00687A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google.com/url?sa=t&amp;rct=j&amp;q=&amp;esrc=s&amp;source=web&amp;cd=&amp;ved=2ahUKEwjBvfS2ubzxAhVjMewKHcTbCEEQFjAAegQIBBAD&amp;url=https%3A%2F%2Fwww.tweedekamer.nl%2Fdownloads%2Fdocument%3Fid%3D028b1d20-145e-4015-9324-9f12e536b59e%26title%3DVerslag%2520van%2520de%2520rapporteurs%2520%2522EU%2520farmaceutische%2520strategie%2522.pdf&amp;usg=AOvVaw32XXRvEuYBuPe_gkCM0Xl6" TargetMode="External"/><Relationship Id="rId4" Type="http://schemas.openxmlformats.org/officeDocument/2006/relationships/webSettings" Target="webSettings.xml"/><Relationship Id="rId9" Type="http://schemas.openxmlformats.org/officeDocument/2006/relationships/hyperlink" Target="https://eur-lex.europa.eu/legal-content/NL/TXT/?uri=CELEX:52020DC076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1049</ap:Words>
  <ap:Characters>5770</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2021-07-01T13:11:00.0000000Z</dcterms:created>
  <dcterms:modified xsi:type="dcterms:W3CDTF">2021-07-01T13:11:00.0000000Z</dcterms:modified>
  <version/>
  <category/>
</coreProperties>
</file>