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7044C9CF" w14:textId="77777777">
          <w:pPr>
            <w:tabs>
              <w:tab w:val="left" w:pos="3686"/>
            </w:tabs>
          </w:pPr>
          <w:r>
            <w:rPr>
              <w:noProof/>
            </w:rPr>
            <mc:AlternateContent>
              <mc:Choice Requires="wps">
                <w:drawing>
                  <wp:anchor distT="0" distB="0" distL="114300" distR="114300" simplePos="0" relativeHeight="251657728" behindDoc="0" locked="0" layoutInCell="1" allowOverlap="1" wp14:editId="5EE3E145" wp14:anchorId="657BF14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0D47DC5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7BF145">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0D47DC5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3C42C6D" wp14:anchorId="674601E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W13.20.0448/III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31 maart 2021</w:t>
              </w:r>
            </w:sdtContent>
          </w:sdt>
        </w:p>
        <w:p w:rsidR="00503044" w:rsidP="00503044" w:rsidRDefault="00503044" w14:paraId="19FF0A1B" w14:textId="77777777">
          <w:pPr>
            <w:tabs>
              <w:tab w:val="left" w:pos="3685"/>
            </w:tabs>
          </w:pPr>
        </w:p>
        <w:p w:rsidR="00503044" w:rsidP="00503044" w:rsidRDefault="00503044" w14:paraId="683363AE"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D1733A" w:rsidRDefault="00034E16" w14:paraId="1683FB0E" w14:textId="77777777">
              <w:r>
                <w:t>Bij Kabinetsmissive van 3 december 2020, no.2020002484, heeft Uwe Majesteit, op voordracht van de Minister van Volksgezondheid, Welzijn en Sport, mede namens de Staatssecretaris van Binnenlandse Zaken en Koninkrijksrelaties, bij de Afdeling advisering van de Raad van State ter overweging aanhangig gemaakt het voorstel van wet houdende wijziging van de Wet donorgegevens kunstmatige bevruchting in verband met de tweede evaluatie van de wet, het actieplan ter ondersteuning van donorkinderen en de omvorming van de Stichting donorgegevens kunstmatige bevruchting tot publiekrechtelijk zelfstandig bestuursorgaan, met memorie van toelichting.</w:t>
              </w:r>
            </w:p>
          </w:sdtContent>
        </w:sdt>
        <w:p w:rsidR="0071031E" w:rsidRDefault="0071031E" w14:paraId="604310B1" w14:textId="77777777"/>
        <w:sdt>
          <w:sdtPr>
            <w:alias w:val="VrijeTekst1"/>
            <w:tag w:val="VrijeTekst1"/>
            <w:id w:val="-437221631"/>
            <w:lock w:val="sdtLocked"/>
          </w:sdtPr>
          <w:sdtEndPr/>
          <w:sdtContent>
            <w:p w:rsidR="009A2ADC" w:rsidP="009A2ADC" w:rsidRDefault="00034E16" w14:paraId="07E43085" w14:textId="77777777">
              <w:pPr>
                <w:autoSpaceDE w:val="0"/>
                <w:autoSpaceDN w:val="0"/>
                <w:adjustRightInd w:val="0"/>
              </w:pPr>
              <w:r>
                <w:t xml:space="preserve">Het voorstel wijzigt de Wet donorgegevens kunstmatige bevruchting (hierna: </w:t>
              </w:r>
              <w:proofErr w:type="spellStart"/>
              <w:r>
                <w:t>Wdkb</w:t>
              </w:r>
              <w:proofErr w:type="spellEnd"/>
              <w:r>
                <w:t>). De wijzigingen vloeien enerzijds voort uit het Actieplan ter ondersteuning van donorkinderen die voor 2004 zijn verwekt en op zoek zijn naar hun donor (hierna: Actieplan),</w:t>
              </w:r>
              <w:r>
                <w:rPr>
                  <w:rStyle w:val="Voetnootmarkering"/>
                </w:rPr>
                <w:footnoteReference w:id="1"/>
              </w:r>
              <w:r>
                <w:t xml:space="preserve"> en anderzijds uit de aanbevelingen van de Tweede evaluatie van de </w:t>
              </w:r>
              <w:proofErr w:type="spellStart"/>
              <w:r>
                <w:t>Wdkb</w:t>
              </w:r>
              <w:proofErr w:type="spellEnd"/>
              <w:r>
                <w:t>.</w:t>
              </w:r>
              <w:r>
                <w:rPr>
                  <w:rStyle w:val="Voetnootmarkering"/>
                </w:rPr>
                <w:footnoteReference w:id="2"/>
              </w:r>
              <w:r>
                <w:t xml:space="preserve"> Daarin zijn diverse knelpunten gesignaleerd, in het bijzonder ten aanzien van het functioneren van de Stichting donorgegevens kunstmatige bevruchting (hierna: </w:t>
              </w:r>
              <w:proofErr w:type="spellStart"/>
              <w:r>
                <w:t>Sdkb</w:t>
              </w:r>
              <w:proofErr w:type="spellEnd"/>
              <w:r>
                <w:t>) en de uitvoeringspraktijk rond het bewaren, beheren en verstrekken van donorgegevens.</w:t>
              </w:r>
            </w:p>
            <w:p w:rsidR="009A2ADC" w:rsidP="009A2ADC" w:rsidRDefault="00E23B16" w14:paraId="5826061A" w14:textId="77777777"/>
            <w:p w:rsidR="009A2ADC" w:rsidP="009A2ADC" w:rsidRDefault="00034E16" w14:paraId="45C4FE98" w14:textId="77777777">
              <w:r w:rsidRPr="0019764F">
                <w:t xml:space="preserve">De Afdeling advisering van de Raad van State maakt opmerkingen over de introductie van een interne adviescommissie. </w:t>
              </w:r>
              <w:r>
                <w:t xml:space="preserve">Dat deze keuze behoeft een zelfstandige argumentatie (punt 2). Daarnaast merkt de Afdeling op dat een toelichting ontbreekt ten aanzien van de noodzaak en proportionaliteit van het bewaren van medische gegevens van donoren die reeds geregistreerd zijn (punt 3). In verband daarmee is aanpassing van de toelichting en zo nodig het voorstel wenselijk. Ten slotte adviseert de Afdeling een eventuele nota van wijziging inzake geswitchte B-donoren eerst voor te leggen aan de Afdeling voordat deze bij de Tweede Kamer wordt ingediend (punt 4). </w:t>
              </w:r>
            </w:p>
            <w:p w:rsidR="009A2ADC" w:rsidP="009A2ADC" w:rsidRDefault="00E23B16" w14:paraId="3167DD51" w14:textId="77777777"/>
            <w:p w:rsidRPr="00F70924" w:rsidR="009A2ADC" w:rsidP="009A2ADC" w:rsidRDefault="00034E16" w14:paraId="78A24CEE" w14:textId="77777777">
              <w:pPr>
                <w:pStyle w:val="Lijstalinea"/>
                <w:numPr>
                  <w:ilvl w:val="0"/>
                  <w:numId w:val="4"/>
                </w:numPr>
                <w:ind w:hanging="720"/>
                <w:rPr>
                  <w:u w:val="single"/>
                </w:rPr>
              </w:pPr>
              <w:r>
                <w:rPr>
                  <w:u w:val="single"/>
                </w:rPr>
                <w:t>Achtergrond en i</w:t>
              </w:r>
              <w:r w:rsidRPr="00F70924">
                <w:rPr>
                  <w:u w:val="single"/>
                </w:rPr>
                <w:t>nhoud van het voorstel</w:t>
              </w:r>
            </w:p>
            <w:p w:rsidR="009A2ADC" w:rsidP="009A2ADC" w:rsidRDefault="00E23B16" w14:paraId="056E44DE" w14:textId="77777777"/>
            <w:p w:rsidR="009A2ADC" w:rsidP="009A2ADC" w:rsidRDefault="00034E16" w14:paraId="7254BC9B" w14:textId="77777777">
              <w:r>
                <w:t xml:space="preserve">De </w:t>
              </w:r>
              <w:proofErr w:type="spellStart"/>
              <w:r>
                <w:t>Wdkb</w:t>
              </w:r>
              <w:proofErr w:type="spellEnd"/>
              <w:r>
                <w:t xml:space="preserve"> is op 1 juni 2004 in werking getreden en bepaalt dat het gebruik van zaad- en eicellen van anonieme donoren in Nederland niet meer is toegestaan. Gegevens over donoren worden opgenomen in een register dat door de </w:t>
              </w:r>
              <w:proofErr w:type="spellStart"/>
              <w:r>
                <w:t>Sdkb</w:t>
              </w:r>
              <w:proofErr w:type="spellEnd"/>
              <w:r>
                <w:t xml:space="preserve"> wordt beheerd. Kinderen die verwekt zijn met behulp van kunstmatige donorbevruchting kunnen die gegevens desgewenst op latere leeftijd opvragen. </w:t>
              </w:r>
            </w:p>
            <w:p w:rsidR="009A2ADC" w:rsidP="009A2ADC" w:rsidRDefault="00E23B16" w14:paraId="37D47CD9" w14:textId="77777777"/>
            <w:p w:rsidR="009A2ADC" w:rsidP="009A2ADC" w:rsidRDefault="00034E16" w14:paraId="6DC65218" w14:textId="77777777">
              <w:pPr>
                <w:autoSpaceDE w:val="0"/>
                <w:autoSpaceDN w:val="0"/>
                <w:adjustRightInd w:val="0"/>
                <w:rPr>
                  <w:szCs w:val="18"/>
                </w:rPr>
              </w:pPr>
              <w:r>
                <w:t xml:space="preserve">Donorkinderen die vóór 2004 zijn verwekt en die op zoek zijn naar hun donor hebben evenwel nauwelijks tot geen informatie over hun donor. In dat verband is bij brief van 4 juli </w:t>
              </w:r>
              <w:r w:rsidRPr="007704A9">
                <w:t>2017</w:t>
              </w:r>
              <w:r>
                <w:t xml:space="preserve"> het voormelde Actieplan aan de Tweede Kamer toegezonden.</w:t>
              </w:r>
              <w:r>
                <w:rPr>
                  <w:rStyle w:val="Voetnootmarkering"/>
                </w:rPr>
                <w:footnoteReference w:id="3"/>
              </w:r>
              <w:r>
                <w:t xml:space="preserve"> Naar aanleiding van de Tweede evaluatie van de </w:t>
              </w:r>
              <w:proofErr w:type="spellStart"/>
              <w:r>
                <w:t>Wdkb</w:t>
              </w:r>
              <w:proofErr w:type="spellEnd"/>
              <w:r>
                <w:t xml:space="preserve"> </w:t>
              </w:r>
              <w:r>
                <w:rPr>
                  <w:szCs w:val="18"/>
                </w:rPr>
                <w:t xml:space="preserve">heeft de minister van </w:t>
              </w:r>
              <w:r w:rsidRPr="00905ACD">
                <w:rPr>
                  <w:szCs w:val="22"/>
                </w:rPr>
                <w:lastRenderedPageBreak/>
                <w:t>Volksgezondheid, Welzijn en Sport</w:t>
              </w:r>
              <w:r>
                <w:rPr>
                  <w:sz w:val="18"/>
                  <w:szCs w:val="18"/>
                </w:rPr>
                <w:t xml:space="preserve"> </w:t>
              </w:r>
              <w:r>
                <w:rPr>
                  <w:szCs w:val="18"/>
                </w:rPr>
                <w:t>(VWS) bij brief van 26 september 2019 aangekondigd stappen te zullen ondernemen</w:t>
              </w:r>
              <w:r>
                <w:t>.</w:t>
              </w:r>
              <w:r>
                <w:rPr>
                  <w:rStyle w:val="Voetnootmarkering"/>
                  <w:szCs w:val="18"/>
                </w:rPr>
                <w:footnoteReference w:id="4"/>
              </w:r>
              <w:r>
                <w:rPr>
                  <w:szCs w:val="18"/>
                </w:rPr>
                <w:t xml:space="preserve"> Dit voorstel geeft daaraan gevolg.</w:t>
              </w:r>
            </w:p>
            <w:p w:rsidR="009A2ADC" w:rsidP="009A2ADC" w:rsidRDefault="00034E16" w14:paraId="6C484493" w14:textId="77777777">
              <w:pPr>
                <w:autoSpaceDE w:val="0"/>
                <w:autoSpaceDN w:val="0"/>
                <w:adjustRightInd w:val="0"/>
              </w:pPr>
              <w:r>
                <w:rPr>
                  <w:szCs w:val="18"/>
                </w:rPr>
                <w:t xml:space="preserve">  </w:t>
              </w:r>
              <w:r>
                <w:t xml:space="preserve">  </w:t>
              </w:r>
            </w:p>
            <w:p w:rsidR="00594C7D" w:rsidP="009A2ADC" w:rsidRDefault="00034E16" w14:paraId="2B7B9DEF" w14:textId="77777777">
              <w:pPr>
                <w:autoSpaceDE w:val="0"/>
                <w:autoSpaceDN w:val="0"/>
                <w:adjustRightInd w:val="0"/>
              </w:pPr>
              <w:r w:rsidRPr="00BB0EA6">
                <w:rPr>
                  <w:szCs w:val="22"/>
                </w:rPr>
                <w:t xml:space="preserve">Het </w:t>
              </w:r>
              <w:r>
                <w:rPr>
                  <w:szCs w:val="22"/>
                </w:rPr>
                <w:t>wets</w:t>
              </w:r>
              <w:r w:rsidRPr="00BB0EA6">
                <w:rPr>
                  <w:szCs w:val="22"/>
                </w:rPr>
                <w:t xml:space="preserve">voorstel introduceert een regeling die erin voorziet dat door middel van registratie </w:t>
              </w:r>
              <w:r>
                <w:rPr>
                  <w:szCs w:val="22"/>
                </w:rPr>
                <w:t xml:space="preserve">en </w:t>
              </w:r>
              <w:r w:rsidRPr="00BB0EA6">
                <w:rPr>
                  <w:szCs w:val="22"/>
                </w:rPr>
                <w:t xml:space="preserve">toezicht door de </w:t>
              </w:r>
              <w:proofErr w:type="spellStart"/>
              <w:r w:rsidRPr="00BB0EA6">
                <w:rPr>
                  <w:szCs w:val="22"/>
                </w:rPr>
                <w:t>Sdkb</w:t>
              </w:r>
              <w:proofErr w:type="spellEnd"/>
              <w:r w:rsidRPr="00BB0EA6">
                <w:rPr>
                  <w:szCs w:val="22"/>
                </w:rPr>
                <w:t xml:space="preserve"> het aantal </w:t>
              </w:r>
              <w:r>
                <w:rPr>
                  <w:szCs w:val="22"/>
                </w:rPr>
                <w:t xml:space="preserve">vrouwen </w:t>
              </w:r>
              <w:r w:rsidRPr="00BB0EA6">
                <w:rPr>
                  <w:szCs w:val="22"/>
                </w:rPr>
                <w:t xml:space="preserve">dat </w:t>
              </w:r>
              <w:r>
                <w:rPr>
                  <w:szCs w:val="22"/>
                </w:rPr>
                <w:t>met geslachtscellen van</w:t>
              </w:r>
              <w:r w:rsidRPr="00BB0EA6">
                <w:rPr>
                  <w:szCs w:val="22"/>
                </w:rPr>
                <w:t xml:space="preserve"> een donor mag worden </w:t>
              </w:r>
              <w:r>
                <w:rPr>
                  <w:szCs w:val="22"/>
                </w:rPr>
                <w:t xml:space="preserve">behandeld, wordt beperkt. Daarnaast regelt het voorstel </w:t>
              </w:r>
              <w:r>
                <w:rPr>
                  <w:szCs w:val="18"/>
                </w:rPr>
                <w:t xml:space="preserve">dat </w:t>
              </w:r>
              <w:r>
                <w:t xml:space="preserve">nakomelingen van dezelfde donor desgewenst met elkaar in contact kunnen worden gebracht. Medische gegevens van donoren zullen niet meer worden geregistreerd, aangezien dat in de praktijk geen betekenis heeft (zie hierna punt 3). Wel wordt een grondslag voorgesteld specifiek voor de verwerking en deling van genetische aandoeningen van de donor voor het geval na </w:t>
              </w:r>
              <w:r w:rsidRPr="007E3DF0">
                <w:t xml:space="preserve">kunstmatige bevruchting </w:t>
              </w:r>
              <w:r>
                <w:t>blijkt</w:t>
              </w:r>
              <w:r w:rsidRPr="007E3DF0">
                <w:t xml:space="preserve"> dat sprake is van dergelijke aandoeningen. </w:t>
              </w:r>
            </w:p>
            <w:p w:rsidR="00594C7D" w:rsidP="009A2ADC" w:rsidRDefault="00E23B16" w14:paraId="4066AE45" w14:textId="77777777">
              <w:pPr>
                <w:autoSpaceDE w:val="0"/>
                <w:autoSpaceDN w:val="0"/>
                <w:adjustRightInd w:val="0"/>
              </w:pPr>
            </w:p>
            <w:p w:rsidR="009A2ADC" w:rsidP="009A2ADC" w:rsidRDefault="00034E16" w14:paraId="3E385BBE" w14:textId="77777777">
              <w:pPr>
                <w:autoSpaceDE w:val="0"/>
                <w:autoSpaceDN w:val="0"/>
                <w:adjustRightInd w:val="0"/>
              </w:pPr>
              <w:r>
                <w:t xml:space="preserve">Verder bevat het voorstel verschillende institutionele wijzigingen. Zo zal de </w:t>
              </w:r>
              <w:proofErr w:type="spellStart"/>
              <w:r>
                <w:t>Sdkb</w:t>
              </w:r>
              <w:proofErr w:type="spellEnd"/>
              <w:r>
                <w:t xml:space="preserve"> worden omgevormd tot een publiekrechtelijk zelfstandig bestuursorgaan, zal de </w:t>
              </w:r>
              <w:proofErr w:type="spellStart"/>
              <w:r>
                <w:t>Sdkb</w:t>
              </w:r>
              <w:proofErr w:type="spellEnd"/>
              <w:r>
                <w:t xml:space="preserve"> de naam College donorbevruchting kunstmatige gegevens (hierna: het College) gaan voeren, en wordt het bestuur van het College uitgebreid met een donorkind. Tevens wordt de mogelijkheid voor het College gecreëerd om in het kader van door een donor aangevoerde zwaarwegende belangen tegen openbaarmaking van zijn persoonsgegevens advies in te winnen bij een adviescommissie (zie hierna punt 2). </w:t>
              </w:r>
            </w:p>
            <w:p w:rsidR="009A2ADC" w:rsidP="009A2ADC" w:rsidRDefault="00E23B16" w14:paraId="1324573A" w14:textId="77777777">
              <w:pPr>
                <w:pStyle w:val="Lijstalinea"/>
                <w:ind w:left="0"/>
                <w:rPr>
                  <w:u w:val="single"/>
                </w:rPr>
              </w:pPr>
            </w:p>
            <w:p w:rsidRPr="00091E9B" w:rsidR="009A2ADC" w:rsidP="009A2ADC" w:rsidRDefault="00034E16" w14:paraId="7432FF52" w14:textId="77777777">
              <w:pPr>
                <w:pStyle w:val="Lijstalinea"/>
                <w:numPr>
                  <w:ilvl w:val="0"/>
                  <w:numId w:val="4"/>
                </w:numPr>
                <w:ind w:hanging="720"/>
                <w:rPr>
                  <w:u w:val="single"/>
                </w:rPr>
              </w:pPr>
              <w:r w:rsidRPr="00091E9B">
                <w:rPr>
                  <w:u w:val="single"/>
                </w:rPr>
                <w:t>Adviescommissie</w:t>
              </w:r>
            </w:p>
            <w:p w:rsidR="009A2ADC" w:rsidP="009A2ADC" w:rsidRDefault="00E23B16" w14:paraId="6379CFEB" w14:textId="77777777"/>
            <w:p w:rsidRPr="0013302C" w:rsidR="009A2ADC" w:rsidP="009A2ADC" w:rsidRDefault="00034E16" w14:paraId="532A5033" w14:textId="77777777">
              <w:r>
                <w:t xml:space="preserve">Het wetsvoorstel bepaalt dat het </w:t>
              </w:r>
              <w:proofErr w:type="gramStart"/>
              <w:r>
                <w:t>College advies</w:t>
              </w:r>
              <w:proofErr w:type="gramEnd"/>
              <w:r>
                <w:t xml:space="preserve"> kan inwinnen bij een adviescommissie in het kader van de beoordeling van een verzoek van een donorkind om </w:t>
              </w:r>
              <w:proofErr w:type="spellStart"/>
              <w:r>
                <w:t>persoonsidentificerende</w:t>
              </w:r>
              <w:proofErr w:type="spellEnd"/>
              <w:r>
                <w:t xml:space="preserve"> gegevens van de donor. </w:t>
              </w:r>
              <w:r>
                <w:rPr>
                  <w:szCs w:val="18"/>
                </w:rPr>
                <w:t xml:space="preserve">Het College beslist of </w:t>
              </w:r>
              <w:r w:rsidRPr="00795348">
                <w:rPr>
                  <w:szCs w:val="18"/>
                </w:rPr>
                <w:t>de</w:t>
              </w:r>
              <w:r>
                <w:rPr>
                  <w:szCs w:val="18"/>
                </w:rPr>
                <w:t>ze</w:t>
              </w:r>
              <w:r w:rsidRPr="00795348">
                <w:rPr>
                  <w:szCs w:val="18"/>
                </w:rPr>
                <w:t xml:space="preserve"> gegevens </w:t>
              </w:r>
              <w:r>
                <w:rPr>
                  <w:szCs w:val="18"/>
                </w:rPr>
                <w:t xml:space="preserve">al dan niet </w:t>
              </w:r>
              <w:r w:rsidRPr="00795348">
                <w:rPr>
                  <w:szCs w:val="18"/>
                </w:rPr>
                <w:t>worden verstrekt.</w:t>
              </w:r>
              <w:r>
                <w:rPr>
                  <w:rStyle w:val="Voetnootmarkering"/>
                  <w:szCs w:val="18"/>
                </w:rPr>
                <w:footnoteReference w:id="5"/>
              </w:r>
              <w:r>
                <w:rPr>
                  <w:szCs w:val="18"/>
                </w:rPr>
                <w:t xml:space="preserve"> </w:t>
              </w:r>
              <w:r>
                <w:t xml:space="preserve">Artikel 3, tweede lid, </w:t>
              </w:r>
              <w:proofErr w:type="spellStart"/>
              <w:r>
                <w:t>Wdkb</w:t>
              </w:r>
              <w:proofErr w:type="spellEnd"/>
              <w:r>
                <w:t xml:space="preserve">, bepaalt dat verstrekking </w:t>
              </w:r>
              <w:r w:rsidRPr="00C07324">
                <w:t xml:space="preserve">uitsluitend achterwege </w:t>
              </w:r>
              <w:r>
                <w:t xml:space="preserve">blijft </w:t>
              </w:r>
              <w:r w:rsidRPr="00C07324">
                <w:t>indien</w:t>
              </w:r>
              <w:r>
                <w:t xml:space="preserve">, in aanmerking genomen de gevolgen die niet-verstrekking voor het donorkind zou kunnen hebben, </w:t>
              </w:r>
              <w:r w:rsidRPr="00C07324">
                <w:t>zwaarwegende belangen van de donor meebrengen dat verstrekking niet behoort plaats te vinden.</w:t>
              </w:r>
              <w:r>
                <w:t xml:space="preserve"> </w:t>
              </w:r>
            </w:p>
            <w:p w:rsidR="009A2ADC" w:rsidP="009A2ADC" w:rsidRDefault="00E23B16" w14:paraId="19538899" w14:textId="77777777">
              <w:pPr>
                <w:rPr>
                  <w:szCs w:val="18"/>
                </w:rPr>
              </w:pPr>
            </w:p>
            <w:p w:rsidR="009A2ADC" w:rsidP="009A2ADC" w:rsidRDefault="00034E16" w14:paraId="34AC27C8" w14:textId="77777777">
              <w:pPr>
                <w:rPr>
                  <w:szCs w:val="18"/>
                </w:rPr>
              </w:pPr>
              <w:r>
                <w:rPr>
                  <w:szCs w:val="18"/>
                </w:rPr>
                <w:t xml:space="preserve">In de Tweede evaluatie van de </w:t>
              </w:r>
              <w:proofErr w:type="spellStart"/>
              <w:r>
                <w:rPr>
                  <w:szCs w:val="18"/>
                </w:rPr>
                <w:t>Wdkb</w:t>
              </w:r>
              <w:proofErr w:type="spellEnd"/>
              <w:r>
                <w:rPr>
                  <w:szCs w:val="18"/>
                </w:rPr>
                <w:t xml:space="preserve"> is aanbevolen om een adviescommissie in te stellen. De taak van een dergelijke adviescommissie zou zijn om in voorkomende gevallen de door een donor aangevoerde zwaarwegende belangen te beoordelen en het College daarover te adviseren, zodat het College een zorgvuldig besluit kan nemen. In deze adviescommissie zou volgens de evaluatie uiteenlopende expertises vertegenwoordigd moeten zijn, onder meer op het terrein van de psychologie, pedagogiek en de rechten van de mens.</w:t>
              </w:r>
              <w:r>
                <w:rPr>
                  <w:rStyle w:val="Voetnootmarkering"/>
                  <w:szCs w:val="18"/>
                </w:rPr>
                <w:footnoteReference w:id="6"/>
              </w:r>
              <w:r>
                <w:rPr>
                  <w:szCs w:val="18"/>
                </w:rPr>
                <w:t xml:space="preserve"> </w:t>
              </w:r>
              <w:r w:rsidRPr="00EF7A95">
                <w:rPr>
                  <w:szCs w:val="18"/>
                </w:rPr>
                <w:t xml:space="preserve">Uitgangspunt van </w:t>
              </w:r>
              <w:r>
                <w:rPr>
                  <w:szCs w:val="18"/>
                </w:rPr>
                <w:t>de</w:t>
              </w:r>
              <w:r w:rsidRPr="00EF7A95">
                <w:rPr>
                  <w:szCs w:val="18"/>
                </w:rPr>
                <w:t xml:space="preserve"> voorgestelde</w:t>
              </w:r>
              <w:r>
                <w:rPr>
                  <w:szCs w:val="18"/>
                </w:rPr>
                <w:t xml:space="preserve"> wijziging van</w:t>
              </w:r>
              <w:r w:rsidRPr="00EF7A95">
                <w:rPr>
                  <w:szCs w:val="18"/>
                </w:rPr>
                <w:t xml:space="preserve"> artikel 3, tweede lid, is dat het College advies vraagt aan de adviescommissie, tenzij het College van oordeel is dat de noodzaak daartoe ontbreekt.</w:t>
              </w:r>
            </w:p>
            <w:p w:rsidR="009A2ADC" w:rsidP="009A2ADC" w:rsidRDefault="00E23B16" w14:paraId="4B7EE119" w14:textId="77777777"/>
            <w:p w:rsidRPr="00274CE5" w:rsidR="009A2ADC" w:rsidP="009A2ADC" w:rsidRDefault="00034E16" w14:paraId="5D8E53D2" w14:textId="77777777">
              <w:pPr>
                <w:rPr>
                  <w:szCs w:val="22"/>
                </w:rPr>
              </w:pPr>
              <w:r>
                <w:t xml:space="preserve">De vraag rijst wat de toegevoegde waarde is van een dergelijke nieuwe adviescommissie. Voor geobjectiveerd advies over de door een donor aangevoerde zwaarwegende belangen zou immers in voorkomende gevallen ook advies kunnen worden ingewonnen bij een externe instantie, zoals Stichting Fiom, die ook expertise </w:t>
              </w:r>
              <w:r>
                <w:lastRenderedPageBreak/>
                <w:t>heeft op dit terrein.</w:t>
              </w:r>
              <w:r>
                <w:rPr>
                  <w:rStyle w:val="Voetnootmarkering"/>
                </w:rPr>
                <w:footnoteReference w:id="7"/>
              </w:r>
              <w:r w:rsidRPr="00274CE5">
                <w:rPr>
                  <w:szCs w:val="22"/>
                </w:rPr>
                <w:t xml:space="preserve"> </w:t>
              </w:r>
              <w:r>
                <w:rPr>
                  <w:szCs w:val="22"/>
                </w:rPr>
                <w:t xml:space="preserve">Daarnaast zijn diverse expertises al vertegenwoordigd in het bestuur van het College en wordt het bestuur op grond van dit voorstel nog </w:t>
              </w:r>
              <w:r>
                <w:t>verder uitgebreid met een donorkind.</w:t>
              </w:r>
              <w:r>
                <w:rPr>
                  <w:rStyle w:val="Voetnootmarkering"/>
                </w:rPr>
                <w:footnoteReference w:id="8"/>
              </w:r>
              <w:r>
                <w:t xml:space="preserve"> </w:t>
              </w:r>
              <w:r>
                <w:rPr>
                  <w:szCs w:val="22"/>
                </w:rPr>
                <w:t xml:space="preserve"> </w:t>
              </w:r>
            </w:p>
            <w:p w:rsidR="009A2ADC" w:rsidP="009A2ADC" w:rsidRDefault="00E23B16" w14:paraId="38329407" w14:textId="77777777"/>
            <w:p w:rsidRPr="005E3C12" w:rsidR="009A2ADC" w:rsidP="009A2ADC" w:rsidRDefault="00034E16" w14:paraId="0765AA3C" w14:textId="77777777">
              <w:r>
                <w:t xml:space="preserve">De keuze voor de introductie van een interne adviescommissie behoeft een zelfstandige argumentatie. De Afdeling adviseert hieraan in de toelichting aandacht te besteden en zo nodig het voorstel aan te passen. </w:t>
              </w:r>
            </w:p>
            <w:p w:rsidRPr="005E3C12" w:rsidR="009A2ADC" w:rsidP="009A2ADC" w:rsidRDefault="00E23B16" w14:paraId="62408388" w14:textId="77777777"/>
            <w:p w:rsidRPr="00905ACD" w:rsidR="009A2ADC" w:rsidP="009A2ADC" w:rsidRDefault="00034E16" w14:paraId="6002DA09" w14:textId="77777777">
              <w:pPr>
                <w:rPr>
                  <w:u w:val="single"/>
                </w:rPr>
              </w:pPr>
              <w:r w:rsidRPr="00905ACD">
                <w:t xml:space="preserve">3. </w:t>
              </w:r>
              <w:r w:rsidRPr="00905ACD">
                <w:tab/>
              </w:r>
              <w:r w:rsidRPr="00905ACD">
                <w:rPr>
                  <w:u w:val="single"/>
                </w:rPr>
                <w:t>Bewaring reeds geregistreerde medische gegevens</w:t>
              </w:r>
            </w:p>
            <w:p w:rsidR="009A2ADC" w:rsidP="009A2ADC" w:rsidRDefault="00E23B16" w14:paraId="68737F1B" w14:textId="77777777">
              <w:pPr>
                <w:rPr>
                  <w:u w:val="single"/>
                </w:rPr>
              </w:pPr>
            </w:p>
            <w:p w:rsidR="009A2ADC" w:rsidP="009A2ADC" w:rsidRDefault="00034E16" w14:paraId="31E027F8" w14:textId="77777777">
              <w:r>
                <w:t xml:space="preserve">Op grond van de huidige </w:t>
              </w:r>
              <w:proofErr w:type="spellStart"/>
              <w:r>
                <w:t>Wdkb</w:t>
              </w:r>
              <w:proofErr w:type="spellEnd"/>
              <w:r>
                <w:t xml:space="preserve"> dienen klinieken medische gegevens van een donor die van belang kunnen zijn voor de gezonde ontwikkeling van het kind, zoals aandoeningen en bloedgroeptypering, ter beschikking te stellen aan de </w:t>
              </w:r>
              <w:proofErr w:type="spellStart"/>
              <w:r>
                <w:t>Sdkb</w:t>
              </w:r>
              <w:proofErr w:type="spellEnd"/>
              <w:r>
                <w:t>.</w:t>
              </w:r>
              <w:r>
                <w:rPr>
                  <w:rStyle w:val="Voetnootmarkering"/>
                </w:rPr>
                <w:footnoteReference w:id="9"/>
              </w:r>
              <w:r>
                <w:t xml:space="preserve"> In de Tweede evaluatie van de </w:t>
              </w:r>
              <w:proofErr w:type="spellStart"/>
              <w:r>
                <w:t>Wdkb</w:t>
              </w:r>
              <w:proofErr w:type="spellEnd"/>
              <w:r>
                <w:t xml:space="preserve"> is echter geconcludeerd dat de regeling over het vastleggen van medische gegevens in de praktijk geen betekenis heeft.</w:t>
              </w:r>
              <w:r>
                <w:rPr>
                  <w:rStyle w:val="Voetnootmarkering"/>
                </w:rPr>
                <w:footnoteReference w:id="10"/>
              </w:r>
              <w:r>
                <w:t xml:space="preserve"> Onder meer is gebleken dat klinieken geen donoren accepteren die aandoeningen hebben die van belang kunnen zijn voor de gezonde ontwikkeling van een kind. B</w:t>
              </w:r>
              <w:r w:rsidRPr="00764773">
                <w:t>loedgroeptypering</w:t>
              </w:r>
              <w:r>
                <w:t>en</w:t>
              </w:r>
              <w:r w:rsidRPr="00764773">
                <w:t xml:space="preserve"> </w:t>
              </w:r>
              <w:r>
                <w:t xml:space="preserve">worden daarnaast niet </w:t>
              </w:r>
              <w:r w:rsidRPr="00764773">
                <w:t>meer uit</w:t>
              </w:r>
              <w:r>
                <w:t>gevoerd</w:t>
              </w:r>
              <w:r w:rsidRPr="00764773">
                <w:t xml:space="preserve">, omdat deze kostbaar </w:t>
              </w:r>
              <w:r>
                <w:t>zijn</w:t>
              </w:r>
              <w:r w:rsidRPr="00764773">
                <w:t xml:space="preserve"> en het bepalen van afstamming via een bloedgroeptypering niet meer betrouwbaar wordt geacht</w:t>
              </w:r>
              <w:r>
                <w:t>. Aanbevolen is om de wettelijke regeling op dit punt aan te passen.</w:t>
              </w:r>
            </w:p>
            <w:p w:rsidR="009A2ADC" w:rsidP="009A2ADC" w:rsidRDefault="00E23B16" w14:paraId="7F6A23EA" w14:textId="77777777"/>
            <w:p w:rsidR="009A2ADC" w:rsidP="009A2ADC" w:rsidRDefault="00034E16" w14:paraId="25F0CB82" w14:textId="77777777">
              <w:r>
                <w:t xml:space="preserve">In navolging van deze aanbeveling bepaalt het voorstel </w:t>
              </w:r>
              <w:r w:rsidRPr="00174616">
                <w:t xml:space="preserve">dat </w:t>
              </w:r>
              <w:r>
                <w:t>de registratieverplichting voor medische gegevens vervalt. Daarnaast bevat het voorstel een overgangsbepaling, zodat de reeds geregistreerde medische gegevens van donoren bewaard kunnen blijven en verstrekking daarvan aan de huisarts nog steeds mogelijk blijft.</w:t>
              </w:r>
              <w:r w:rsidRPr="00377C7A">
                <w:rPr>
                  <w:rStyle w:val="Voetnootmarkering"/>
                </w:rPr>
                <w:footnoteReference w:id="11"/>
              </w:r>
              <w:r>
                <w:t xml:space="preserve"> </w:t>
              </w:r>
              <w:r w:rsidRPr="00FC6587">
                <w:t>Een toelichting op de noodzaak en proportionaliteit van het behoud van deze medische gegevens ontbreekt echter</w:t>
              </w:r>
              <w:r>
                <w:t xml:space="preserve">. Dit terwijl deze gegevens gevoelige gegevens betreffen en op grond van de </w:t>
              </w:r>
              <w:proofErr w:type="spellStart"/>
              <w:r>
                <w:t>Wdkb</w:t>
              </w:r>
              <w:proofErr w:type="spellEnd"/>
              <w:r>
                <w:t xml:space="preserve"> worden bewaard voor een termijn van tachtig jaar.</w:t>
              </w:r>
              <w:r>
                <w:rPr>
                  <w:rStyle w:val="Voetnootmarkering"/>
                </w:rPr>
                <w:footnoteReference w:id="12"/>
              </w:r>
              <w:r>
                <w:t xml:space="preserve"> </w:t>
              </w:r>
            </w:p>
            <w:p w:rsidR="009A2ADC" w:rsidP="009A2ADC" w:rsidRDefault="00E23B16" w14:paraId="21BC0BAD" w14:textId="77777777"/>
            <w:p w:rsidRPr="00377C7A" w:rsidR="009A2ADC" w:rsidP="009A2ADC" w:rsidRDefault="00034E16" w14:paraId="4618B055" w14:textId="77777777">
              <w:r>
                <w:t xml:space="preserve">De Afdeling adviseert gelet op het voorgaande in de toelichting nader in te gaan op de noodzaak en proportionaliteit </w:t>
              </w:r>
              <w:r w:rsidRPr="00AC19D1">
                <w:t>van het bewaren</w:t>
              </w:r>
              <w:r>
                <w:t xml:space="preserve"> van de reeds geregistreerde medische gegevens van donoren. </w:t>
              </w:r>
            </w:p>
            <w:p w:rsidRPr="00154EE2" w:rsidR="009A2ADC" w:rsidP="009A2ADC" w:rsidRDefault="00E23B16" w14:paraId="3C318778" w14:textId="77777777">
              <w:pPr>
                <w:rPr>
                  <w:u w:val="single"/>
                </w:rPr>
              </w:pPr>
            </w:p>
            <w:p w:rsidRPr="00905ACD" w:rsidR="009A2ADC" w:rsidP="009A2ADC" w:rsidRDefault="00034E16" w14:paraId="5326D139" w14:textId="77777777">
              <w:pPr>
                <w:pStyle w:val="Lijstalinea"/>
                <w:numPr>
                  <w:ilvl w:val="0"/>
                  <w:numId w:val="5"/>
                </w:numPr>
                <w:ind w:hanging="720"/>
                <w:rPr>
                  <w:u w:val="single"/>
                </w:rPr>
              </w:pPr>
              <w:r w:rsidRPr="00905ACD">
                <w:rPr>
                  <w:u w:val="single"/>
                </w:rPr>
                <w:t>Nota van wijziging inzake switch van B- naar A-donor</w:t>
              </w:r>
            </w:p>
            <w:p w:rsidR="009A2ADC" w:rsidP="009A2ADC" w:rsidRDefault="00E23B16" w14:paraId="13354E41" w14:textId="77777777"/>
            <w:p w:rsidR="009A2ADC" w:rsidP="009A2ADC" w:rsidRDefault="00034E16" w14:paraId="7F07BF38" w14:textId="77777777">
              <w:r>
                <w:t xml:space="preserve">Uit de toelichting blijkt dat het wetsvoorstel mogelijk nog wordt aangevuld met een nota van wijziging die betrekking heeft op de ‘switch’ van bekende donor (B-donor) naar anonieme donor (A-donor). Een donor die voor 1 juni 2004 heeft gedoneerd, kon op grond van de overgangsregeling uit de </w:t>
              </w:r>
              <w:proofErr w:type="spellStart"/>
              <w:r>
                <w:t>Wdkb</w:t>
              </w:r>
              <w:proofErr w:type="spellEnd"/>
              <w:r>
                <w:t xml:space="preserve"> tot de volledige inwerkingtreding van deze wet op schrift verklaren dat zijn gegevens niet aan het donorkind mogen worden </w:t>
              </w:r>
              <w:r>
                <w:lastRenderedPageBreak/>
                <w:t>overhandigd als het daar om verzoekt.</w:t>
              </w:r>
              <w:r>
                <w:rPr>
                  <w:rStyle w:val="Voetnootmarkering"/>
                </w:rPr>
                <w:footnoteReference w:id="13"/>
              </w:r>
              <w:r>
                <w:t xml:space="preserve"> De bedoeling van de wetgever was om “de belangen van donoren die er [destijds] vanuit zijn gegaan dat hun anonimiteit bewaard zou blijven” te waarborgen.</w:t>
              </w:r>
              <w:r>
                <w:rPr>
                  <w:rStyle w:val="Voetnootmarkering"/>
                </w:rPr>
                <w:footnoteReference w:id="14"/>
              </w:r>
              <w:r>
                <w:t xml:space="preserve"> In sommige gevallen zijn echter ook donoren die voor de volledige inwerkingtreding van de </w:t>
              </w:r>
              <w:proofErr w:type="spellStart"/>
              <w:r>
                <w:t>Wdkb</w:t>
              </w:r>
              <w:proofErr w:type="spellEnd"/>
              <w:r>
                <w:t xml:space="preserve"> hebben gedoneerd als B-donor </w:t>
              </w:r>
              <w:r w:rsidRPr="005B08E7">
                <w:rPr>
                  <w:szCs w:val="18"/>
                </w:rPr>
                <w:t>terug</w:t>
              </w:r>
              <w:r>
                <w:rPr>
                  <w:szCs w:val="18"/>
                </w:rPr>
                <w:t>ge</w:t>
              </w:r>
              <w:r w:rsidRPr="005B08E7">
                <w:rPr>
                  <w:szCs w:val="18"/>
                </w:rPr>
                <w:t>komen op hun besluit</w:t>
              </w:r>
              <w:r>
                <w:rPr>
                  <w:szCs w:val="18"/>
                </w:rPr>
                <w:t>.</w:t>
              </w:r>
              <w:r w:rsidRPr="005B08E7">
                <w:rPr>
                  <w:szCs w:val="18"/>
                </w:rPr>
                <w:t xml:space="preserve"> </w:t>
              </w:r>
              <w:r>
                <w:rPr>
                  <w:szCs w:val="18"/>
                </w:rPr>
                <w:t xml:space="preserve">Zij wensen </w:t>
              </w:r>
              <w:r w:rsidRPr="005B08E7">
                <w:rPr>
                  <w:szCs w:val="18"/>
                </w:rPr>
                <w:t xml:space="preserve">alsnog anoniem te blijven. </w:t>
              </w:r>
              <w:r>
                <w:rPr>
                  <w:szCs w:val="18"/>
                </w:rPr>
                <w:t>Een aantal donorkinderen dat met een dergelijke wijziging is geconfronteerd, heeft hierover rechtszaken aangespannen.</w:t>
              </w:r>
            </w:p>
            <w:p w:rsidR="009A2ADC" w:rsidP="009A2ADC" w:rsidRDefault="00E23B16" w14:paraId="673FBC9B" w14:textId="77777777"/>
            <w:p w:rsidR="009A2ADC" w:rsidP="009A2ADC" w:rsidRDefault="00034E16" w14:paraId="13336A7E" w14:textId="77777777">
              <w:r>
                <w:t>De toelichting vermeldt dat de minister van Volksgezondheid, Welzijn en Sport (VWS) de uitspraak van de rechter in (één van) deze rechtszaken afwacht voordat hij vervolgstappen neemt.</w:t>
              </w:r>
              <w:r>
                <w:rPr>
                  <w:rStyle w:val="Voetnootmarkering"/>
                </w:rPr>
                <w:footnoteReference w:id="15"/>
              </w:r>
              <w:r>
                <w:t xml:space="preserve"> Uit de</w:t>
              </w:r>
              <w:r w:rsidRPr="00F928DC">
                <w:t xml:space="preserve"> brief</w:t>
              </w:r>
              <w:r>
                <w:t xml:space="preserve"> van 26 september 2019</w:t>
              </w:r>
              <w:r w:rsidRPr="00F928DC">
                <w:t xml:space="preserve"> aan de Tweede Kamer </w:t>
              </w:r>
              <w:r>
                <w:t>blijkt dat een</w:t>
              </w:r>
              <w:r w:rsidRPr="00F928DC">
                <w:t xml:space="preserve"> </w:t>
              </w:r>
              <w:r>
                <w:t>mogelijke</w:t>
              </w:r>
              <w:r w:rsidRPr="003925BC">
                <w:t xml:space="preserve"> wetswijziging </w:t>
              </w:r>
              <w:r>
                <w:t xml:space="preserve">in verband hiermee zou </w:t>
              </w:r>
              <w:r w:rsidRPr="003925BC">
                <w:t xml:space="preserve">kunnen </w:t>
              </w:r>
              <w:r>
                <w:t>in</w:t>
              </w:r>
              <w:r w:rsidRPr="003925BC">
                <w:t xml:space="preserve">houden dat gegevens van een B-donor van voor 2004 in principe worden verstrekt, tenzij de donor een zwaarwegend belang kan aantonen om niet over te gaan tot verstrekking van zijn </w:t>
              </w:r>
              <w:proofErr w:type="spellStart"/>
              <w:r w:rsidRPr="003925BC">
                <w:t>persoonsidentificerende</w:t>
              </w:r>
              <w:proofErr w:type="spellEnd"/>
              <w:r w:rsidRPr="003925BC">
                <w:t xml:space="preserve"> gegevens.</w:t>
              </w:r>
              <w:r>
                <w:rPr>
                  <w:rStyle w:val="Voetnootmarkering"/>
                </w:rPr>
                <w:footnoteReference w:id="16"/>
              </w:r>
              <w:r>
                <w:t xml:space="preserve"> </w:t>
              </w:r>
            </w:p>
            <w:p w:rsidR="009A2ADC" w:rsidP="009A2ADC" w:rsidRDefault="00E23B16" w14:paraId="368911A1" w14:textId="77777777"/>
            <w:p w:rsidR="00034E16" w:rsidP="00FF035E" w:rsidRDefault="00034E16" w14:paraId="60DB3C16" w14:textId="77777777">
              <w:r>
                <w:t>De Afdeling merkt op dat het hierbij gaat om een ingrijpende wijzing, in ieder geval bezien vanuit het perspectief van de donor. Gelet op Aanwijzing 7.15 van de Aanwijzingen voor de regelgeving, adviseert de Afdeling de eventuele nota van wijziging daarom opnieuw voor te leggen aan de Afdeling voor advies voordat deze bij de Tweede Kamer wordt ingediend.</w:t>
              </w:r>
            </w:p>
            <w:p w:rsidR="00034E16" w:rsidRDefault="00034E16" w14:paraId="0338100F" w14:textId="77777777">
              <w:r>
                <w:br w:type="page"/>
              </w:r>
            </w:p>
            <w:p w:rsidR="0031089B" w:rsidP="00FF035E" w:rsidRDefault="00034E16" w14:paraId="43762D9F" w14:textId="559D00E4">
              <w:r>
                <w:lastRenderedPageBreak/>
                <w:t xml:space="preserve"> </w:t>
              </w:r>
            </w:p>
          </w:sdtContent>
        </w:sdt>
        <w:p w:rsidR="003A1FC7" w:rsidRDefault="003A1FC7" w14:paraId="27C10853" w14:textId="77777777"/>
        <w:sdt>
          <w:sdtPr>
            <w:alias w:val="Dictum"/>
            <w:tag w:val="Dictum"/>
            <w:id w:val="1621489950"/>
            <w:lock w:val="sdtContentLocked"/>
            <w:placeholder>
              <w:docPart w:val="DefaultPlaceholder_1082065158"/>
            </w:placeholder>
            <w:text w:multiLine="1"/>
          </w:sdtPr>
          <w:sdtEndPr/>
          <w:sdtContent>
            <w:p w:rsidR="00D1733A" w:rsidRDefault="00034E16" w14:paraId="336930A5"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D1733A"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61931" w14:textId="77777777" w:rsidR="00847094" w:rsidRDefault="00034E16" w:rsidP="005B3E03">
      <w:r>
        <w:separator/>
      </w:r>
    </w:p>
    <w:p w14:paraId="47511BDB" w14:textId="77777777" w:rsidR="002D0ACF" w:rsidRDefault="00E23B16"/>
  </w:endnote>
  <w:endnote w:type="continuationSeparator" w:id="0">
    <w:p w14:paraId="4719E812" w14:textId="77777777" w:rsidR="00847094" w:rsidRDefault="00034E16" w:rsidP="005B3E03">
      <w:r>
        <w:continuationSeparator/>
      </w:r>
    </w:p>
    <w:p w14:paraId="47E8D906" w14:textId="77777777" w:rsidR="002D0ACF" w:rsidRDefault="00E23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E1C4"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0DF69AD" wp14:editId="15E5B4C4">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1F2BD"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F69AD"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1F01F2BD"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910D7" w14:textId="77777777" w:rsidR="00847094" w:rsidRDefault="00034E16" w:rsidP="005B3E03">
      <w:r>
        <w:separator/>
      </w:r>
    </w:p>
    <w:p w14:paraId="6337C745" w14:textId="77777777" w:rsidR="002D0ACF" w:rsidRDefault="00E23B16"/>
  </w:footnote>
  <w:footnote w:type="continuationSeparator" w:id="0">
    <w:p w14:paraId="72275CCE" w14:textId="77777777" w:rsidR="00847094" w:rsidRDefault="00034E16" w:rsidP="005B3E03">
      <w:r>
        <w:continuationSeparator/>
      </w:r>
    </w:p>
    <w:p w14:paraId="6B202D37" w14:textId="77777777" w:rsidR="002D0ACF" w:rsidRDefault="00E23B16"/>
  </w:footnote>
  <w:footnote w:id="1">
    <w:p w14:paraId="28548F68" w14:textId="77777777" w:rsidR="009A2ADC" w:rsidRDefault="00034E16" w:rsidP="009A2ADC">
      <w:pPr>
        <w:pStyle w:val="Voetnoottekst"/>
      </w:pPr>
      <w:r>
        <w:rPr>
          <w:rStyle w:val="Voetnootmarkering"/>
        </w:rPr>
        <w:footnoteRef/>
      </w:r>
      <w:r>
        <w:t xml:space="preserve"> </w:t>
      </w:r>
      <w:r>
        <w:tab/>
        <w:t>K</w:t>
      </w:r>
      <w:r w:rsidRPr="00905ACD">
        <w:t xml:space="preserve">amerstukken II 2016/17, 30486, nr. 16. </w:t>
      </w:r>
    </w:p>
  </w:footnote>
  <w:footnote w:id="2">
    <w:p w14:paraId="4F0E63B5" w14:textId="77777777" w:rsidR="009A2ADC" w:rsidRDefault="00034E16" w:rsidP="009A2ADC">
      <w:pPr>
        <w:pStyle w:val="Voetnoottekst"/>
      </w:pPr>
      <w:r>
        <w:rPr>
          <w:rStyle w:val="Voetnootmarkering"/>
        </w:rPr>
        <w:footnoteRef/>
      </w:r>
      <w:r>
        <w:t xml:space="preserve"> </w:t>
      </w:r>
      <w:r>
        <w:tab/>
      </w:r>
      <w:r>
        <w:rPr>
          <w:szCs w:val="18"/>
        </w:rPr>
        <w:t xml:space="preserve">Tweede evaluatie Wet donorgegevens kunstmatige bevruchting, Den Haag: </w:t>
      </w:r>
      <w:proofErr w:type="spellStart"/>
      <w:r>
        <w:rPr>
          <w:szCs w:val="18"/>
        </w:rPr>
        <w:t>ZonMw</w:t>
      </w:r>
      <w:proofErr w:type="spellEnd"/>
      <w:r>
        <w:rPr>
          <w:szCs w:val="18"/>
        </w:rPr>
        <w:t>, april 2019, Kamerstukken II 2019/20, 30486, nr. 23.</w:t>
      </w:r>
    </w:p>
  </w:footnote>
  <w:footnote w:id="3">
    <w:p w14:paraId="7613ED8E" w14:textId="77777777" w:rsidR="009A2ADC" w:rsidRDefault="00034E16" w:rsidP="009A2ADC">
      <w:pPr>
        <w:pStyle w:val="Voetnoottekst"/>
      </w:pPr>
      <w:r>
        <w:rPr>
          <w:rStyle w:val="Voetnootmarkering"/>
        </w:rPr>
        <w:footnoteRef/>
      </w:r>
      <w:r>
        <w:t xml:space="preserve"> </w:t>
      </w:r>
      <w:r>
        <w:tab/>
        <w:t>K</w:t>
      </w:r>
      <w:r w:rsidRPr="00905ACD">
        <w:t xml:space="preserve">amerstukken II 2016/17, 30486, nr. 16. </w:t>
      </w:r>
    </w:p>
  </w:footnote>
  <w:footnote w:id="4">
    <w:p w14:paraId="758D5E2A" w14:textId="77777777" w:rsidR="009A2ADC" w:rsidRPr="00B27F69" w:rsidRDefault="00034E16" w:rsidP="009A2ADC">
      <w:pPr>
        <w:pStyle w:val="Voetnoottekst"/>
        <w:rPr>
          <w:szCs w:val="18"/>
        </w:rPr>
      </w:pPr>
      <w:r w:rsidRPr="00B27F69">
        <w:rPr>
          <w:rStyle w:val="Voetnootmarkering"/>
          <w:szCs w:val="18"/>
        </w:rPr>
        <w:footnoteRef/>
      </w:r>
      <w:r w:rsidRPr="00B27F69">
        <w:rPr>
          <w:szCs w:val="18"/>
        </w:rPr>
        <w:t xml:space="preserve"> </w:t>
      </w:r>
      <w:r w:rsidRPr="00B27F69">
        <w:rPr>
          <w:szCs w:val="18"/>
        </w:rPr>
        <w:tab/>
        <w:t>Kamerstukken II 2019/20, 30486, nr. 24.</w:t>
      </w:r>
    </w:p>
  </w:footnote>
  <w:footnote w:id="5">
    <w:p w14:paraId="4B625B95" w14:textId="77777777" w:rsidR="009A2ADC" w:rsidRDefault="00034E16" w:rsidP="009A2ADC">
      <w:pPr>
        <w:pStyle w:val="Voetnoottekst"/>
      </w:pPr>
      <w:r>
        <w:rPr>
          <w:rStyle w:val="Voetnootmarkering"/>
        </w:rPr>
        <w:footnoteRef/>
      </w:r>
      <w:r>
        <w:t xml:space="preserve"> </w:t>
      </w:r>
      <w:r>
        <w:tab/>
      </w:r>
      <w:r w:rsidRPr="00B27F69">
        <w:rPr>
          <w:szCs w:val="18"/>
        </w:rPr>
        <w:t>Memorie van toelichting, artikelsgewijze toelichting, Artikel I, onderdeel E.</w:t>
      </w:r>
    </w:p>
  </w:footnote>
  <w:footnote w:id="6">
    <w:p w14:paraId="17603361" w14:textId="77777777" w:rsidR="009A2ADC" w:rsidRPr="00B27F69" w:rsidRDefault="00034E16" w:rsidP="009A2ADC">
      <w:pPr>
        <w:pStyle w:val="Voetnoottekst"/>
        <w:rPr>
          <w:szCs w:val="18"/>
        </w:rPr>
      </w:pPr>
      <w:r w:rsidRPr="00B27F69">
        <w:rPr>
          <w:rStyle w:val="Voetnootmarkering"/>
          <w:szCs w:val="18"/>
        </w:rPr>
        <w:footnoteRef/>
      </w:r>
      <w:r w:rsidRPr="00B27F69">
        <w:rPr>
          <w:szCs w:val="18"/>
        </w:rPr>
        <w:t xml:space="preserve"> </w:t>
      </w:r>
      <w:r w:rsidRPr="00B27F69">
        <w:rPr>
          <w:szCs w:val="18"/>
        </w:rPr>
        <w:tab/>
        <w:t xml:space="preserve">Tweede evaluatie Wet donorgegevens kunstmatige bevruchting, Den Haag: </w:t>
      </w:r>
      <w:proofErr w:type="spellStart"/>
      <w:r w:rsidRPr="00B27F69">
        <w:rPr>
          <w:szCs w:val="18"/>
        </w:rPr>
        <w:t>ZonMw</w:t>
      </w:r>
      <w:proofErr w:type="spellEnd"/>
      <w:r w:rsidRPr="00B27F69">
        <w:rPr>
          <w:szCs w:val="18"/>
        </w:rPr>
        <w:t xml:space="preserve">, april 2019, Kamerstukken II 2019/20, 30486, nr. 23, par. 6.3.3 en aanbeveling 7b. </w:t>
      </w:r>
    </w:p>
  </w:footnote>
  <w:footnote w:id="7">
    <w:p w14:paraId="609FD851" w14:textId="77777777" w:rsidR="009A2ADC" w:rsidRPr="00B27F69" w:rsidRDefault="00034E16" w:rsidP="009A2ADC">
      <w:pPr>
        <w:pStyle w:val="Voetnoottekst"/>
        <w:rPr>
          <w:szCs w:val="18"/>
        </w:rPr>
      </w:pPr>
      <w:r w:rsidRPr="00B27F69">
        <w:rPr>
          <w:rStyle w:val="Voetnootmarkering"/>
          <w:szCs w:val="18"/>
        </w:rPr>
        <w:footnoteRef/>
      </w:r>
      <w:r w:rsidRPr="00B27F69">
        <w:rPr>
          <w:szCs w:val="18"/>
        </w:rPr>
        <w:t xml:space="preserve"> </w:t>
      </w:r>
      <w:r w:rsidRPr="00B27F69">
        <w:rPr>
          <w:szCs w:val="18"/>
        </w:rPr>
        <w:tab/>
        <w:t xml:space="preserve">Stichting Fiom is een kenniscentrum voor verwantschapsvragen en verzorgt sinds 2012 op grond van een samenwerkingsovereenkomst met de </w:t>
      </w:r>
      <w:proofErr w:type="spellStart"/>
      <w:r w:rsidRPr="00B27F69">
        <w:rPr>
          <w:szCs w:val="18"/>
        </w:rPr>
        <w:t>Sdkb</w:t>
      </w:r>
      <w:proofErr w:type="spellEnd"/>
      <w:r w:rsidRPr="00B27F69">
        <w:rPr>
          <w:szCs w:val="18"/>
        </w:rPr>
        <w:t xml:space="preserve"> de begeleiding van donor en donorkind bij de verstrekking van de donorgegevens.</w:t>
      </w:r>
    </w:p>
  </w:footnote>
  <w:footnote w:id="8">
    <w:p w14:paraId="6F3A9196" w14:textId="77777777" w:rsidR="009A2ADC" w:rsidRPr="0039236C" w:rsidRDefault="00034E16" w:rsidP="009A2ADC">
      <w:pPr>
        <w:pStyle w:val="Voetnoottekst"/>
        <w:rPr>
          <w:sz w:val="20"/>
        </w:rPr>
      </w:pPr>
      <w:r w:rsidRPr="00B27F69">
        <w:rPr>
          <w:rStyle w:val="Voetnootmarkering"/>
          <w:szCs w:val="18"/>
        </w:rPr>
        <w:footnoteRef/>
      </w:r>
      <w:r w:rsidRPr="00B27F69">
        <w:rPr>
          <w:szCs w:val="18"/>
        </w:rPr>
        <w:t xml:space="preserve"> </w:t>
      </w:r>
      <w:r w:rsidRPr="00B27F69">
        <w:rPr>
          <w:szCs w:val="18"/>
        </w:rPr>
        <w:tab/>
        <w:t xml:space="preserve">Voorgesteld artikel 5, tweede lid, </w:t>
      </w:r>
      <w:proofErr w:type="spellStart"/>
      <w:r w:rsidRPr="00B27F69">
        <w:rPr>
          <w:szCs w:val="18"/>
        </w:rPr>
        <w:t>Wdkb</w:t>
      </w:r>
      <w:proofErr w:type="spellEnd"/>
      <w:r w:rsidRPr="00B27F69">
        <w:rPr>
          <w:szCs w:val="18"/>
        </w:rPr>
        <w:t>.</w:t>
      </w:r>
    </w:p>
  </w:footnote>
  <w:footnote w:id="9">
    <w:p w14:paraId="34F0127E" w14:textId="77777777" w:rsidR="009A2ADC" w:rsidRDefault="00034E16" w:rsidP="009A2ADC">
      <w:pPr>
        <w:pStyle w:val="Voetnoottekst"/>
      </w:pPr>
      <w:r>
        <w:rPr>
          <w:rStyle w:val="Voetnootmarkering"/>
        </w:rPr>
        <w:footnoteRef/>
      </w:r>
      <w:r>
        <w:t xml:space="preserve"> </w:t>
      </w:r>
      <w:r>
        <w:tab/>
        <w:t xml:space="preserve">Artikel 2, eerste lid, onder a, </w:t>
      </w:r>
      <w:proofErr w:type="spellStart"/>
      <w:r>
        <w:t>Wdkb</w:t>
      </w:r>
      <w:proofErr w:type="spellEnd"/>
      <w:r>
        <w:t xml:space="preserve">. </w:t>
      </w:r>
    </w:p>
  </w:footnote>
  <w:footnote w:id="10">
    <w:p w14:paraId="79022DEF" w14:textId="77777777" w:rsidR="009A2ADC" w:rsidRDefault="00034E16" w:rsidP="009A2ADC">
      <w:pPr>
        <w:pStyle w:val="Voetnoottekst"/>
      </w:pPr>
      <w:r>
        <w:rPr>
          <w:rStyle w:val="Voetnootmarkering"/>
        </w:rPr>
        <w:footnoteRef/>
      </w:r>
      <w:r>
        <w:t xml:space="preserve"> </w:t>
      </w:r>
      <w:r>
        <w:tab/>
      </w:r>
      <w:r w:rsidRPr="00764773">
        <w:t xml:space="preserve">Tweede evaluatie Wet donorgegevens kunstmatige bevruchting, Den Haag: </w:t>
      </w:r>
      <w:proofErr w:type="spellStart"/>
      <w:r w:rsidRPr="00764773">
        <w:t>ZonMw</w:t>
      </w:r>
      <w:proofErr w:type="spellEnd"/>
      <w:r w:rsidRPr="00764773">
        <w:t xml:space="preserve">, april 2019, Kamerstukken II 2019/20, 30486, nr. 23, </w:t>
      </w:r>
      <w:r>
        <w:t xml:space="preserve">p. 161-162 en aanbeveling 2. </w:t>
      </w:r>
    </w:p>
  </w:footnote>
  <w:footnote w:id="11">
    <w:p w14:paraId="63A91292" w14:textId="77777777" w:rsidR="009A2ADC" w:rsidRDefault="00034E16" w:rsidP="009A2ADC">
      <w:pPr>
        <w:pStyle w:val="Voetnoottekst"/>
      </w:pPr>
      <w:r>
        <w:rPr>
          <w:rStyle w:val="Voetnootmarkering"/>
        </w:rPr>
        <w:footnoteRef/>
      </w:r>
      <w:r>
        <w:t xml:space="preserve"> </w:t>
      </w:r>
      <w:r>
        <w:tab/>
        <w:t xml:space="preserve">Voorgesteld artikel 13a </w:t>
      </w:r>
      <w:proofErr w:type="spellStart"/>
      <w:r>
        <w:t>Wdkb</w:t>
      </w:r>
      <w:proofErr w:type="spellEnd"/>
      <w:r>
        <w:t xml:space="preserve">. </w:t>
      </w:r>
    </w:p>
  </w:footnote>
  <w:footnote w:id="12">
    <w:p w14:paraId="683A68D7" w14:textId="77777777" w:rsidR="009A2ADC" w:rsidRDefault="00034E16" w:rsidP="009A2ADC">
      <w:pPr>
        <w:pStyle w:val="Voetnoottekst"/>
      </w:pPr>
      <w:r>
        <w:rPr>
          <w:rStyle w:val="Voetnootmarkering"/>
        </w:rPr>
        <w:footnoteRef/>
      </w:r>
      <w:r>
        <w:t xml:space="preserve"> </w:t>
      </w:r>
      <w:r>
        <w:tab/>
        <w:t xml:space="preserve">Artikel 8 </w:t>
      </w:r>
      <w:proofErr w:type="spellStart"/>
      <w:r>
        <w:t>Wdkb</w:t>
      </w:r>
      <w:proofErr w:type="spellEnd"/>
      <w:r>
        <w:t xml:space="preserve">. </w:t>
      </w:r>
    </w:p>
  </w:footnote>
  <w:footnote w:id="13">
    <w:p w14:paraId="23D4FF56" w14:textId="77777777" w:rsidR="009A2ADC" w:rsidRDefault="00034E16" w:rsidP="009A2ADC">
      <w:pPr>
        <w:pStyle w:val="Voetnoottekst"/>
      </w:pPr>
      <w:r>
        <w:rPr>
          <w:rStyle w:val="Voetnootmarkering"/>
        </w:rPr>
        <w:footnoteRef/>
      </w:r>
      <w:r>
        <w:t xml:space="preserve"> </w:t>
      </w:r>
      <w:r>
        <w:tab/>
        <w:t xml:space="preserve">Artikel 12, tweede lid, </w:t>
      </w:r>
      <w:proofErr w:type="spellStart"/>
      <w:r>
        <w:t>Wdkb</w:t>
      </w:r>
      <w:proofErr w:type="spellEnd"/>
      <w:r>
        <w:t xml:space="preserve">. </w:t>
      </w:r>
    </w:p>
  </w:footnote>
  <w:footnote w:id="14">
    <w:p w14:paraId="3D544A0E" w14:textId="77777777" w:rsidR="009A2ADC" w:rsidRDefault="00034E16" w:rsidP="009A2ADC">
      <w:pPr>
        <w:pStyle w:val="Voetnoottekst"/>
      </w:pPr>
      <w:r>
        <w:rPr>
          <w:rStyle w:val="Voetnootmarkering"/>
        </w:rPr>
        <w:footnoteRef/>
      </w:r>
      <w:r>
        <w:t xml:space="preserve"> </w:t>
      </w:r>
      <w:r>
        <w:tab/>
        <w:t>Kamerstukken II 1992/93, 23 207, nr. 3, par. 6.</w:t>
      </w:r>
    </w:p>
  </w:footnote>
  <w:footnote w:id="15">
    <w:p w14:paraId="65A9BD52" w14:textId="77777777" w:rsidR="009A2ADC" w:rsidRDefault="00034E16" w:rsidP="009A2ADC">
      <w:pPr>
        <w:pStyle w:val="Voetnoottekst"/>
      </w:pPr>
      <w:r>
        <w:rPr>
          <w:rStyle w:val="Voetnootmarkering"/>
        </w:rPr>
        <w:footnoteRef/>
      </w:r>
      <w:r>
        <w:t xml:space="preserve"> </w:t>
      </w:r>
      <w:r>
        <w:tab/>
        <w:t>Memorie van toelichting, paragraaf 1 (Inleiding en inhoud van het wetsvoorstel).</w:t>
      </w:r>
    </w:p>
  </w:footnote>
  <w:footnote w:id="16">
    <w:p w14:paraId="3BD0E282" w14:textId="77777777" w:rsidR="009A2ADC" w:rsidRDefault="00034E16" w:rsidP="009A2ADC">
      <w:pPr>
        <w:pStyle w:val="Voetnoottekst"/>
      </w:pPr>
      <w:r>
        <w:rPr>
          <w:rStyle w:val="Voetnootmarkering"/>
        </w:rPr>
        <w:footnoteRef/>
      </w:r>
      <w:r>
        <w:t xml:space="preserve"> </w:t>
      </w:r>
      <w:r>
        <w:tab/>
      </w:r>
      <w:r w:rsidRPr="002A77FD">
        <w:t>Kamerstukken II 2019/20, 30486,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B8F41" w14:textId="7F80AC09"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23B16">
      <w:rPr>
        <w:rStyle w:val="Paginanummer"/>
        <w:noProof/>
      </w:rPr>
      <w:t>5</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56F72"/>
    <w:multiLevelType w:val="hybridMultilevel"/>
    <w:tmpl w:val="789EA5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991D28"/>
    <w:multiLevelType w:val="hybridMultilevel"/>
    <w:tmpl w:val="A2EE1E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D86C31"/>
    <w:multiLevelType w:val="hybridMultilevel"/>
    <w:tmpl w:val="7AC437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00470C"/>
    <w:multiLevelType w:val="hybridMultilevel"/>
    <w:tmpl w:val="CF84B91C"/>
    <w:lvl w:ilvl="0" w:tplc="754C49DC">
      <w:start w:val="1"/>
      <w:numFmt w:val="decimal"/>
      <w:lvlText w:val="%1."/>
      <w:lvlJc w:val="left"/>
      <w:pPr>
        <w:ind w:left="720" w:hanging="360"/>
      </w:pPr>
    </w:lvl>
    <w:lvl w:ilvl="1" w:tplc="C95ED5D8" w:tentative="1">
      <w:start w:val="1"/>
      <w:numFmt w:val="lowerLetter"/>
      <w:lvlText w:val="%2."/>
      <w:lvlJc w:val="left"/>
      <w:pPr>
        <w:ind w:left="1440" w:hanging="360"/>
      </w:pPr>
    </w:lvl>
    <w:lvl w:ilvl="2" w:tplc="3B42E556" w:tentative="1">
      <w:start w:val="1"/>
      <w:numFmt w:val="lowerRoman"/>
      <w:lvlText w:val="%3."/>
      <w:lvlJc w:val="right"/>
      <w:pPr>
        <w:ind w:left="2160" w:hanging="180"/>
      </w:pPr>
    </w:lvl>
    <w:lvl w:ilvl="3" w:tplc="99AE2ED2" w:tentative="1">
      <w:start w:val="1"/>
      <w:numFmt w:val="decimal"/>
      <w:lvlText w:val="%4."/>
      <w:lvlJc w:val="left"/>
      <w:pPr>
        <w:ind w:left="2880" w:hanging="360"/>
      </w:pPr>
    </w:lvl>
    <w:lvl w:ilvl="4" w:tplc="86841C52" w:tentative="1">
      <w:start w:val="1"/>
      <w:numFmt w:val="lowerLetter"/>
      <w:lvlText w:val="%5."/>
      <w:lvlJc w:val="left"/>
      <w:pPr>
        <w:ind w:left="3600" w:hanging="360"/>
      </w:pPr>
    </w:lvl>
    <w:lvl w:ilvl="5" w:tplc="D736F588" w:tentative="1">
      <w:start w:val="1"/>
      <w:numFmt w:val="lowerRoman"/>
      <w:lvlText w:val="%6."/>
      <w:lvlJc w:val="right"/>
      <w:pPr>
        <w:ind w:left="4320" w:hanging="180"/>
      </w:pPr>
    </w:lvl>
    <w:lvl w:ilvl="6" w:tplc="F2BA8576" w:tentative="1">
      <w:start w:val="1"/>
      <w:numFmt w:val="decimal"/>
      <w:lvlText w:val="%7."/>
      <w:lvlJc w:val="left"/>
      <w:pPr>
        <w:ind w:left="5040" w:hanging="360"/>
      </w:pPr>
    </w:lvl>
    <w:lvl w:ilvl="7" w:tplc="74125CE8" w:tentative="1">
      <w:start w:val="1"/>
      <w:numFmt w:val="lowerLetter"/>
      <w:lvlText w:val="%8."/>
      <w:lvlJc w:val="left"/>
      <w:pPr>
        <w:ind w:left="5760" w:hanging="360"/>
      </w:pPr>
    </w:lvl>
    <w:lvl w:ilvl="8" w:tplc="A928DB96" w:tentative="1">
      <w:start w:val="1"/>
      <w:numFmt w:val="lowerRoman"/>
      <w:lvlText w:val="%9."/>
      <w:lvlJc w:val="right"/>
      <w:pPr>
        <w:ind w:left="6480" w:hanging="180"/>
      </w:pPr>
    </w:lvl>
  </w:abstractNum>
  <w:abstractNum w:abstractNumId="4" w15:restartNumberingAfterBreak="0">
    <w:nsid w:val="3C334292"/>
    <w:multiLevelType w:val="hybridMultilevel"/>
    <w:tmpl w:val="B8365FC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34E16"/>
    <w:rsid w:val="00156F0B"/>
    <w:rsid w:val="0017188E"/>
    <w:rsid w:val="002656A3"/>
    <w:rsid w:val="0027703A"/>
    <w:rsid w:val="002A16F1"/>
    <w:rsid w:val="002C6867"/>
    <w:rsid w:val="002D0875"/>
    <w:rsid w:val="00303CA7"/>
    <w:rsid w:val="00322CB5"/>
    <w:rsid w:val="003A1FC7"/>
    <w:rsid w:val="004421C1"/>
    <w:rsid w:val="004C120D"/>
    <w:rsid w:val="00503044"/>
    <w:rsid w:val="006568B7"/>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1733A"/>
    <w:rsid w:val="00D32A9E"/>
    <w:rsid w:val="00D76613"/>
    <w:rsid w:val="00DE075A"/>
    <w:rsid w:val="00DE1A79"/>
    <w:rsid w:val="00DF6602"/>
    <w:rsid w:val="00E23B16"/>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FF2121B"/>
  <w15:docId w15:val="{286DF46E-128B-4B35-9532-5F597B26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22BC2"/>
    <w:pPr>
      <w:spacing w:before="100" w:beforeAutospacing="1" w:after="100" w:afterAutospacing="1"/>
    </w:pPr>
    <w:rPr>
      <w:rFonts w:ascii="Times New Roman" w:hAnsi="Times New Roman"/>
      <w:sz w:val="24"/>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Voetnootmarkering boek STT"/>
    <w:basedOn w:val="Standaardalinea-lettertype"/>
    <w:uiPriority w:val="99"/>
    <w:unhideWhenUsed/>
    <w:rsid w:val="00722BC2"/>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2B5784"/>
    <w:rPr>
      <w:sz w:val="16"/>
      <w:szCs w:val="16"/>
    </w:rPr>
  </w:style>
  <w:style w:type="paragraph" w:styleId="Tekstopmerking">
    <w:name w:val="annotation text"/>
    <w:basedOn w:val="Standaard"/>
    <w:link w:val="TekstopmerkingChar"/>
    <w:semiHidden/>
    <w:unhideWhenUsed/>
    <w:rsid w:val="002B5784"/>
    <w:rPr>
      <w:sz w:val="20"/>
      <w:szCs w:val="20"/>
    </w:rPr>
  </w:style>
  <w:style w:type="character" w:customStyle="1" w:styleId="TekstopmerkingChar">
    <w:name w:val="Tekst opmerking Char"/>
    <w:basedOn w:val="Standaardalinea-lettertype"/>
    <w:link w:val="Tekstopmerking"/>
    <w:semiHidden/>
    <w:rsid w:val="002B5784"/>
    <w:rPr>
      <w:rFonts w:ascii="Univers" w:hAnsi="Univers"/>
    </w:rPr>
  </w:style>
  <w:style w:type="paragraph" w:styleId="Onderwerpvanopmerking">
    <w:name w:val="annotation subject"/>
    <w:basedOn w:val="Tekstopmerking"/>
    <w:next w:val="Tekstopmerking"/>
    <w:link w:val="OnderwerpvanopmerkingChar"/>
    <w:semiHidden/>
    <w:unhideWhenUsed/>
    <w:rsid w:val="002B5784"/>
    <w:rPr>
      <w:b/>
      <w:bCs/>
    </w:rPr>
  </w:style>
  <w:style w:type="character" w:customStyle="1" w:styleId="OnderwerpvanopmerkingChar">
    <w:name w:val="Onderwerp van opmerking Char"/>
    <w:basedOn w:val="TekstopmerkingChar"/>
    <w:link w:val="Onderwerpvanopmerking"/>
    <w:semiHidden/>
    <w:rsid w:val="002B5784"/>
    <w:rPr>
      <w:rFonts w:ascii="Univers" w:hAnsi="Univers"/>
      <w:b/>
      <w:bCs/>
    </w:rPr>
  </w:style>
  <w:style w:type="paragraph" w:styleId="Revisie">
    <w:name w:val="Revision"/>
    <w:hidden/>
    <w:uiPriority w:val="99"/>
    <w:semiHidden/>
    <w:rsid w:val="002B5784"/>
    <w:rPr>
      <w:rFonts w:ascii="Univers" w:hAnsi="Univers"/>
      <w:sz w:val="22"/>
      <w:szCs w:val="24"/>
    </w:rPr>
  </w:style>
  <w:style w:type="paragraph" w:customStyle="1" w:styleId="Voetnoot">
    <w:name w:val="Voetnoot"/>
    <w:basedOn w:val="Voetnoottekst"/>
    <w:autoRedefine/>
    <w:qFormat/>
    <w:rsid w:val="00905ACD"/>
    <w:pPr>
      <w:tabs>
        <w:tab w:val="clear" w:pos="227"/>
        <w:tab w:val="left" w:pos="284"/>
      </w:tabs>
      <w:ind w:left="0" w:firstLine="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1447</ap:Words>
  <ap:Characters>8342</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2021-06-21T06:30:00.0000000Z</dcterms:created>
  <dcterms:modified xsi:type="dcterms:W3CDTF">2021-06-21T06:30:00.0000000Z</dcterms:modified>
  <dc:description>------------------------</dc:description>
  <dc:subject/>
  <dc:title/>
  <keywords/>
  <version/>
  <category/>
</coreProperties>
</file>