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E3AC2" w:rsidR="00EE3AC2" w:rsidP="00EE3AC2" w:rsidRDefault="00EE3AC2">
      <w:pPr>
        <w:rPr>
          <w:b/>
        </w:rPr>
      </w:pPr>
      <w:bookmarkStart w:name="_GoBack" w:id="0"/>
      <w:bookmarkEnd w:id="0"/>
      <w:r w:rsidRPr="00EE3AC2">
        <w:rPr>
          <w:b/>
        </w:rPr>
        <w:t>Aanleiding</w:t>
      </w:r>
    </w:p>
    <w:p w:rsidR="00804527" w:rsidP="000C190B" w:rsidRDefault="00EE3AC2">
      <w:pPr>
        <w:pStyle w:val="Lijstalinea"/>
        <w:numPr>
          <w:ilvl w:val="0"/>
          <w:numId w:val="1"/>
        </w:numPr>
      </w:pPr>
      <w:r>
        <w:t>Voor het commissiedebat ‘Klimaat en Energie’ op 7 juli staat de beantwoording van vragen ten aanzien van “</w:t>
      </w:r>
      <w:r w:rsidRPr="00EE3AC2">
        <w:t>Net op Zee Ten noorden van de Waddeneilanden</w:t>
      </w:r>
      <w:r>
        <w:t>” geagendeerd.</w:t>
      </w:r>
      <w:r w:rsidR="000C190B">
        <w:t xml:space="preserve"> </w:t>
      </w:r>
      <w:r w:rsidR="00804527">
        <w:t xml:space="preserve">Ook is er een plenair debat aangekondigd over dit onderwerp. </w:t>
      </w:r>
    </w:p>
    <w:p w:rsidRPr="00F76236" w:rsidR="00F76236" w:rsidP="007A61EB" w:rsidRDefault="00E77BC1">
      <w:pPr>
        <w:pStyle w:val="Lijstalinea"/>
        <w:numPr>
          <w:ilvl w:val="0"/>
          <w:numId w:val="1"/>
        </w:numPr>
        <w:rPr>
          <w:rFonts w:cs="Calibri"/>
        </w:rPr>
      </w:pPr>
      <w:r>
        <w:t>De vragen gaan over de motivatie van</w:t>
      </w:r>
      <w:r w:rsidR="00EE3AC2">
        <w:t xml:space="preserve"> de Minister van EZK </w:t>
      </w:r>
      <w:r>
        <w:t xml:space="preserve">m.b.t. </w:t>
      </w:r>
      <w:r w:rsidR="00C377F5">
        <w:t xml:space="preserve">de </w:t>
      </w:r>
      <w:r w:rsidR="00EE3AC2">
        <w:t>keuze voor het voorkeursalternatief (VKA) voor het leidingtracé</w:t>
      </w:r>
      <w:r w:rsidR="00F76236">
        <w:t>, te weten ‘</w:t>
      </w:r>
      <w:r w:rsidR="00DC503D">
        <w:t>Eemshaven west</w:t>
      </w:r>
      <w:r w:rsidR="00F76236">
        <w:t>’</w:t>
      </w:r>
    </w:p>
    <w:p w:rsidR="00F76236" w:rsidP="00F76236" w:rsidRDefault="00F76236">
      <w:pPr>
        <w:pStyle w:val="Lijstalinea"/>
        <w:numPr>
          <w:ilvl w:val="0"/>
          <w:numId w:val="1"/>
        </w:numPr>
        <w:rPr>
          <w:rFonts w:cs="Calibri"/>
        </w:rPr>
      </w:pPr>
      <w:r>
        <w:t>Daarbij kondigt hij aan dat hij</w:t>
      </w:r>
      <w:r w:rsidR="00804527">
        <w:t xml:space="preserve"> gaat laten onderzoeken </w:t>
      </w:r>
      <w:r w:rsidRPr="00804527" w:rsidR="00804527">
        <w:rPr>
          <w:rFonts w:cs="Calibri"/>
        </w:rPr>
        <w:t>welke verbindingen er in de toekomst door het Waddengebied nodig zijn</w:t>
      </w:r>
      <w:r>
        <w:rPr>
          <w:rFonts w:cs="Calibri"/>
        </w:rPr>
        <w:t>,</w:t>
      </w:r>
      <w:r w:rsidRPr="00804527" w:rsidR="00804527">
        <w:rPr>
          <w:rFonts w:cs="Calibri"/>
        </w:rPr>
        <w:t xml:space="preserve"> als </w:t>
      </w:r>
      <w:r>
        <w:rPr>
          <w:rFonts w:cs="Calibri"/>
        </w:rPr>
        <w:t xml:space="preserve">ook </w:t>
      </w:r>
      <w:r w:rsidRPr="00804527" w:rsidR="00804527">
        <w:rPr>
          <w:rFonts w:cs="Calibri"/>
        </w:rPr>
        <w:t xml:space="preserve">te bezien hoe het aangewezen VKA voor Ten noorden van de Waddeneilanden past in dit brede beeld. </w:t>
      </w:r>
      <w:r>
        <w:rPr>
          <w:rFonts w:cs="Calibri"/>
        </w:rPr>
        <w:t xml:space="preserve">Dit doet hij </w:t>
      </w:r>
      <w:r w:rsidRPr="00F76236">
        <w:rPr>
          <w:rFonts w:cs="Calibri"/>
        </w:rPr>
        <w:t xml:space="preserve">met de regionale partners in het Omgevingsberaad Waddengebied, de decentrale overheden en </w:t>
      </w:r>
      <w:proofErr w:type="spellStart"/>
      <w:r w:rsidRPr="00F76236">
        <w:rPr>
          <w:rFonts w:cs="Calibri"/>
        </w:rPr>
        <w:t>TenneT</w:t>
      </w:r>
      <w:proofErr w:type="spellEnd"/>
      <w:r>
        <w:rPr>
          <w:rFonts w:cs="Calibri"/>
        </w:rPr>
        <w:t>.</w:t>
      </w:r>
    </w:p>
    <w:p w:rsidR="000C190B" w:rsidP="00F76236" w:rsidRDefault="007A61EB">
      <w:pPr>
        <w:pStyle w:val="Lijstalinea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Parallel </w:t>
      </w:r>
      <w:r w:rsidR="00F76236">
        <w:rPr>
          <w:rFonts w:cs="Calibri"/>
        </w:rPr>
        <w:t>wordt gewerkt</w:t>
      </w:r>
      <w:r>
        <w:rPr>
          <w:rFonts w:cs="Calibri"/>
        </w:rPr>
        <w:t xml:space="preserve"> </w:t>
      </w:r>
      <w:r w:rsidRPr="007A61EB" w:rsidR="00804527">
        <w:rPr>
          <w:rFonts w:cs="Calibri"/>
        </w:rPr>
        <w:t>aan een nadere uitwerking van het VKA Ten noord</w:t>
      </w:r>
      <w:r>
        <w:rPr>
          <w:rFonts w:cs="Calibri"/>
        </w:rPr>
        <w:t>en van de Waddeneilanden zodat z</w:t>
      </w:r>
      <w:r w:rsidRPr="007A61EB" w:rsidR="00804527">
        <w:rPr>
          <w:rFonts w:cs="Calibri"/>
        </w:rPr>
        <w:t xml:space="preserve">e beter zicht hebben op het exacte tracé, de aanlegtechnieken en de impact op de natuur en landbouw. </w:t>
      </w:r>
    </w:p>
    <w:p w:rsidRPr="0007617A" w:rsidR="00EE3AC2" w:rsidP="0007617A" w:rsidRDefault="000C190B">
      <w:pPr>
        <w:rPr>
          <w:rFonts w:cs="Calibri"/>
          <w:b/>
        </w:rPr>
      </w:pPr>
      <w:r w:rsidRPr="0007617A">
        <w:rPr>
          <w:b/>
        </w:rPr>
        <w:t>Waarom een contra-expertise</w:t>
      </w:r>
      <w:r w:rsidR="00F76236">
        <w:rPr>
          <w:b/>
        </w:rPr>
        <w:t>?</w:t>
      </w:r>
      <w:r w:rsidRPr="0007617A" w:rsidR="00804527">
        <w:rPr>
          <w:b/>
        </w:rPr>
        <w:t xml:space="preserve"> </w:t>
      </w:r>
    </w:p>
    <w:p w:rsidR="0007617A" w:rsidP="0007617A" w:rsidRDefault="00DC503D">
      <w:pPr>
        <w:pStyle w:val="Lijstalinea"/>
        <w:numPr>
          <w:ilvl w:val="0"/>
          <w:numId w:val="1"/>
        </w:numPr>
      </w:pPr>
      <w:r>
        <w:t xml:space="preserve">Voor de betrokken regionale bestuurders had het tracé ‘Eemshaven oost’ de voorkeur, </w:t>
      </w:r>
      <w:r w:rsidR="000C190B">
        <w:t xml:space="preserve">tegelijkertijd </w:t>
      </w:r>
      <w:r>
        <w:t xml:space="preserve">zagen </w:t>
      </w:r>
      <w:r w:rsidR="000C190B">
        <w:t xml:space="preserve">zij ook </w:t>
      </w:r>
      <w:r>
        <w:t>kanttekeningen bij de technische uitvoerbaarheid en de vergunningverlening</w:t>
      </w:r>
      <w:r w:rsidR="000C190B">
        <w:t xml:space="preserve"> m.b.t. dit tracé</w:t>
      </w:r>
      <w:r>
        <w:t xml:space="preserve">. </w:t>
      </w:r>
      <w:r w:rsidR="000C190B">
        <w:t xml:space="preserve">De bestuurders gaven als alternatieve keuze het </w:t>
      </w:r>
      <w:r w:rsidR="00F76236">
        <w:t>tracé</w:t>
      </w:r>
      <w:r w:rsidR="000C190B">
        <w:t xml:space="preserve"> ‘Eemshaven west’ op</w:t>
      </w:r>
      <w:r w:rsidR="00F76236">
        <w:t>. Dat traject is uiteindelijk gekozen.</w:t>
      </w:r>
    </w:p>
    <w:p w:rsidR="0007617A" w:rsidP="0007617A" w:rsidRDefault="000C190B">
      <w:pPr>
        <w:pStyle w:val="Lijstalinea"/>
        <w:numPr>
          <w:ilvl w:val="0"/>
          <w:numId w:val="1"/>
        </w:numPr>
      </w:pPr>
      <w:r>
        <w:t xml:space="preserve">De D66 fractie acht het van belang </w:t>
      </w:r>
      <w:r w:rsidR="00F76236">
        <w:t xml:space="preserve">een onafhankelijke contraexpertise uit te laten voeren op de besluitvorming </w:t>
      </w:r>
      <w:r w:rsidR="0007617A">
        <w:t xml:space="preserve">en de hiervoor geleverde argumentatie. </w:t>
      </w:r>
    </w:p>
    <w:p w:rsidR="00DC503D" w:rsidP="0007617A" w:rsidRDefault="00AB0AED">
      <w:pPr>
        <w:pStyle w:val="Lijstalinea"/>
        <w:numPr>
          <w:ilvl w:val="0"/>
          <w:numId w:val="1"/>
        </w:numPr>
      </w:pPr>
      <w:r>
        <w:t xml:space="preserve">Door het uitvoeren van deze contra-expertise versterkt de Kamer haar kennispositie in het uitoefenen van haar functie als tegenmacht. </w:t>
      </w:r>
    </w:p>
    <w:p w:rsidR="008E6F6E" w:rsidRDefault="00DC503D">
      <w:pPr>
        <w:rPr>
          <w:b/>
        </w:rPr>
      </w:pPr>
      <w:r>
        <w:rPr>
          <w:b/>
        </w:rPr>
        <w:t>Voorstel</w:t>
      </w:r>
    </w:p>
    <w:p w:rsidR="0007617A" w:rsidP="0007617A" w:rsidRDefault="008758AE">
      <w:pPr>
        <w:pStyle w:val="Lijstalinea"/>
        <w:numPr>
          <w:ilvl w:val="0"/>
          <w:numId w:val="3"/>
        </w:numPr>
        <w:ind w:left="709"/>
      </w:pPr>
      <w:r>
        <w:t>Commissie wordt gevraagd in te stemmen met het laten uitvoeren van een contra-expertise in opdracht van deze commissie</w:t>
      </w:r>
      <w:r w:rsidR="0007617A">
        <w:t>.</w:t>
      </w:r>
    </w:p>
    <w:p w:rsidR="0007617A" w:rsidP="0007617A" w:rsidRDefault="0007617A">
      <w:pPr>
        <w:rPr>
          <w:b/>
        </w:rPr>
      </w:pPr>
      <w:r>
        <w:rPr>
          <w:b/>
        </w:rPr>
        <w:t>Opzet en a</w:t>
      </w:r>
      <w:r w:rsidRPr="0007617A">
        <w:rPr>
          <w:b/>
        </w:rPr>
        <w:t>anpak</w:t>
      </w:r>
    </w:p>
    <w:p w:rsidR="0007617A" w:rsidP="00AB0AED" w:rsidRDefault="0007617A">
      <w:pPr>
        <w:pStyle w:val="Lijstalinea"/>
        <w:numPr>
          <w:ilvl w:val="0"/>
          <w:numId w:val="1"/>
        </w:numPr>
      </w:pPr>
      <w:r>
        <w:t xml:space="preserve">De focus van de contraexpertise ligt op de toetsing van de argumenten door gerenommeerde wetenschappers. </w:t>
      </w:r>
      <w:r w:rsidRPr="00AB0AED" w:rsidR="00AB0AED">
        <w:t>De contra-expertise zal worden uitgevoerd op reeds verrichte en komende studies t.a.v. het gewenste kabeltracé. Ze heeft de vorm van een ‘pe</w:t>
      </w:r>
      <w:r w:rsidR="00AB0AED">
        <w:t>er review’</w:t>
      </w:r>
      <w:r w:rsidRPr="00AB0AED" w:rsidR="00AB0AED">
        <w:t xml:space="preserve">, waarbij de wetenschappers om onafhankelijkheid te waarborgen op uitnodiging van de griffie zullen worden geselecteerd door de wetenschapskoepels.  </w:t>
      </w:r>
      <w:r w:rsidR="00AB0AED">
        <w:t xml:space="preserve"> </w:t>
      </w:r>
    </w:p>
    <w:p w:rsidR="0007617A" w:rsidP="0007617A" w:rsidRDefault="00A36887">
      <w:pPr>
        <w:pStyle w:val="Lijstalinea"/>
        <w:numPr>
          <w:ilvl w:val="0"/>
          <w:numId w:val="1"/>
        </w:numPr>
      </w:pPr>
      <w:r>
        <w:t xml:space="preserve">In de geleverde argumenten m.b.t. het </w:t>
      </w:r>
      <w:r w:rsidR="00E77BC1">
        <w:t>afvallen</w:t>
      </w:r>
      <w:r>
        <w:t xml:space="preserve"> van tracé Eemshaven Oost onderscheiden we drie delen waar apart naar wordt gekeken:</w:t>
      </w:r>
    </w:p>
    <w:p w:rsidR="00C377F5" w:rsidP="00C377F5" w:rsidRDefault="00C377F5">
      <w:pPr>
        <w:pStyle w:val="Lijstalinea"/>
        <w:numPr>
          <w:ilvl w:val="0"/>
          <w:numId w:val="3"/>
        </w:numPr>
      </w:pPr>
      <w:r>
        <w:t>De technische uitvoerbaarheid, in relatie tot de lange termijnplanning van het stroomnet in zee.</w:t>
      </w:r>
    </w:p>
    <w:p w:rsidR="00C377F5" w:rsidP="00C377F5" w:rsidRDefault="00C377F5">
      <w:pPr>
        <w:pStyle w:val="Lijstalinea"/>
        <w:numPr>
          <w:ilvl w:val="0"/>
          <w:numId w:val="3"/>
        </w:numPr>
      </w:pPr>
      <w:r>
        <w:t xml:space="preserve">De vergunningverlening en de gevolgen voor de voortgang </w:t>
      </w:r>
    </w:p>
    <w:p w:rsidRPr="0018158F" w:rsidR="00A36887" w:rsidP="0018158F" w:rsidRDefault="00C377F5">
      <w:pPr>
        <w:pStyle w:val="Lijstalinea"/>
        <w:numPr>
          <w:ilvl w:val="0"/>
          <w:numId w:val="3"/>
        </w:numPr>
      </w:pPr>
      <w:r>
        <w:t>De gehanteerde weging/waardering van de natuurimpact binnen de integrale besluitvorming over de tracés</w:t>
      </w:r>
    </w:p>
    <w:sectPr w:rsidRPr="0018158F" w:rsidR="00A3688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3D4C"/>
    <w:multiLevelType w:val="hybridMultilevel"/>
    <w:tmpl w:val="B8A4E5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1410A"/>
    <w:multiLevelType w:val="hybridMultilevel"/>
    <w:tmpl w:val="FB2093B0"/>
    <w:lvl w:ilvl="0" w:tplc="4F3E5734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1167206"/>
    <w:multiLevelType w:val="hybridMultilevel"/>
    <w:tmpl w:val="1B4EFD7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" w15:restartNumberingAfterBreak="0">
    <w:nsid w:val="5FA2221B"/>
    <w:multiLevelType w:val="hybridMultilevel"/>
    <w:tmpl w:val="4D44AD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C2"/>
    <w:rsid w:val="0007617A"/>
    <w:rsid w:val="000C1226"/>
    <w:rsid w:val="000C190B"/>
    <w:rsid w:val="0018158F"/>
    <w:rsid w:val="007A61EB"/>
    <w:rsid w:val="00804527"/>
    <w:rsid w:val="008758AE"/>
    <w:rsid w:val="008E6F6E"/>
    <w:rsid w:val="00A36887"/>
    <w:rsid w:val="00A72DD7"/>
    <w:rsid w:val="00AB0AED"/>
    <w:rsid w:val="00B14BFA"/>
    <w:rsid w:val="00C377F5"/>
    <w:rsid w:val="00DC503D"/>
    <w:rsid w:val="00E77BC1"/>
    <w:rsid w:val="00EE3AC2"/>
    <w:rsid w:val="00F7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9F2E3-CD5C-42B0-813D-2CDA9628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3AC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C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386</ap:Words>
  <ap:Characters>2129</ap:Characters>
  <ap:DocSecurity>4</ap:DocSecurity>
  <ap:Lines>17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2021-06-03T13:23:00.0000000Z</dcterms:created>
  <dcterms:modified xsi:type="dcterms:W3CDTF">2021-06-03T13:23:00.0000000Z</dcterms:modified>
  <version/>
  <category/>
</coreProperties>
</file>