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DFB" w:rsidP="004C6DFB" w:rsidRDefault="004C6DFB">
      <w:pPr>
        <w:outlineLvl w:val="0"/>
        <w:rPr>
          <w:rFonts w:ascii="Calibri" w:hAnsi="Calibri" w:cs="Calibri"/>
          <w:lang w:eastAsia="nl-NL"/>
        </w:rPr>
      </w:pPr>
      <w:r>
        <w:rPr>
          <w:rFonts w:ascii="Calibri" w:hAnsi="Calibri" w:cs="Calibri"/>
          <w:b/>
          <w:bCs/>
        </w:rPr>
        <w:t>Van:</w:t>
      </w:r>
      <w:r w:rsidR="00FF1539">
        <w:rPr>
          <w:rFonts w:ascii="Calibri" w:hAnsi="Calibri" w:cs="Calibri"/>
        </w:rPr>
        <w:t xml:space="preserve"> Maarten </w:t>
      </w:r>
      <w:proofErr w:type="spellStart"/>
      <w:r w:rsidR="00FF1539">
        <w:rPr>
          <w:rFonts w:ascii="Calibri" w:hAnsi="Calibri" w:cs="Calibri"/>
        </w:rPr>
        <w:t>Grooters</w:t>
      </w:r>
      <w:bookmarkStart w:name="_GoBack" w:id="0"/>
      <w:bookmarkEnd w:id="0"/>
      <w:proofErr w:type="spellEnd"/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Verzonden:</w:t>
      </w:r>
      <w:r>
        <w:rPr>
          <w:rFonts w:ascii="Calibri" w:hAnsi="Calibri" w:cs="Calibri"/>
        </w:rPr>
        <w:t xml:space="preserve"> dinsdag 1 juni 2021 16:38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Aan:</w:t>
      </w:r>
      <w:r>
        <w:rPr>
          <w:rFonts w:ascii="Calibri" w:hAnsi="Calibri" w:cs="Calibri"/>
        </w:rPr>
        <w:t xml:space="preserve"> Commissie Financiën &lt;</w:t>
      </w:r>
      <w:hyperlink w:history="1" r:id="rId4">
        <w:r>
          <w:rPr>
            <w:rStyle w:val="Hyperlink"/>
            <w:rFonts w:ascii="Calibri" w:hAnsi="Calibri" w:cs="Calibri"/>
          </w:rPr>
          <w:t>cie.fin@tweedekamer.nl</w:t>
        </w:r>
      </w:hyperlink>
      <w:r>
        <w:rPr>
          <w:rFonts w:ascii="Calibri" w:hAnsi="Calibri" w:cs="Calibri"/>
        </w:rPr>
        <w:t>&gt;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Onderwerp:</w:t>
      </w:r>
      <w:r>
        <w:rPr>
          <w:rFonts w:ascii="Calibri" w:hAnsi="Calibri" w:cs="Calibri"/>
        </w:rPr>
        <w:t xml:space="preserve"> Voorbereiding rondetafelgesprek van 2 juni 2021 inzake het faillissement van </w:t>
      </w:r>
      <w:proofErr w:type="spellStart"/>
      <w:r>
        <w:rPr>
          <w:rFonts w:ascii="Calibri" w:hAnsi="Calibri" w:cs="Calibri"/>
        </w:rPr>
        <w:t>Conservatrix</w:t>
      </w:r>
      <w:proofErr w:type="spellEnd"/>
    </w:p>
    <w:p w:rsidR="004C6DFB" w:rsidP="004C6DFB" w:rsidRDefault="004C6DFB">
      <w:pPr>
        <w:rPr>
          <w:rFonts w:ascii="Times New Roman" w:hAnsi="Times New Roman" w:cs="Times New Roman"/>
          <w:sz w:val="24"/>
          <w:szCs w:val="24"/>
        </w:rPr>
      </w:pPr>
    </w:p>
    <w:p w:rsidR="004C6DFB" w:rsidP="004C6DFB" w:rsidRDefault="004C6DFB">
      <w:pPr>
        <w:spacing w:line="252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Mijne heren, dames,</w:t>
      </w:r>
    </w:p>
    <w:p w:rsidR="004C6DFB" w:rsidP="004C6DFB" w:rsidRDefault="004C6DFB">
      <w:pPr>
        <w:spacing w:line="252" w:lineRule="auto"/>
        <w:rPr>
          <w:rFonts w:ascii="Calibri" w:hAnsi="Calibri" w:cs="Calibri"/>
          <w:color w:val="000000"/>
        </w:rPr>
      </w:pPr>
    </w:p>
    <w:p w:rsidR="004C6DFB" w:rsidP="004C6DFB" w:rsidRDefault="004C6DFB">
      <w:pPr>
        <w:spacing w:line="252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Ook mij werd als gedupeerde gevraagd mijn visie te geven op het faillissement van </w:t>
      </w:r>
      <w:proofErr w:type="spellStart"/>
      <w:r>
        <w:rPr>
          <w:rFonts w:ascii="Calibri" w:hAnsi="Calibri" w:cs="Calibri"/>
          <w:color w:val="000000"/>
        </w:rPr>
        <w:t>Conservatrix</w:t>
      </w:r>
      <w:proofErr w:type="spellEnd"/>
      <w:r>
        <w:rPr>
          <w:rFonts w:ascii="Calibri" w:hAnsi="Calibri" w:cs="Calibri"/>
          <w:color w:val="000000"/>
        </w:rPr>
        <w:t xml:space="preserve"> en de gevolgen hiervan. </w:t>
      </w:r>
    </w:p>
    <w:p w:rsidR="004C6DFB" w:rsidP="004C6DFB" w:rsidRDefault="004C6DFB">
      <w:pPr>
        <w:spacing w:line="252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Mijn visie is dat het faillissement niet had hoeven plaatsvinden. Gezien de rol en verantwoordelijkheden die toenmalig minister van financiën, de DNB, De AFM, de zittende regering én zittende </w:t>
      </w:r>
      <w:proofErr w:type="spellStart"/>
      <w:r>
        <w:rPr>
          <w:rFonts w:ascii="Calibri" w:hAnsi="Calibri" w:cs="Calibri"/>
          <w:color w:val="000000"/>
        </w:rPr>
        <w:t>kamerleden</w:t>
      </w:r>
      <w:proofErr w:type="spellEnd"/>
      <w:r>
        <w:rPr>
          <w:rFonts w:ascii="Calibri" w:hAnsi="Calibri" w:cs="Calibri"/>
          <w:color w:val="000000"/>
        </w:rPr>
        <w:t xml:space="preserve"> hebben gehad, is er op vele fronten niet gedaan wat had moeten worden gedaan. Bijvoorbeeld het vervangen van de opgeheven opvangregeling door een regeling die wel voor o.a. </w:t>
      </w:r>
      <w:proofErr w:type="spellStart"/>
      <w:r>
        <w:rPr>
          <w:rFonts w:ascii="Calibri" w:hAnsi="Calibri" w:cs="Calibri"/>
          <w:color w:val="000000"/>
        </w:rPr>
        <w:t>Conservatrix</w:t>
      </w:r>
      <w:proofErr w:type="spellEnd"/>
      <w:r>
        <w:rPr>
          <w:rFonts w:ascii="Calibri" w:hAnsi="Calibri" w:cs="Calibri"/>
          <w:color w:val="000000"/>
        </w:rPr>
        <w:t xml:space="preserve"> goede uitkomst zou bieden. Een gedwongen verkoop had dan niet plaats hoeven vinden.</w:t>
      </w:r>
    </w:p>
    <w:p w:rsidR="004C6DFB" w:rsidP="004C6DFB" w:rsidRDefault="004C6DFB">
      <w:pPr>
        <w:spacing w:line="252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Ik kan alleen spreken als gedupeerde voormalig werknemer van </w:t>
      </w:r>
      <w:proofErr w:type="gramStart"/>
      <w:r>
        <w:rPr>
          <w:rFonts w:ascii="Calibri" w:hAnsi="Calibri" w:cs="Calibri"/>
          <w:color w:val="000000"/>
        </w:rPr>
        <w:t>één</w:t>
      </w:r>
      <w:proofErr w:type="gramEnd"/>
      <w:r>
        <w:rPr>
          <w:rFonts w:ascii="Calibri" w:hAnsi="Calibri" w:cs="Calibri"/>
          <w:color w:val="000000"/>
        </w:rPr>
        <w:t xml:space="preserve"> van de dochterondernemingen van </w:t>
      </w:r>
      <w:proofErr w:type="spellStart"/>
      <w:r>
        <w:rPr>
          <w:rFonts w:ascii="Calibri" w:hAnsi="Calibri" w:cs="Calibri"/>
          <w:color w:val="000000"/>
        </w:rPr>
        <w:t>Conservatrix</w:t>
      </w:r>
      <w:proofErr w:type="spellEnd"/>
      <w:r>
        <w:rPr>
          <w:rFonts w:ascii="Calibri" w:hAnsi="Calibri" w:cs="Calibri"/>
          <w:color w:val="000000"/>
        </w:rPr>
        <w:t>. </w:t>
      </w:r>
    </w:p>
    <w:p w:rsidR="004C6DFB" w:rsidP="004C6DFB" w:rsidRDefault="004C6DFB">
      <w:pPr>
        <w:spacing w:line="252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Mijn grieven gaan </w:t>
      </w:r>
      <w:proofErr w:type="spellStart"/>
      <w:r>
        <w:rPr>
          <w:rFonts w:ascii="Calibri" w:hAnsi="Calibri" w:cs="Calibri"/>
          <w:color w:val="000000"/>
        </w:rPr>
        <w:t>voornamenlijk</w:t>
      </w:r>
      <w:proofErr w:type="spellEnd"/>
      <w:r>
        <w:rPr>
          <w:rFonts w:ascii="Calibri" w:hAnsi="Calibri" w:cs="Calibri"/>
          <w:color w:val="000000"/>
        </w:rPr>
        <w:t xml:space="preserve"> over de rechtsongelijkheid die wordt gehanteerd voor alle mensen die bij en onder </w:t>
      </w:r>
      <w:proofErr w:type="spellStart"/>
      <w:r>
        <w:rPr>
          <w:rFonts w:ascii="Calibri" w:hAnsi="Calibri" w:cs="Calibri"/>
          <w:color w:val="000000"/>
        </w:rPr>
        <w:t>Conservatrix</w:t>
      </w:r>
      <w:proofErr w:type="spellEnd"/>
      <w:r>
        <w:rPr>
          <w:rFonts w:ascii="Calibri" w:hAnsi="Calibri" w:cs="Calibri"/>
          <w:color w:val="000000"/>
        </w:rPr>
        <w:t xml:space="preserve"> hebben gewerkt. Voor alle </w:t>
      </w:r>
      <w:proofErr w:type="spellStart"/>
      <w:r>
        <w:rPr>
          <w:rFonts w:ascii="Calibri" w:hAnsi="Calibri" w:cs="Calibri"/>
          <w:color w:val="000000"/>
        </w:rPr>
        <w:t>wernemers</w:t>
      </w:r>
      <w:proofErr w:type="spellEnd"/>
      <w:r>
        <w:rPr>
          <w:rFonts w:ascii="Calibri" w:hAnsi="Calibri" w:cs="Calibri"/>
          <w:color w:val="000000"/>
        </w:rPr>
        <w:t xml:space="preserve"> geldt dat zij ieder voor zijn/haar eigen deel, het pensioen door hun arbeidscontract bij </w:t>
      </w:r>
      <w:proofErr w:type="spellStart"/>
      <w:r>
        <w:rPr>
          <w:rFonts w:ascii="Calibri" w:hAnsi="Calibri" w:cs="Calibri"/>
          <w:color w:val="000000"/>
        </w:rPr>
        <w:t>Conservatrix</w:t>
      </w:r>
      <w:proofErr w:type="spellEnd"/>
      <w:r>
        <w:rPr>
          <w:rFonts w:ascii="Calibri" w:hAnsi="Calibri" w:cs="Calibri"/>
          <w:color w:val="000000"/>
        </w:rPr>
        <w:t xml:space="preserve"> hebben kunnen opbouwen op procentueel hetzelfde niveau d.m.v. premieoverdracht. Ook is voor ieder de pensioenpolis hetzelfde herverzekerd, waardoor onderling onderscheid maken wel héél onredelijk wordt.  </w:t>
      </w:r>
    </w:p>
    <w:p w:rsidR="004C6DFB" w:rsidP="004C6DFB" w:rsidRDefault="004C6DFB">
      <w:pPr>
        <w:spacing w:line="252" w:lineRule="auto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Één</w:t>
      </w:r>
      <w:proofErr w:type="spellEnd"/>
      <w:r>
        <w:rPr>
          <w:rFonts w:ascii="Calibri" w:hAnsi="Calibri" w:cs="Calibri"/>
          <w:color w:val="000000"/>
        </w:rPr>
        <w:t xml:space="preserve"> deel, de </w:t>
      </w:r>
      <w:proofErr w:type="spellStart"/>
      <w:r>
        <w:rPr>
          <w:rFonts w:ascii="Calibri" w:hAnsi="Calibri" w:cs="Calibri"/>
          <w:color w:val="000000"/>
        </w:rPr>
        <w:t>Conservatrix</w:t>
      </w:r>
      <w:proofErr w:type="spellEnd"/>
      <w:r>
        <w:rPr>
          <w:rFonts w:ascii="Calibri" w:hAnsi="Calibri" w:cs="Calibri"/>
          <w:color w:val="000000"/>
        </w:rPr>
        <w:t xml:space="preserve"> werknemers, zal het pensioen voor 100% uitgekeerd krijgen. Een ander deel, werkzaam bij dochtermaatschappijen van </w:t>
      </w:r>
      <w:proofErr w:type="spellStart"/>
      <w:r>
        <w:rPr>
          <w:rFonts w:ascii="Calibri" w:hAnsi="Calibri" w:cs="Calibri"/>
          <w:color w:val="000000"/>
        </w:rPr>
        <w:t>Conservatrix</w:t>
      </w:r>
      <w:proofErr w:type="spellEnd"/>
      <w:r>
        <w:rPr>
          <w:rFonts w:ascii="Calibri" w:hAnsi="Calibri" w:cs="Calibri"/>
          <w:color w:val="000000"/>
        </w:rPr>
        <w:t>, veelal in hetzelfde kantoor, op dezelfde kamer of zelfs bureau-aan-bureau zittend, worden vanaf 1 maart jl. 30% op hun pensioen gekort. Deze rechtsongelijkheid is niet te verkroppen. Gelijke monniken gelijke kappen zou ik zeggen. </w:t>
      </w:r>
    </w:p>
    <w:p w:rsidR="004C6DFB" w:rsidP="004C6DFB" w:rsidRDefault="004C6DFB">
      <w:pPr>
        <w:spacing w:line="252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Mocht blijken dat dit binnen de wettelijke regels niet mogelijk is, dan lijkt mij dat de veroorzakers, </w:t>
      </w:r>
      <w:proofErr w:type="gramStart"/>
      <w:r>
        <w:rPr>
          <w:rFonts w:ascii="Calibri" w:hAnsi="Calibri" w:cs="Calibri"/>
          <w:color w:val="000000"/>
        </w:rPr>
        <w:t>genoemd</w:t>
      </w:r>
      <w:proofErr w:type="gramEnd"/>
      <w:r>
        <w:rPr>
          <w:rFonts w:ascii="Calibri" w:hAnsi="Calibri" w:cs="Calibri"/>
          <w:color w:val="000000"/>
        </w:rPr>
        <w:t xml:space="preserve"> in mijn tweede alinea, het verschil voor deze gedupeerden d.m.v. een regeling moeten laten overbruggen, zodat zij een gelijke behandeling krijgen als diegenen die wel direct 100% van hun pensioen ontvangen. </w:t>
      </w:r>
    </w:p>
    <w:p w:rsidR="004C6DFB" w:rsidP="004C6DFB" w:rsidRDefault="004C6DFB">
      <w:pPr>
        <w:spacing w:line="252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Ikzelf viel met mijn neus in de boter: Mijn pensioen ging in op 14 april 2021 en zag mijn pensioenuitkering gekort met 30%. Ik had het mij wel iets anders voorgesteld. </w:t>
      </w:r>
    </w:p>
    <w:p w:rsidR="004C6DFB" w:rsidP="004C6DFB" w:rsidRDefault="004C6DFB">
      <w:pPr>
        <w:spacing w:line="252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Met vriendelijke groet, </w:t>
      </w:r>
    </w:p>
    <w:p w:rsidR="004C6DFB" w:rsidP="004C6DFB" w:rsidRDefault="004C6DFB">
      <w:pPr>
        <w:spacing w:line="252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Maarten </w:t>
      </w:r>
      <w:proofErr w:type="spellStart"/>
      <w:r>
        <w:rPr>
          <w:rFonts w:ascii="Calibri" w:hAnsi="Calibri" w:cs="Calibri"/>
          <w:color w:val="000000"/>
        </w:rPr>
        <w:t>Grooters</w:t>
      </w:r>
      <w:proofErr w:type="spellEnd"/>
      <w:r>
        <w:rPr>
          <w:rFonts w:ascii="Calibri" w:hAnsi="Calibri" w:cs="Calibri"/>
          <w:color w:val="000000"/>
        </w:rPr>
        <w:t> </w:t>
      </w:r>
    </w:p>
    <w:p w:rsidR="004C6DFB" w:rsidP="004C6DFB" w:rsidRDefault="004C6DFB">
      <w:pPr>
        <w:spacing w:line="252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sectPr w:rsidR="004C6DFB" w:rsidSect="004C6DF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DFB"/>
    <w:rsid w:val="001360D7"/>
    <w:rsid w:val="00165312"/>
    <w:rsid w:val="004C6DFB"/>
    <w:rsid w:val="006E0ED5"/>
    <w:rsid w:val="00865629"/>
    <w:rsid w:val="00B64BFB"/>
    <w:rsid w:val="00EC68DB"/>
    <w:rsid w:val="00FF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09827"/>
  <w15:chartTrackingRefBased/>
  <w15:docId w15:val="{9E17FEB7-A903-4638-B6FB-D9A32BBA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6531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65312"/>
    <w:pPr>
      <w:spacing w:after="0" w:line="240" w:lineRule="auto"/>
    </w:pPr>
  </w:style>
  <w:style w:type="character" w:styleId="Hyperlink">
    <w:name w:val="Hyperlink"/>
    <w:basedOn w:val="Standaardalinea-lettertype"/>
    <w:uiPriority w:val="99"/>
    <w:semiHidden/>
    <w:unhideWhenUsed/>
    <w:rsid w:val="004C6DFB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4C6DFB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3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ie.fin@tweedekamer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364</ap:Words>
  <ap:Characters>2007</ap:Characters>
  <ap:DocSecurity>0</ap:DocSecurity>
  <ap:Lines>16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2367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2021-06-02T19:19:00.0000000Z</dcterms:created>
  <dcterms:modified xsi:type="dcterms:W3CDTF">2021-06-02T19:19:00.0000000Z</dcterms:modified>
  <version/>
  <category/>
</coreProperties>
</file>