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r w:rsidR="00F354F1">
        <w:rPr>
          <w:rFonts w:asciiTheme="minorHAnsi" w:hAnsiTheme="minorHAnsi"/>
          <w:b/>
          <w:sz w:val="20"/>
          <w:szCs w:val="20"/>
        </w:rPr>
        <w:t>(19 november 2020 t/m 15 april 2021)</w:t>
      </w:r>
    </w:p>
    <w:p w:rsidRPr="00C00215" w:rsidR="00C00215" w:rsidP="00C00215" w:rsidRDefault="00C00215">
      <w:pPr>
        <w:rPr>
          <w:rFonts w:asciiTheme="minorHAnsi" w:hAnsiTheme="minorHAnsi"/>
          <w:color w:val="FF0000"/>
          <w:sz w:val="20"/>
          <w:szCs w:val="20"/>
          <w:u w:val="single"/>
        </w:rPr>
      </w:pPr>
    </w:p>
    <w:p w:rsidRPr="00221383" w:rsidR="00C00215" w:rsidP="00C00215" w:rsidRDefault="00C00215">
      <w:pPr>
        <w:rPr>
          <w:rFonts w:asciiTheme="minorHAnsi" w:hAnsiTheme="minorHAnsi"/>
          <w:sz w:val="20"/>
          <w:szCs w:val="20"/>
        </w:rPr>
      </w:pPr>
    </w:p>
    <w:tbl>
      <w:tblPr>
        <w:tblW w:w="1341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216"/>
        <w:gridCol w:w="851"/>
        <w:gridCol w:w="850"/>
        <w:gridCol w:w="4753"/>
        <w:gridCol w:w="1276"/>
        <w:gridCol w:w="4469"/>
      </w:tblGrid>
      <w:tr w:rsidRPr="00221383" w:rsidR="00F354F1" w:rsidTr="00F354F1">
        <w:trPr>
          <w:trHeight w:val="1550"/>
        </w:trPr>
        <w:tc>
          <w:tcPr>
            <w:tcW w:w="1216" w:type="dxa"/>
            <w:shd w:val="clear" w:color="auto" w:fill="auto"/>
            <w:textDirection w:val="btLr"/>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851" w:type="dxa"/>
            <w:shd w:val="clear" w:color="auto" w:fill="auto"/>
            <w:textDirection w:val="btLr"/>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850" w:type="dxa"/>
            <w:shd w:val="clear" w:color="auto" w:fill="auto"/>
            <w:textDirection w:val="btLr"/>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753" w:type="dxa"/>
            <w:shd w:val="clear" w:color="auto" w:fill="auto"/>
            <w:textDirection w:val="btLr"/>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4469" w:type="dxa"/>
            <w:shd w:val="clear" w:color="auto" w:fill="auto"/>
            <w:textDirection w:val="btLr"/>
            <w:vAlign w:val="bottom"/>
            <w:hideMark/>
          </w:tcPr>
          <w:p w:rsidRPr="008505DB" w:rsidR="00F354F1" w:rsidP="00014FF3" w:rsidRDefault="00F354F1">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F354F1" w:rsidTr="00F354F1">
        <w:trPr>
          <w:trHeight w:val="300"/>
        </w:trPr>
        <w:tc>
          <w:tcPr>
            <w:tcW w:w="1216" w:type="dxa"/>
            <w:tcBorders>
              <w:bottom w:val="single" w:color="auto" w:sz="4" w:space="0"/>
            </w:tcBorders>
            <w:shd w:val="clear" w:color="000000" w:fill="538DD5"/>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850" w:type="dxa"/>
            <w:tcBorders>
              <w:bottom w:val="single" w:color="auto" w:sz="4" w:space="0"/>
            </w:tcBorders>
            <w:shd w:val="clear" w:color="000000" w:fill="538DD5"/>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753" w:type="dxa"/>
            <w:tcBorders>
              <w:bottom w:val="single" w:color="auto" w:sz="4" w:space="0"/>
            </w:tcBorders>
            <w:shd w:val="clear" w:color="000000" w:fill="538DD5"/>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F354F1" w:rsidP="00014FF3" w:rsidRDefault="00F354F1">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469" w:type="dxa"/>
            <w:tcBorders>
              <w:bottom w:val="single" w:color="auto" w:sz="4" w:space="0"/>
            </w:tcBorders>
            <w:shd w:val="clear" w:color="000000" w:fill="538DD5"/>
            <w:hideMark/>
          </w:tcPr>
          <w:p w:rsidRPr="008505DB" w:rsidR="00F354F1" w:rsidP="00014FF3" w:rsidRDefault="00F354F1">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F354F1" w:rsidTr="0058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216" w:type="dxa"/>
            <w:tcBorders>
              <w:top w:val="nil"/>
              <w:left w:val="single" w:color="auto" w:sz="8" w:space="0"/>
              <w:bottom w:val="single" w:color="auto" w:sz="8" w:space="0"/>
              <w:right w:val="single" w:color="auto" w:sz="8" w:space="0"/>
            </w:tcBorders>
            <w:noWrap/>
          </w:tcPr>
          <w:p w:rsidRPr="005866C5" w:rsidR="00F354F1" w:rsidP="005866C5" w:rsidRDefault="00F354F1">
            <w:pPr>
              <w:pStyle w:val="Geenafstand"/>
              <w:spacing w:after="240"/>
              <w:rPr>
                <w:rFonts w:asciiTheme="minorHAnsi" w:hAnsiTheme="minorHAnsi" w:cstheme="minorHAnsi"/>
                <w:sz w:val="20"/>
                <w:szCs w:val="20"/>
              </w:rPr>
            </w:pPr>
            <w:r w:rsidRPr="005866C5">
              <w:rPr>
                <w:rFonts w:asciiTheme="minorHAnsi" w:hAnsiTheme="minorHAnsi" w:cstheme="minorHAnsi"/>
                <w:sz w:val="20"/>
                <w:szCs w:val="20"/>
              </w:rPr>
              <w:t>3 december 2020</w:t>
            </w:r>
          </w:p>
        </w:tc>
        <w:tc>
          <w:tcPr>
            <w:tcW w:w="851" w:type="dxa"/>
            <w:tcBorders>
              <w:top w:val="nil"/>
              <w:left w:val="nil"/>
              <w:bottom w:val="single" w:color="auto" w:sz="8" w:space="0"/>
              <w:right w:val="single" w:color="auto" w:sz="8" w:space="0"/>
            </w:tcBorders>
            <w:shd w:val="clear" w:color="auto" w:fill="FFFFFF"/>
          </w:tcPr>
          <w:p w:rsidRPr="005866C5" w:rsidR="00F354F1" w:rsidP="005866C5" w:rsidRDefault="00F354F1">
            <w:pPr>
              <w:pStyle w:val="Geenafstand"/>
              <w:spacing w:after="240"/>
              <w:rPr>
                <w:rFonts w:asciiTheme="minorHAnsi" w:hAnsiTheme="minorHAnsi" w:cstheme="minorHAnsi"/>
                <w:sz w:val="20"/>
                <w:szCs w:val="20"/>
              </w:rPr>
            </w:pPr>
            <w:r w:rsidRPr="005866C5">
              <w:rPr>
                <w:rFonts w:asciiTheme="minorHAnsi" w:hAnsiTheme="minorHAnsi" w:cstheme="minorHAnsi"/>
                <w:sz w:val="20"/>
                <w:szCs w:val="20"/>
              </w:rPr>
              <w:t>OCW</w:t>
            </w:r>
          </w:p>
        </w:tc>
        <w:tc>
          <w:tcPr>
            <w:tcW w:w="850" w:type="dxa"/>
            <w:tcBorders>
              <w:top w:val="nil"/>
              <w:left w:val="nil"/>
              <w:bottom w:val="single" w:color="auto" w:sz="8" w:space="0"/>
              <w:right w:val="single" w:color="auto" w:sz="8" w:space="0"/>
            </w:tcBorders>
            <w:noWrap/>
          </w:tcPr>
          <w:p w:rsidRPr="005866C5" w:rsidR="00F354F1" w:rsidP="005866C5" w:rsidRDefault="00F354F1">
            <w:pPr>
              <w:pStyle w:val="Geenafstand"/>
              <w:spacing w:after="240"/>
              <w:rPr>
                <w:rFonts w:asciiTheme="minorHAnsi" w:hAnsiTheme="minorHAnsi" w:cstheme="minorHAnsi"/>
                <w:sz w:val="20"/>
                <w:szCs w:val="20"/>
              </w:rPr>
            </w:pPr>
            <w:proofErr w:type="spellStart"/>
            <w:r w:rsidRPr="005866C5">
              <w:rPr>
                <w:rFonts w:asciiTheme="minorHAnsi" w:hAnsiTheme="minorHAnsi" w:cstheme="minorHAnsi"/>
                <w:sz w:val="20"/>
                <w:szCs w:val="20"/>
              </w:rPr>
              <w:t>Mede-deling</w:t>
            </w:r>
            <w:proofErr w:type="spellEnd"/>
          </w:p>
        </w:tc>
        <w:tc>
          <w:tcPr>
            <w:tcW w:w="4753" w:type="dxa"/>
            <w:tcBorders>
              <w:top w:val="nil"/>
              <w:left w:val="nil"/>
              <w:bottom w:val="single" w:color="auto" w:sz="8" w:space="0"/>
              <w:right w:val="single" w:color="auto" w:sz="8" w:space="0"/>
            </w:tcBorders>
            <w:noWrap/>
          </w:tcPr>
          <w:p w:rsidRPr="005866C5" w:rsidR="00F354F1" w:rsidP="005866C5" w:rsidRDefault="00F354F1">
            <w:pPr>
              <w:pStyle w:val="Geenafstand"/>
              <w:spacing w:after="240"/>
              <w:rPr>
                <w:rFonts w:asciiTheme="minorHAnsi" w:hAnsiTheme="minorHAnsi" w:cstheme="minorHAnsi"/>
                <w:sz w:val="20"/>
                <w:szCs w:val="20"/>
              </w:rPr>
            </w:pPr>
            <w:r w:rsidRPr="005866C5">
              <w:rPr>
                <w:rFonts w:asciiTheme="minorHAnsi" w:hAnsiTheme="minorHAnsi" w:cstheme="minorHAnsi"/>
                <w:sz w:val="20"/>
                <w:szCs w:val="20"/>
              </w:rPr>
              <w:t>MEDEDELING VAN DE COMMISSIE AAN HET EUROPEES PARLEMENT, DE RAAD, HET EUROPEES ECONOMISCH EN SOCIAAL COMITÉ EN HET COMITÉ VAN DE REGIO'S Europese media in het digitale decennium: Een actieplan ter ondersteuning van het herstel en de transformatie</w:t>
            </w:r>
          </w:p>
        </w:tc>
        <w:tc>
          <w:tcPr>
            <w:tcW w:w="1276" w:type="dxa"/>
            <w:tcBorders>
              <w:top w:val="nil"/>
              <w:left w:val="nil"/>
              <w:bottom w:val="single" w:color="auto" w:sz="8" w:space="0"/>
              <w:right w:val="single" w:color="auto" w:sz="8" w:space="0"/>
            </w:tcBorders>
            <w:shd w:val="clear" w:color="auto" w:fill="FFFFFF"/>
            <w:noWrap/>
          </w:tcPr>
          <w:p w:rsidRPr="005866C5" w:rsidR="00F354F1" w:rsidP="005866C5" w:rsidRDefault="00A2243B">
            <w:pPr>
              <w:pStyle w:val="Geenafstand"/>
              <w:spacing w:after="240"/>
              <w:rPr>
                <w:rFonts w:asciiTheme="minorHAnsi" w:hAnsiTheme="minorHAnsi" w:cstheme="minorHAnsi"/>
                <w:color w:val="0000FF"/>
                <w:sz w:val="20"/>
                <w:szCs w:val="20"/>
                <w:u w:val="single"/>
              </w:rPr>
            </w:pPr>
            <w:hyperlink w:history="1" r:id="rId11">
              <w:r w:rsidRPr="005866C5" w:rsidR="00F354F1">
                <w:rPr>
                  <w:rStyle w:val="Hyperlink"/>
                  <w:rFonts w:asciiTheme="minorHAnsi" w:hAnsiTheme="minorHAnsi" w:cstheme="minorHAnsi"/>
                  <w:sz w:val="20"/>
                  <w:szCs w:val="20"/>
                </w:rPr>
                <w:t>COM (2020) 784</w:t>
              </w:r>
            </w:hyperlink>
          </w:p>
        </w:tc>
        <w:tc>
          <w:tcPr>
            <w:tcW w:w="4469" w:type="dxa"/>
            <w:tcBorders>
              <w:top w:val="single" w:color="auto" w:sz="4" w:space="0"/>
              <w:left w:val="nil"/>
              <w:bottom w:val="single" w:color="auto" w:sz="4" w:space="0"/>
              <w:right w:val="single" w:color="auto" w:sz="4" w:space="0"/>
            </w:tcBorders>
            <w:shd w:val="clear" w:color="auto" w:fill="FFFFFF" w:themeFill="background1"/>
          </w:tcPr>
          <w:p w:rsidRPr="00C3324A" w:rsidR="00F354F1" w:rsidP="005866C5" w:rsidRDefault="00F354F1">
            <w:pPr>
              <w:pStyle w:val="Geenafstand"/>
              <w:spacing w:after="240"/>
              <w:rPr>
                <w:rFonts w:asciiTheme="minorHAnsi" w:hAnsiTheme="minorHAnsi" w:cstheme="minorHAnsi"/>
                <w:sz w:val="20"/>
                <w:szCs w:val="20"/>
              </w:rPr>
            </w:pPr>
            <w:r w:rsidRPr="00C3324A">
              <w:rPr>
                <w:rFonts w:asciiTheme="minorHAnsi" w:hAnsiTheme="minorHAnsi" w:cstheme="minorHAnsi"/>
                <w:sz w:val="20"/>
                <w:szCs w:val="20"/>
              </w:rPr>
              <w:t>Voorstel:</w:t>
            </w:r>
            <w:r w:rsidRPr="00C3324A" w:rsidR="00C3324A">
              <w:rPr>
                <w:rFonts w:asciiTheme="minorHAnsi" w:hAnsiTheme="minorHAnsi" w:cstheme="minorHAnsi"/>
                <w:sz w:val="20"/>
                <w:szCs w:val="20"/>
              </w:rPr>
              <w:t xml:space="preserve"> </w:t>
            </w:r>
            <w:r w:rsidRPr="00C3324A" w:rsidR="00C3324A">
              <w:rPr>
                <w:rFonts w:asciiTheme="minorHAnsi" w:hAnsiTheme="minorHAnsi" w:cstheme="minorHAnsi"/>
                <w:iCs/>
                <w:sz w:val="20"/>
                <w:szCs w:val="20"/>
              </w:rPr>
              <w:t xml:space="preserve">BNC-fiche agenderen voor het commissiedebat op 12 mei a.s. over de OJCS Raad d.d. 17-18 mei 2021. </w:t>
            </w:r>
          </w:p>
          <w:p w:rsidR="00C3324A" w:rsidP="005866C5" w:rsidRDefault="00F354F1">
            <w:pPr>
              <w:pStyle w:val="Geenafstand"/>
              <w:spacing w:after="240"/>
              <w:rPr>
                <w:rFonts w:asciiTheme="minorHAnsi" w:hAnsiTheme="minorHAnsi" w:cstheme="minorHAnsi"/>
                <w:sz w:val="20"/>
                <w:szCs w:val="20"/>
              </w:rPr>
            </w:pPr>
            <w:r w:rsidRPr="00C3324A">
              <w:rPr>
                <w:rFonts w:asciiTheme="minorHAnsi" w:hAnsiTheme="minorHAnsi" w:cstheme="minorHAnsi"/>
                <w:sz w:val="20"/>
                <w:szCs w:val="20"/>
              </w:rPr>
              <w:t>Noot:</w:t>
            </w:r>
            <w:r w:rsidRPr="00C3324A" w:rsidR="00C3324A">
              <w:rPr>
                <w:rFonts w:asciiTheme="minorHAnsi" w:hAnsiTheme="minorHAnsi" w:cstheme="minorHAnsi"/>
                <w:sz w:val="20"/>
                <w:szCs w:val="20"/>
              </w:rPr>
              <w:t xml:space="preserve"> Het BNC fiche is op </w:t>
            </w:r>
            <w:r w:rsidR="00C3324A">
              <w:rPr>
                <w:rFonts w:asciiTheme="minorHAnsi" w:hAnsiTheme="minorHAnsi" w:cstheme="minorHAnsi"/>
                <w:sz w:val="20"/>
                <w:szCs w:val="20"/>
              </w:rPr>
              <w:t>29 januari 2021 naar de Kamer gezonden.</w:t>
            </w:r>
          </w:p>
          <w:p w:rsidR="00C3324A" w:rsidP="005866C5" w:rsidRDefault="00C3324A">
            <w:pPr>
              <w:pStyle w:val="Geenafstand"/>
              <w:spacing w:after="240"/>
              <w:rPr>
                <w:rFonts w:asciiTheme="minorHAnsi" w:hAnsiTheme="minorHAnsi" w:cstheme="minorHAnsi"/>
                <w:sz w:val="20"/>
                <w:szCs w:val="20"/>
              </w:rPr>
            </w:pPr>
            <w:r w:rsidRPr="00C3324A">
              <w:rPr>
                <w:rFonts w:asciiTheme="minorHAnsi" w:hAnsiTheme="minorHAnsi" w:cstheme="minorHAnsi"/>
                <w:sz w:val="20"/>
                <w:szCs w:val="20"/>
              </w:rPr>
              <w:t>De mededeling is gericht op de nieuwsmediasector en audiovisueel amusement. Met deze mededeling wordt beoogd het herstel, de transformatie en de veerkracht van de mediasector te versnellen, genoodzaakt door onderliggende trends en versterkt door de COVID-19-crisis.</w:t>
            </w:r>
          </w:p>
          <w:p w:rsidRPr="005866C5" w:rsidR="00F354F1" w:rsidP="00C3324A" w:rsidRDefault="00F354F1">
            <w:pPr>
              <w:pStyle w:val="Geenafstand"/>
              <w:spacing w:after="240"/>
              <w:rPr>
                <w:rFonts w:asciiTheme="minorHAnsi" w:hAnsiTheme="minorHAnsi" w:cstheme="minorHAnsi"/>
                <w:sz w:val="20"/>
                <w:szCs w:val="20"/>
              </w:rPr>
            </w:pPr>
          </w:p>
        </w:tc>
      </w:tr>
    </w:tbl>
    <w:p w:rsidR="000C74D7" w:rsidP="00C00215" w:rsidRDefault="000C74D7">
      <w:pPr>
        <w:spacing w:after="200" w:line="276" w:lineRule="auto"/>
        <w:rPr>
          <w:rFonts w:asciiTheme="minorHAnsi" w:hAnsiTheme="minorHAnsi"/>
          <w:b/>
          <w:sz w:val="22"/>
          <w:szCs w:val="22"/>
        </w:rPr>
      </w:pPr>
    </w:p>
    <w:p w:rsidR="000C74D7" w:rsidP="00C00215" w:rsidRDefault="000C74D7">
      <w:pPr>
        <w:spacing w:after="200" w:line="276" w:lineRule="auto"/>
        <w:rPr>
          <w:rFonts w:asciiTheme="minorHAnsi" w:hAnsiTheme="minorHAnsi"/>
          <w:b/>
          <w:sz w:val="22"/>
          <w:szCs w:val="22"/>
        </w:rPr>
      </w:pPr>
    </w:p>
    <w:p w:rsidR="000C74D7" w:rsidP="00C00215" w:rsidRDefault="000C74D7">
      <w:pPr>
        <w:spacing w:after="200" w:line="276" w:lineRule="auto"/>
        <w:rPr>
          <w:rFonts w:asciiTheme="minorHAnsi" w:hAnsiTheme="minorHAnsi"/>
          <w:b/>
          <w:sz w:val="22"/>
          <w:szCs w:val="22"/>
        </w:rPr>
      </w:pPr>
    </w:p>
    <w:p w:rsidRPr="00221383" w:rsidR="00C00215" w:rsidP="00C00215" w:rsidRDefault="00C00215">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tc>
          <w:tcPr>
            <w:tcW w:w="2093" w:type="dxa"/>
          </w:tcPr>
          <w:p w:rsidRPr="00221383" w:rsidR="00C00215" w:rsidP="00014FF3" w:rsidRDefault="00C00215">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p>
          <w:p w:rsidRPr="00221383" w:rsidR="00C00215" w:rsidP="00014FF3" w:rsidRDefault="00C00215">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pPr>
              <w:pStyle w:val="Voetnoottekst"/>
              <w:ind w:left="360"/>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pPr>
              <w:pStyle w:val="Voetnoottekst"/>
              <w:numPr>
                <w:ilvl w:val="0"/>
                <w:numId w:val="1"/>
              </w:numPr>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pPr>
              <w:pStyle w:val="Voetnoottekst"/>
              <w:rPr>
                <w:rFonts w:asciiTheme="minorHAnsi" w:hAnsiTheme="minorHAnsi"/>
              </w:rPr>
            </w:pP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C00215" w:rsidP="00014FF3" w:rsidRDefault="00C00215">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w:t>
            </w:r>
            <w:r w:rsidRPr="00221383">
              <w:rPr>
                <w:rFonts w:asciiTheme="minorHAnsi" w:hAnsiTheme="minorHAnsi"/>
                <w:sz w:val="20"/>
                <w:szCs w:val="20"/>
              </w:rPr>
              <w:lastRenderedPageBreak/>
              <w:t xml:space="preserve">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tijdens een speciaal overleg kan de commissie afspraken maken over informatieverstrekking (bv. in kwartaalrapportages) zolang het desbetreffende dossier in onderhandeling is.</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pPr>
              <w:pStyle w:val="Voetnoottekst"/>
              <w:rPr>
                <w:rFonts w:asciiTheme="minorHAnsi" w:hAnsiTheme="minorHAnsi"/>
              </w:rPr>
            </w:pPr>
          </w:p>
        </w:tc>
      </w:tr>
    </w:tbl>
    <w:p w:rsidRPr="00221383" w:rsidR="00C00215" w:rsidP="00C00215" w:rsidRDefault="00C00215">
      <w:pPr>
        <w:rPr>
          <w:rFonts w:asciiTheme="minorHAnsi" w:hAnsiTheme="minorHAnsi"/>
          <w:sz w:val="20"/>
          <w:szCs w:val="20"/>
        </w:rPr>
      </w:pPr>
    </w:p>
    <w:p w:rsidRPr="00221383" w:rsidR="00C00215" w:rsidP="00C00215" w:rsidRDefault="00C00215">
      <w:pPr>
        <w:rPr>
          <w:rFonts w:asciiTheme="minorHAnsi" w:hAnsiTheme="minorHAnsi"/>
        </w:rPr>
      </w:pPr>
    </w:p>
    <w:p w:rsidR="00BF2EB9" w:rsidRDefault="00BF2EB9"/>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A36" w:rsidRDefault="009E7A36" w:rsidP="00C00215">
      <w:r>
        <w:separator/>
      </w:r>
    </w:p>
  </w:endnote>
  <w:endnote w:type="continuationSeparator" w:id="0">
    <w:p w:rsidR="009E7A36" w:rsidRDefault="009E7A36"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A36" w:rsidRDefault="009E7A36" w:rsidP="00C00215">
      <w:r>
        <w:separator/>
      </w:r>
    </w:p>
  </w:footnote>
  <w:footnote w:type="continuationSeparator" w:id="0">
    <w:p w:rsidR="009E7A36" w:rsidRDefault="009E7A36" w:rsidP="00C00215">
      <w:r>
        <w:continuationSeparator/>
      </w:r>
    </w:p>
  </w:footnote>
  <w:footnote w:id="1">
    <w:p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01B86"/>
    <w:rsid w:val="00026A46"/>
    <w:rsid w:val="0005084D"/>
    <w:rsid w:val="000539EE"/>
    <w:rsid w:val="000714D8"/>
    <w:rsid w:val="00073356"/>
    <w:rsid w:val="0007694D"/>
    <w:rsid w:val="00084E3C"/>
    <w:rsid w:val="000B206C"/>
    <w:rsid w:val="000B5977"/>
    <w:rsid w:val="000C74D7"/>
    <w:rsid w:val="001332DB"/>
    <w:rsid w:val="00150C7F"/>
    <w:rsid w:val="00152138"/>
    <w:rsid w:val="001544A3"/>
    <w:rsid w:val="001608C5"/>
    <w:rsid w:val="001D0E35"/>
    <w:rsid w:val="00205733"/>
    <w:rsid w:val="00206188"/>
    <w:rsid w:val="00212212"/>
    <w:rsid w:val="00227095"/>
    <w:rsid w:val="002343EB"/>
    <w:rsid w:val="00256194"/>
    <w:rsid w:val="00261F1F"/>
    <w:rsid w:val="00270493"/>
    <w:rsid w:val="0028110B"/>
    <w:rsid w:val="00296A5E"/>
    <w:rsid w:val="002A64DD"/>
    <w:rsid w:val="002F0DE0"/>
    <w:rsid w:val="003069A8"/>
    <w:rsid w:val="00327119"/>
    <w:rsid w:val="00332FB9"/>
    <w:rsid w:val="00363B13"/>
    <w:rsid w:val="003A138D"/>
    <w:rsid w:val="003A72C0"/>
    <w:rsid w:val="003B67DA"/>
    <w:rsid w:val="003B7B0B"/>
    <w:rsid w:val="003C25DE"/>
    <w:rsid w:val="003E288E"/>
    <w:rsid w:val="00400E24"/>
    <w:rsid w:val="00402659"/>
    <w:rsid w:val="00433D6E"/>
    <w:rsid w:val="00467797"/>
    <w:rsid w:val="00473589"/>
    <w:rsid w:val="00480867"/>
    <w:rsid w:val="004912BA"/>
    <w:rsid w:val="004B31B8"/>
    <w:rsid w:val="004B6D66"/>
    <w:rsid w:val="004C634B"/>
    <w:rsid w:val="004D23D6"/>
    <w:rsid w:val="004D7193"/>
    <w:rsid w:val="004E0578"/>
    <w:rsid w:val="004E1C04"/>
    <w:rsid w:val="0052026E"/>
    <w:rsid w:val="00520708"/>
    <w:rsid w:val="00532C45"/>
    <w:rsid w:val="00535AE6"/>
    <w:rsid w:val="00541C26"/>
    <w:rsid w:val="0055500A"/>
    <w:rsid w:val="00576896"/>
    <w:rsid w:val="005839B2"/>
    <w:rsid w:val="005866C5"/>
    <w:rsid w:val="005A5FCC"/>
    <w:rsid w:val="005C6C04"/>
    <w:rsid w:val="005D0DE5"/>
    <w:rsid w:val="005D330D"/>
    <w:rsid w:val="005D40F4"/>
    <w:rsid w:val="005E4220"/>
    <w:rsid w:val="005F3736"/>
    <w:rsid w:val="005F6C59"/>
    <w:rsid w:val="005F79FF"/>
    <w:rsid w:val="0060244B"/>
    <w:rsid w:val="006027C0"/>
    <w:rsid w:val="0060486B"/>
    <w:rsid w:val="00612002"/>
    <w:rsid w:val="00614780"/>
    <w:rsid w:val="00614873"/>
    <w:rsid w:val="00614A1B"/>
    <w:rsid w:val="0062122F"/>
    <w:rsid w:val="00626647"/>
    <w:rsid w:val="00643EAB"/>
    <w:rsid w:val="00662185"/>
    <w:rsid w:val="0067217C"/>
    <w:rsid w:val="006845D9"/>
    <w:rsid w:val="00693EF3"/>
    <w:rsid w:val="006A3AB4"/>
    <w:rsid w:val="006C454C"/>
    <w:rsid w:val="006E6F5B"/>
    <w:rsid w:val="00720660"/>
    <w:rsid w:val="00725A57"/>
    <w:rsid w:val="00753CF2"/>
    <w:rsid w:val="007627B8"/>
    <w:rsid w:val="00762B96"/>
    <w:rsid w:val="00763C6C"/>
    <w:rsid w:val="00765D22"/>
    <w:rsid w:val="00777FE1"/>
    <w:rsid w:val="007A7B9E"/>
    <w:rsid w:val="007B71C2"/>
    <w:rsid w:val="007C1097"/>
    <w:rsid w:val="007D548F"/>
    <w:rsid w:val="007E1F9D"/>
    <w:rsid w:val="00813C57"/>
    <w:rsid w:val="00814F2F"/>
    <w:rsid w:val="00835D18"/>
    <w:rsid w:val="00840C5F"/>
    <w:rsid w:val="00854E8E"/>
    <w:rsid w:val="00860A92"/>
    <w:rsid w:val="00893E77"/>
    <w:rsid w:val="008C200E"/>
    <w:rsid w:val="008C351C"/>
    <w:rsid w:val="008E5AED"/>
    <w:rsid w:val="008E6FE1"/>
    <w:rsid w:val="00900969"/>
    <w:rsid w:val="00900A7E"/>
    <w:rsid w:val="009075F6"/>
    <w:rsid w:val="00951EF3"/>
    <w:rsid w:val="00973C15"/>
    <w:rsid w:val="00973F76"/>
    <w:rsid w:val="00980540"/>
    <w:rsid w:val="00997B3C"/>
    <w:rsid w:val="009A5028"/>
    <w:rsid w:val="009C5EAC"/>
    <w:rsid w:val="009D7826"/>
    <w:rsid w:val="009E7A36"/>
    <w:rsid w:val="00A10040"/>
    <w:rsid w:val="00A21013"/>
    <w:rsid w:val="00A2243B"/>
    <w:rsid w:val="00A35E3B"/>
    <w:rsid w:val="00A64A41"/>
    <w:rsid w:val="00A90E29"/>
    <w:rsid w:val="00A9670D"/>
    <w:rsid w:val="00AC5B72"/>
    <w:rsid w:val="00AE33DC"/>
    <w:rsid w:val="00B4291D"/>
    <w:rsid w:val="00B57B02"/>
    <w:rsid w:val="00B63E4A"/>
    <w:rsid w:val="00B71780"/>
    <w:rsid w:val="00B81776"/>
    <w:rsid w:val="00BA5103"/>
    <w:rsid w:val="00BB68C1"/>
    <w:rsid w:val="00BF2EB9"/>
    <w:rsid w:val="00BF7136"/>
    <w:rsid w:val="00BF7AF9"/>
    <w:rsid w:val="00C00215"/>
    <w:rsid w:val="00C151D3"/>
    <w:rsid w:val="00C2392F"/>
    <w:rsid w:val="00C3324A"/>
    <w:rsid w:val="00C41D5B"/>
    <w:rsid w:val="00C44A16"/>
    <w:rsid w:val="00C579E5"/>
    <w:rsid w:val="00C62533"/>
    <w:rsid w:val="00C7619C"/>
    <w:rsid w:val="00CD7A36"/>
    <w:rsid w:val="00D03138"/>
    <w:rsid w:val="00D1422B"/>
    <w:rsid w:val="00D33C21"/>
    <w:rsid w:val="00D812CC"/>
    <w:rsid w:val="00D95765"/>
    <w:rsid w:val="00DB6E3B"/>
    <w:rsid w:val="00DC1A3E"/>
    <w:rsid w:val="00DF47CC"/>
    <w:rsid w:val="00E346AE"/>
    <w:rsid w:val="00E52B0D"/>
    <w:rsid w:val="00E67E2E"/>
    <w:rsid w:val="00E73721"/>
    <w:rsid w:val="00E778FE"/>
    <w:rsid w:val="00E961A1"/>
    <w:rsid w:val="00E961F8"/>
    <w:rsid w:val="00F06B40"/>
    <w:rsid w:val="00F2238E"/>
    <w:rsid w:val="00F354F1"/>
    <w:rsid w:val="00F70FBD"/>
    <w:rsid w:val="00F7130D"/>
    <w:rsid w:val="00F83E40"/>
    <w:rsid w:val="00F944C3"/>
    <w:rsid w:val="00FA2BF2"/>
    <w:rsid w:val="00FA6E08"/>
    <w:rsid w:val="00FC04B7"/>
    <w:rsid w:val="00FC0711"/>
    <w:rsid w:val="00FC7B8C"/>
    <w:rsid w:val="00FD058B"/>
    <w:rsid w:val="00FD2967"/>
    <w:rsid w:val="00FD5E34"/>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styleId="Geenafstand">
    <w:name w:val="No Spacing"/>
    <w:uiPriority w:val="1"/>
    <w:qFormat/>
    <w:rsid w:val="00586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27494">
      <w:bodyDiv w:val="1"/>
      <w:marLeft w:val="0"/>
      <w:marRight w:val="0"/>
      <w:marTop w:val="0"/>
      <w:marBottom w:val="0"/>
      <w:divBdr>
        <w:top w:val="none" w:sz="0" w:space="0" w:color="auto"/>
        <w:left w:val="none" w:sz="0" w:space="0" w:color="auto"/>
        <w:bottom w:val="none" w:sz="0" w:space="0" w:color="auto"/>
        <w:right w:val="none" w:sz="0" w:space="0" w:color="auto"/>
      </w:divBdr>
    </w:div>
    <w:div w:id="418017739">
      <w:bodyDiv w:val="1"/>
      <w:marLeft w:val="0"/>
      <w:marRight w:val="0"/>
      <w:marTop w:val="0"/>
      <w:marBottom w:val="0"/>
      <w:divBdr>
        <w:top w:val="none" w:sz="0" w:space="0" w:color="auto"/>
        <w:left w:val="none" w:sz="0" w:space="0" w:color="auto"/>
        <w:bottom w:val="none" w:sz="0" w:space="0" w:color="auto"/>
        <w:right w:val="none" w:sz="0" w:space="0" w:color="auto"/>
      </w:divBdr>
    </w:div>
    <w:div w:id="444816037">
      <w:bodyDiv w:val="1"/>
      <w:marLeft w:val="0"/>
      <w:marRight w:val="0"/>
      <w:marTop w:val="0"/>
      <w:marBottom w:val="0"/>
      <w:divBdr>
        <w:top w:val="none" w:sz="0" w:space="0" w:color="auto"/>
        <w:left w:val="none" w:sz="0" w:space="0" w:color="auto"/>
        <w:bottom w:val="none" w:sz="0" w:space="0" w:color="auto"/>
        <w:right w:val="none" w:sz="0" w:space="0" w:color="auto"/>
      </w:divBdr>
    </w:div>
    <w:div w:id="491526297">
      <w:bodyDiv w:val="1"/>
      <w:marLeft w:val="0"/>
      <w:marRight w:val="0"/>
      <w:marTop w:val="0"/>
      <w:marBottom w:val="0"/>
      <w:divBdr>
        <w:top w:val="none" w:sz="0" w:space="0" w:color="auto"/>
        <w:left w:val="none" w:sz="0" w:space="0" w:color="auto"/>
        <w:bottom w:val="none" w:sz="0" w:space="0" w:color="auto"/>
        <w:right w:val="none" w:sz="0" w:space="0" w:color="auto"/>
      </w:divBdr>
    </w:div>
    <w:div w:id="654997050">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211095">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59195">
      <w:bodyDiv w:val="1"/>
      <w:marLeft w:val="0"/>
      <w:marRight w:val="0"/>
      <w:marTop w:val="0"/>
      <w:marBottom w:val="0"/>
      <w:divBdr>
        <w:top w:val="none" w:sz="0" w:space="0" w:color="auto"/>
        <w:left w:val="none" w:sz="0" w:space="0" w:color="auto"/>
        <w:bottom w:val="none" w:sz="0" w:space="0" w:color="auto"/>
        <w:right w:val="none" w:sz="0" w:space="0" w:color="auto"/>
      </w:divBdr>
    </w:div>
    <w:div w:id="1281566776">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37208908">
      <w:bodyDiv w:val="1"/>
      <w:marLeft w:val="0"/>
      <w:marRight w:val="0"/>
      <w:marTop w:val="0"/>
      <w:marBottom w:val="0"/>
      <w:divBdr>
        <w:top w:val="none" w:sz="0" w:space="0" w:color="auto"/>
        <w:left w:val="none" w:sz="0" w:space="0" w:color="auto"/>
        <w:bottom w:val="none" w:sz="0" w:space="0" w:color="auto"/>
        <w:right w:val="none" w:sz="0" w:space="0" w:color="auto"/>
      </w:divBdr>
    </w:div>
    <w:div w:id="1520773319">
      <w:bodyDiv w:val="1"/>
      <w:marLeft w:val="0"/>
      <w:marRight w:val="0"/>
      <w:marTop w:val="0"/>
      <w:marBottom w:val="0"/>
      <w:divBdr>
        <w:top w:val="none" w:sz="0" w:space="0" w:color="auto"/>
        <w:left w:val="none" w:sz="0" w:space="0" w:color="auto"/>
        <w:bottom w:val="none" w:sz="0" w:space="0" w:color="auto"/>
        <w:right w:val="none" w:sz="0" w:space="0" w:color="auto"/>
      </w:divBdr>
    </w:div>
    <w:div w:id="1534726837">
      <w:bodyDiv w:val="1"/>
      <w:marLeft w:val="0"/>
      <w:marRight w:val="0"/>
      <w:marTop w:val="0"/>
      <w:marBottom w:val="0"/>
      <w:divBdr>
        <w:top w:val="none" w:sz="0" w:space="0" w:color="auto"/>
        <w:left w:val="none" w:sz="0" w:space="0" w:color="auto"/>
        <w:bottom w:val="none" w:sz="0" w:space="0" w:color="auto"/>
        <w:right w:val="none" w:sz="0" w:space="0" w:color="auto"/>
      </w:divBdr>
    </w:div>
    <w:div w:id="1541895930">
      <w:bodyDiv w:val="1"/>
      <w:marLeft w:val="0"/>
      <w:marRight w:val="0"/>
      <w:marTop w:val="0"/>
      <w:marBottom w:val="0"/>
      <w:divBdr>
        <w:top w:val="none" w:sz="0" w:space="0" w:color="auto"/>
        <w:left w:val="none" w:sz="0" w:space="0" w:color="auto"/>
        <w:bottom w:val="none" w:sz="0" w:space="0" w:color="auto"/>
        <w:right w:val="none" w:sz="0" w:space="0" w:color="auto"/>
      </w:divBdr>
    </w:div>
    <w:div w:id="1601378479">
      <w:bodyDiv w:val="1"/>
      <w:marLeft w:val="0"/>
      <w:marRight w:val="0"/>
      <w:marTop w:val="0"/>
      <w:marBottom w:val="0"/>
      <w:divBdr>
        <w:top w:val="none" w:sz="0" w:space="0" w:color="auto"/>
        <w:left w:val="none" w:sz="0" w:space="0" w:color="auto"/>
        <w:bottom w:val="none" w:sz="0" w:space="0" w:color="auto"/>
        <w:right w:val="none" w:sz="0" w:space="0" w:color="auto"/>
      </w:divBdr>
    </w:div>
    <w:div w:id="1626544368">
      <w:bodyDiv w:val="1"/>
      <w:marLeft w:val="0"/>
      <w:marRight w:val="0"/>
      <w:marTop w:val="0"/>
      <w:marBottom w:val="0"/>
      <w:divBdr>
        <w:top w:val="none" w:sz="0" w:space="0" w:color="auto"/>
        <w:left w:val="none" w:sz="0" w:space="0" w:color="auto"/>
        <w:bottom w:val="none" w:sz="0" w:space="0" w:color="auto"/>
        <w:right w:val="none" w:sz="0" w:space="0" w:color="auto"/>
      </w:divBdr>
    </w:div>
    <w:div w:id="1850749104">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92267147">
      <w:bodyDiv w:val="1"/>
      <w:marLeft w:val="0"/>
      <w:marRight w:val="0"/>
      <w:marTop w:val="0"/>
      <w:marBottom w:val="0"/>
      <w:divBdr>
        <w:top w:val="none" w:sz="0" w:space="0" w:color="auto"/>
        <w:left w:val="none" w:sz="0" w:space="0" w:color="auto"/>
        <w:bottom w:val="none" w:sz="0" w:space="0" w:color="auto"/>
        <w:right w:val="none" w:sz="0" w:space="0" w:color="auto"/>
      </w:divBdr>
    </w:div>
    <w:div w:id="210352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styles" Target="styles.xml" Id="rId6" /><Relationship Type="http://schemas.openxmlformats.org/officeDocument/2006/relationships/hyperlink" Target="https://secure.ipex.eu/IPEXL-WEB/dossier/document/COM20200784.d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2070</ap:Words>
  <ap:Characters>13589</ap:Characters>
  <ap:DocSecurity>4</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2021-04-06T08:01:00.0000000Z</dcterms:created>
  <dcterms:modified xsi:type="dcterms:W3CDTF">2021-04-06T08:01:00.0000000Z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0x0101007AA4771EA6A2BA43A8D60CFCEA644517</vt:lpwstr>
  </property>
</Properties>
</file>