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C6327" w:rsidR="002D160C" w:rsidP="00CD077B" w:rsidRDefault="00873B6E" w14:paraId="6BADDE69" w14:textId="77777777">
      <w:pPr>
        <w:ind w:firstLine="0"/>
        <w:rPr>
          <w:rFonts w:ascii="Verdana" w:hAnsi="Verdana"/>
          <w:b/>
          <w:sz w:val="18"/>
          <w:szCs w:val="18"/>
          <w:lang w:val="nl-NL"/>
        </w:rPr>
      </w:pPr>
      <w:bookmarkStart w:name="_GoBack" w:id="0"/>
      <w:bookmarkEnd w:id="0"/>
      <w:r w:rsidRPr="00556990">
        <w:rPr>
          <w:rFonts w:ascii="Verdana" w:hAnsi="Verdana"/>
          <w:b/>
          <w:sz w:val="18"/>
          <w:szCs w:val="18"/>
          <w:lang w:val="nl-NL"/>
        </w:rPr>
        <w:t xml:space="preserve">Verdrag tussen het Koninkrijk der Nederlanden en de Republiek Bulgarije tot het vermijden van dubbele belasting met betrekking tot belastingen naar het inkomen en het voorkomen van het </w:t>
      </w:r>
      <w:r w:rsidRPr="00556990" w:rsidR="0033280C">
        <w:rPr>
          <w:rFonts w:ascii="Verdana" w:hAnsi="Verdana"/>
          <w:b/>
          <w:sz w:val="18"/>
          <w:szCs w:val="18"/>
          <w:lang w:val="nl-NL"/>
        </w:rPr>
        <w:t xml:space="preserve">ontduiken of </w:t>
      </w:r>
      <w:r w:rsidRPr="003D40A7" w:rsidR="0033280C">
        <w:rPr>
          <w:rFonts w:ascii="Verdana" w:hAnsi="Verdana"/>
          <w:b/>
          <w:sz w:val="18"/>
          <w:szCs w:val="18"/>
          <w:lang w:val="nl-NL"/>
        </w:rPr>
        <w:t>het ontwijken van belasting</w:t>
      </w:r>
      <w:r w:rsidRPr="003D40A7" w:rsidR="003D40A7">
        <w:rPr>
          <w:rFonts w:ascii="Verdana" w:hAnsi="Verdana"/>
          <w:b/>
          <w:sz w:val="18"/>
          <w:szCs w:val="18"/>
          <w:lang w:val="nl-NL"/>
        </w:rPr>
        <w:t>, met Protocol</w:t>
      </w:r>
      <w:r w:rsidRPr="003D40A7">
        <w:rPr>
          <w:rFonts w:ascii="Verdana" w:hAnsi="Verdana"/>
          <w:b/>
          <w:sz w:val="18"/>
          <w:szCs w:val="18"/>
          <w:lang w:val="nl-NL"/>
        </w:rPr>
        <w:t xml:space="preserve">; </w:t>
      </w:r>
      <w:r w:rsidRPr="003D40A7" w:rsidR="003D40A7">
        <w:rPr>
          <w:rFonts w:ascii="Verdana" w:hAnsi="Verdana"/>
          <w:b/>
          <w:sz w:val="18"/>
          <w:szCs w:val="18"/>
          <w:lang w:val="nl-NL"/>
        </w:rPr>
        <w:t>Sofia</w:t>
      </w:r>
      <w:r w:rsidRPr="003D40A7" w:rsidR="00393BD8">
        <w:rPr>
          <w:rFonts w:ascii="Verdana" w:hAnsi="Verdana"/>
          <w:b/>
          <w:sz w:val="18"/>
          <w:szCs w:val="18"/>
          <w:lang w:val="nl-NL"/>
        </w:rPr>
        <w:t xml:space="preserve">, </w:t>
      </w:r>
      <w:r w:rsidRPr="003D40A7" w:rsidR="003D40A7">
        <w:rPr>
          <w:rFonts w:ascii="Verdana" w:hAnsi="Verdana"/>
          <w:b/>
          <w:sz w:val="18"/>
          <w:szCs w:val="18"/>
          <w:lang w:val="nl-NL"/>
        </w:rPr>
        <w:t>14 september 2020</w:t>
      </w:r>
      <w:r w:rsidRPr="003D40A7">
        <w:rPr>
          <w:rFonts w:ascii="Verdana" w:hAnsi="Verdana"/>
          <w:b/>
          <w:sz w:val="18"/>
          <w:szCs w:val="18"/>
          <w:lang w:val="nl-NL"/>
        </w:rPr>
        <w:t xml:space="preserve"> (</w:t>
      </w:r>
      <w:r w:rsidRPr="003D40A7">
        <w:rPr>
          <w:rFonts w:ascii="Verdana" w:hAnsi="Verdana"/>
          <w:b/>
          <w:i/>
          <w:sz w:val="18"/>
          <w:szCs w:val="18"/>
          <w:lang w:val="nl-NL"/>
        </w:rPr>
        <w:t>Trb</w:t>
      </w:r>
      <w:r w:rsidRPr="003D40A7">
        <w:rPr>
          <w:rFonts w:ascii="Verdana" w:hAnsi="Verdana"/>
          <w:b/>
          <w:sz w:val="18"/>
          <w:szCs w:val="18"/>
          <w:lang w:val="nl-NL"/>
        </w:rPr>
        <w:t xml:space="preserve">. </w:t>
      </w:r>
      <w:r w:rsidRPr="003D40A7" w:rsidR="003D40A7">
        <w:rPr>
          <w:rFonts w:ascii="Verdana" w:hAnsi="Verdana"/>
          <w:b/>
          <w:sz w:val="18"/>
          <w:szCs w:val="18"/>
          <w:lang w:val="nl-NL"/>
        </w:rPr>
        <w:t>2020, 102</w:t>
      </w:r>
      <w:r w:rsidRPr="003D40A7" w:rsidR="002D160C">
        <w:rPr>
          <w:rFonts w:ascii="Verdana" w:hAnsi="Verdana"/>
          <w:b/>
          <w:sz w:val="18"/>
          <w:szCs w:val="18"/>
          <w:lang w:val="nl-NL"/>
        </w:rPr>
        <w:t>)</w:t>
      </w:r>
    </w:p>
    <w:p w:rsidRPr="001C6327" w:rsidR="002D160C" w:rsidP="00CD077B" w:rsidRDefault="002D160C" w14:paraId="083A4700" w14:textId="77777777">
      <w:pPr>
        <w:rPr>
          <w:rFonts w:ascii="Verdana" w:hAnsi="Verdana"/>
          <w:b/>
          <w:sz w:val="18"/>
          <w:szCs w:val="18"/>
          <w:lang w:val="nl-NL"/>
        </w:rPr>
      </w:pPr>
    </w:p>
    <w:p w:rsidRPr="001C6327" w:rsidR="002D160C" w:rsidP="00CD077B" w:rsidRDefault="00CB5098" w14:paraId="3EC2915C" w14:textId="77777777">
      <w:pPr>
        <w:ind w:firstLine="0"/>
        <w:rPr>
          <w:rFonts w:ascii="Verdana" w:hAnsi="Verdana"/>
          <w:b/>
          <w:sz w:val="18"/>
          <w:szCs w:val="18"/>
          <w:lang w:val="nl-NL"/>
        </w:rPr>
      </w:pPr>
      <w:r w:rsidRPr="001C6327">
        <w:rPr>
          <w:rFonts w:ascii="Verdana" w:hAnsi="Verdana"/>
          <w:b/>
          <w:sz w:val="18"/>
          <w:szCs w:val="18"/>
          <w:lang w:val="nl-NL"/>
        </w:rPr>
        <w:t>TOELICHTENDE NOTA</w:t>
      </w:r>
    </w:p>
    <w:p w:rsidRPr="001C6327" w:rsidR="002D160C" w:rsidP="00CD077B" w:rsidRDefault="002D160C" w14:paraId="494F3F67" w14:textId="77777777">
      <w:pPr>
        <w:rPr>
          <w:rFonts w:ascii="Verdana" w:hAnsi="Verdana"/>
          <w:b/>
          <w:sz w:val="18"/>
          <w:szCs w:val="18"/>
          <w:lang w:val="nl-NL"/>
        </w:rPr>
      </w:pPr>
    </w:p>
    <w:p w:rsidRPr="001C6327" w:rsidR="00A40719" w:rsidP="009B275E" w:rsidRDefault="00B411D1" w14:paraId="0040291D" w14:textId="77777777">
      <w:pPr>
        <w:ind w:firstLine="0"/>
        <w:outlineLvl w:val="3"/>
        <w:rPr>
          <w:rFonts w:ascii="Verdana" w:hAnsi="Verdana"/>
          <w:sz w:val="18"/>
          <w:szCs w:val="18"/>
          <w:lang w:val="nl-NL"/>
        </w:rPr>
      </w:pPr>
      <w:r w:rsidRPr="001C6327">
        <w:rPr>
          <w:rFonts w:ascii="Verdana" w:hAnsi="Verdana" w:cs="Arial"/>
          <w:b/>
          <w:bCs/>
          <w:i/>
          <w:iCs/>
          <w:sz w:val="18"/>
          <w:szCs w:val="18"/>
          <w:lang w:val="nl-NL"/>
        </w:rPr>
        <w:t xml:space="preserve">I. </w:t>
      </w:r>
      <w:r w:rsidRPr="001C6327" w:rsidR="002D160C">
        <w:rPr>
          <w:rFonts w:ascii="Verdana" w:hAnsi="Verdana" w:cs="Arial"/>
          <w:b/>
          <w:bCs/>
          <w:i/>
          <w:iCs/>
          <w:sz w:val="18"/>
          <w:szCs w:val="18"/>
          <w:lang w:val="nl-NL"/>
        </w:rPr>
        <w:t>ALGEMEEN</w:t>
      </w:r>
    </w:p>
    <w:p w:rsidRPr="001C6327" w:rsidR="00A40719" w:rsidP="009B275E" w:rsidRDefault="00A40719" w14:paraId="3875F715" w14:textId="77777777">
      <w:pPr>
        <w:pStyle w:val="Kop1"/>
        <w:numPr>
          <w:ilvl w:val="0"/>
          <w:numId w:val="0"/>
        </w:numPr>
        <w:rPr>
          <w:rFonts w:ascii="Verdana" w:hAnsi="Verdana"/>
          <w:sz w:val="18"/>
          <w:szCs w:val="18"/>
          <w:lang w:val="nl-NL"/>
        </w:rPr>
      </w:pPr>
    </w:p>
    <w:p w:rsidRPr="001C6327" w:rsidR="00B411D1" w:rsidP="009B275E" w:rsidRDefault="00B411D1" w14:paraId="2094A74A" w14:textId="77777777">
      <w:pPr>
        <w:ind w:firstLine="0"/>
        <w:outlineLvl w:val="4"/>
        <w:rPr>
          <w:rFonts w:ascii="Verdana" w:hAnsi="Verdana" w:cs="Arial"/>
          <w:i/>
          <w:iCs/>
          <w:sz w:val="18"/>
          <w:szCs w:val="18"/>
          <w:lang w:val="nl-NL"/>
        </w:rPr>
      </w:pPr>
      <w:r w:rsidRPr="001C6327">
        <w:rPr>
          <w:rFonts w:ascii="Verdana" w:hAnsi="Verdana" w:cs="Arial"/>
          <w:i/>
          <w:iCs/>
          <w:sz w:val="18"/>
          <w:szCs w:val="18"/>
          <w:lang w:val="nl-NL"/>
        </w:rPr>
        <w:t xml:space="preserve">I.1. Inleiding </w:t>
      </w:r>
      <w:r w:rsidRPr="001C6327">
        <w:rPr>
          <w:rFonts w:ascii="Verdana" w:hAnsi="Verdana" w:cs="Arial"/>
          <w:i/>
          <w:iCs/>
          <w:sz w:val="18"/>
          <w:szCs w:val="18"/>
          <w:lang w:val="nl-NL"/>
        </w:rPr>
        <w:br/>
      </w:r>
    </w:p>
    <w:p w:rsidRPr="00CD077B" w:rsidR="0087061D" w:rsidP="0087061D" w:rsidRDefault="0087061D" w14:paraId="01E28EC3" w14:textId="77777777">
      <w:pPr>
        <w:ind w:firstLine="0"/>
        <w:outlineLvl w:val="4"/>
        <w:rPr>
          <w:rFonts w:ascii="Verdana" w:hAnsi="Verdana" w:cs="Arial"/>
          <w:i/>
          <w:iCs/>
          <w:sz w:val="18"/>
          <w:szCs w:val="18"/>
          <w:lang w:val="nl-NL"/>
        </w:rPr>
      </w:pPr>
    </w:p>
    <w:p w:rsidRPr="00F578EC" w:rsidR="00E06DFA" w:rsidP="0087061D" w:rsidRDefault="003D40A7" w14:paraId="6B8B9040" w14:textId="77777777">
      <w:pPr>
        <w:ind w:firstLine="0"/>
        <w:rPr>
          <w:rFonts w:ascii="Verdana" w:hAnsi="Verdana"/>
          <w:sz w:val="18"/>
          <w:szCs w:val="18"/>
          <w:lang w:val="nl-NL"/>
        </w:rPr>
      </w:pPr>
      <w:r>
        <w:rPr>
          <w:rFonts w:ascii="Verdana" w:hAnsi="Verdana"/>
          <w:sz w:val="18"/>
          <w:szCs w:val="18"/>
          <w:lang w:val="nl-NL"/>
        </w:rPr>
        <w:t>Het onderhavige, op 14 september 2020 te Sofia</w:t>
      </w:r>
      <w:r w:rsidRPr="00CD077B" w:rsidR="0087061D">
        <w:rPr>
          <w:rFonts w:ascii="Verdana" w:hAnsi="Verdana"/>
          <w:b/>
          <w:sz w:val="18"/>
          <w:szCs w:val="18"/>
          <w:lang w:val="nl-NL"/>
        </w:rPr>
        <w:t xml:space="preserve"> </w:t>
      </w:r>
      <w:r w:rsidRPr="00CD077B" w:rsidR="0087061D">
        <w:rPr>
          <w:rFonts w:ascii="Verdana" w:hAnsi="Verdana"/>
          <w:sz w:val="18"/>
          <w:szCs w:val="18"/>
          <w:lang w:val="nl-NL"/>
        </w:rPr>
        <w:t>ondertekende,</w:t>
      </w:r>
      <w:r w:rsidR="0087061D">
        <w:rPr>
          <w:rFonts w:ascii="Verdana" w:hAnsi="Verdana"/>
          <w:sz w:val="18"/>
          <w:szCs w:val="18"/>
          <w:lang w:val="nl-NL"/>
        </w:rPr>
        <w:t xml:space="preserve"> </w:t>
      </w:r>
      <w:r w:rsidRPr="001C6327" w:rsidR="00ED0B1E">
        <w:rPr>
          <w:rFonts w:ascii="Verdana" w:hAnsi="Verdana"/>
          <w:sz w:val="18"/>
          <w:szCs w:val="18"/>
          <w:lang w:val="nl-NL"/>
        </w:rPr>
        <w:t xml:space="preserve">Verdrag tussen het Koninkrijk der Nederlanden en de </w:t>
      </w:r>
      <w:r w:rsidRPr="00F578EC" w:rsidR="00814F3E">
        <w:rPr>
          <w:rFonts w:ascii="Verdana" w:hAnsi="Verdana"/>
          <w:sz w:val="18"/>
          <w:szCs w:val="18"/>
          <w:lang w:val="nl-NL"/>
        </w:rPr>
        <w:t>R</w:t>
      </w:r>
      <w:r w:rsidRPr="00F578EC" w:rsidR="00574C48">
        <w:rPr>
          <w:rFonts w:ascii="Verdana" w:hAnsi="Verdana"/>
          <w:sz w:val="18"/>
          <w:szCs w:val="18"/>
          <w:lang w:val="nl-NL"/>
        </w:rPr>
        <w:t xml:space="preserve">epubliek </w:t>
      </w:r>
      <w:r w:rsidRPr="00F578EC" w:rsidR="00926B16">
        <w:rPr>
          <w:rFonts w:ascii="Verdana" w:hAnsi="Verdana"/>
          <w:sz w:val="18"/>
          <w:szCs w:val="18"/>
          <w:lang w:val="nl-NL"/>
        </w:rPr>
        <w:t>Bulgarije</w:t>
      </w:r>
      <w:r w:rsidRPr="00F578EC" w:rsidR="00F31805">
        <w:rPr>
          <w:rFonts w:ascii="Verdana" w:hAnsi="Verdana"/>
          <w:sz w:val="18"/>
          <w:szCs w:val="18"/>
          <w:lang w:val="nl-NL"/>
        </w:rPr>
        <w:t xml:space="preserve"> </w:t>
      </w:r>
      <w:r w:rsidRPr="00F578EC" w:rsidR="0056081D">
        <w:rPr>
          <w:rFonts w:ascii="Verdana" w:hAnsi="Verdana"/>
          <w:sz w:val="18"/>
          <w:szCs w:val="18"/>
          <w:lang w:val="nl-NL"/>
        </w:rPr>
        <w:t xml:space="preserve">tot het vermijden van dubbele belasting met betrekking tot belastingen naar het inkomen en het voorkomen van het ontduiken of het ontwijken van belasting, met Protocol, </w:t>
      </w:r>
      <w:r w:rsidRPr="00BC6175" w:rsidR="00ED0B1E">
        <w:rPr>
          <w:rFonts w:ascii="Verdana" w:hAnsi="Verdana"/>
          <w:sz w:val="18"/>
          <w:szCs w:val="18"/>
          <w:lang w:val="nl-NL"/>
        </w:rPr>
        <w:t>(hierna: ‘</w:t>
      </w:r>
      <w:r w:rsidRPr="00BC6175" w:rsidR="00F31805">
        <w:rPr>
          <w:rFonts w:ascii="Verdana" w:hAnsi="Verdana"/>
          <w:sz w:val="18"/>
          <w:szCs w:val="18"/>
          <w:lang w:val="nl-NL"/>
        </w:rPr>
        <w:t>h</w:t>
      </w:r>
      <w:r w:rsidRPr="00CF22A8" w:rsidR="00F31805">
        <w:rPr>
          <w:rFonts w:ascii="Verdana" w:hAnsi="Verdana"/>
          <w:sz w:val="18"/>
          <w:szCs w:val="18"/>
          <w:lang w:val="nl-NL"/>
        </w:rPr>
        <w:t xml:space="preserve">et </w:t>
      </w:r>
      <w:r w:rsidRPr="00CF22A8" w:rsidR="00ED0B1E">
        <w:rPr>
          <w:rFonts w:ascii="Verdana" w:hAnsi="Verdana"/>
          <w:sz w:val="18"/>
          <w:szCs w:val="18"/>
          <w:lang w:val="nl-NL"/>
        </w:rPr>
        <w:t>Verdrag’</w:t>
      </w:r>
      <w:r w:rsidRPr="00CC3F01" w:rsidR="0056081D">
        <w:rPr>
          <w:rFonts w:ascii="Verdana" w:hAnsi="Verdana"/>
          <w:sz w:val="18"/>
          <w:szCs w:val="18"/>
          <w:lang w:val="nl-NL"/>
        </w:rPr>
        <w:t xml:space="preserve"> en ‘het Protocol’</w:t>
      </w:r>
      <w:r w:rsidRPr="00CC3F01" w:rsidR="00ED0B1E">
        <w:rPr>
          <w:rFonts w:ascii="Verdana" w:hAnsi="Verdana"/>
          <w:sz w:val="18"/>
          <w:szCs w:val="18"/>
          <w:lang w:val="nl-NL"/>
        </w:rPr>
        <w:t>)</w:t>
      </w:r>
      <w:r w:rsidR="0087061D">
        <w:rPr>
          <w:rFonts w:ascii="Verdana" w:hAnsi="Verdana"/>
          <w:sz w:val="18"/>
          <w:szCs w:val="18"/>
          <w:lang w:val="nl-NL"/>
        </w:rPr>
        <w:t xml:space="preserve"> </w:t>
      </w:r>
      <w:r w:rsidRPr="00CD077B" w:rsidR="0087061D">
        <w:rPr>
          <w:rFonts w:ascii="Verdana" w:hAnsi="Verdana"/>
          <w:sz w:val="18"/>
          <w:szCs w:val="18"/>
          <w:lang w:val="nl-NL"/>
        </w:rPr>
        <w:t xml:space="preserve">geeft regels die aanwijzen welke van de </w:t>
      </w:r>
      <w:r w:rsidR="001E0872">
        <w:rPr>
          <w:rFonts w:ascii="Verdana" w:hAnsi="Verdana"/>
          <w:sz w:val="18"/>
          <w:szCs w:val="18"/>
          <w:lang w:val="nl-NL"/>
        </w:rPr>
        <w:t>v</w:t>
      </w:r>
      <w:r w:rsidRPr="00CD077B" w:rsidR="0087061D">
        <w:rPr>
          <w:rFonts w:ascii="Verdana" w:hAnsi="Verdana"/>
          <w:sz w:val="18"/>
          <w:szCs w:val="18"/>
          <w:lang w:val="nl-NL"/>
        </w:rPr>
        <w:t xml:space="preserve">erdragsluitende </w:t>
      </w:r>
      <w:r w:rsidR="001E0872">
        <w:rPr>
          <w:rFonts w:ascii="Verdana" w:hAnsi="Verdana"/>
          <w:sz w:val="18"/>
          <w:szCs w:val="18"/>
          <w:lang w:val="nl-NL"/>
        </w:rPr>
        <w:t>s</w:t>
      </w:r>
      <w:r w:rsidRPr="00CD077B" w:rsidR="0087061D">
        <w:rPr>
          <w:rFonts w:ascii="Verdana" w:hAnsi="Verdana"/>
          <w:sz w:val="18"/>
          <w:szCs w:val="18"/>
          <w:lang w:val="nl-NL"/>
        </w:rPr>
        <w:t xml:space="preserve">taten bevoegd is om in overeenstemming met zijn nationale wetgeving belasting te heffen </w:t>
      </w:r>
      <w:r w:rsidR="0087061D">
        <w:rPr>
          <w:rFonts w:ascii="Verdana" w:hAnsi="Verdana"/>
          <w:sz w:val="18"/>
          <w:szCs w:val="18"/>
          <w:lang w:val="nl-NL"/>
        </w:rPr>
        <w:t>over</w:t>
      </w:r>
      <w:r w:rsidRPr="00CD077B" w:rsidR="0087061D">
        <w:rPr>
          <w:rFonts w:ascii="Verdana" w:hAnsi="Verdana"/>
          <w:sz w:val="18"/>
          <w:szCs w:val="18"/>
          <w:lang w:val="nl-NL"/>
        </w:rPr>
        <w:t xml:space="preserve"> het inkomen van inwoners van één of van beide </w:t>
      </w:r>
      <w:r w:rsidR="001E0872">
        <w:rPr>
          <w:rFonts w:ascii="Verdana" w:hAnsi="Verdana"/>
          <w:sz w:val="18"/>
          <w:szCs w:val="18"/>
          <w:lang w:val="nl-NL"/>
        </w:rPr>
        <w:t>s</w:t>
      </w:r>
      <w:r w:rsidRPr="00CD077B" w:rsidR="0087061D">
        <w:rPr>
          <w:rFonts w:ascii="Verdana" w:hAnsi="Verdana"/>
          <w:sz w:val="18"/>
          <w:szCs w:val="18"/>
          <w:lang w:val="nl-NL"/>
        </w:rPr>
        <w:t xml:space="preserve">taten. </w:t>
      </w:r>
      <w:r w:rsidR="00D46435">
        <w:rPr>
          <w:rFonts w:ascii="Verdana" w:hAnsi="Verdana"/>
          <w:sz w:val="18"/>
          <w:szCs w:val="18"/>
          <w:lang w:val="nl-NL"/>
        </w:rPr>
        <w:t>Het belangrijkste doel van deze regels is</w:t>
      </w:r>
      <w:r w:rsidRPr="00CD077B" w:rsidR="00D46435">
        <w:rPr>
          <w:rFonts w:ascii="Verdana" w:hAnsi="Verdana"/>
          <w:sz w:val="18"/>
          <w:szCs w:val="18"/>
          <w:lang w:val="nl-NL"/>
        </w:rPr>
        <w:t xml:space="preserve"> </w:t>
      </w:r>
      <w:r w:rsidR="00D46435">
        <w:rPr>
          <w:rFonts w:ascii="Verdana" w:hAnsi="Verdana"/>
          <w:sz w:val="18"/>
          <w:szCs w:val="18"/>
          <w:lang w:val="nl-NL"/>
        </w:rPr>
        <w:t xml:space="preserve">het vermijden van </w:t>
      </w:r>
      <w:r w:rsidRPr="00CD077B" w:rsidR="0087061D">
        <w:rPr>
          <w:rFonts w:ascii="Verdana" w:hAnsi="Verdana"/>
          <w:sz w:val="18"/>
          <w:szCs w:val="18"/>
          <w:lang w:val="nl-NL"/>
        </w:rPr>
        <w:t>dubbele belasting</w:t>
      </w:r>
      <w:r w:rsidRPr="00CC3F01" w:rsidR="00F31805">
        <w:rPr>
          <w:rFonts w:ascii="Verdana" w:hAnsi="Verdana"/>
          <w:sz w:val="18"/>
          <w:szCs w:val="18"/>
          <w:lang w:val="nl-NL"/>
        </w:rPr>
        <w:t>.</w:t>
      </w:r>
      <w:r w:rsidR="00C56FFE">
        <w:rPr>
          <w:rFonts w:ascii="Verdana" w:hAnsi="Verdana"/>
          <w:sz w:val="18"/>
          <w:szCs w:val="18"/>
          <w:lang w:val="nl-NL"/>
        </w:rPr>
        <w:t xml:space="preserve"> </w:t>
      </w:r>
      <w:r w:rsidRPr="00CD077B" w:rsidR="00C56FFE">
        <w:rPr>
          <w:rFonts w:ascii="Verdana" w:hAnsi="Verdana" w:cs="Arial"/>
          <w:sz w:val="18"/>
          <w:szCs w:val="18"/>
          <w:lang w:val="nl-NL"/>
        </w:rPr>
        <w:t>Daarnaast regelt het Verdrag, onder meer met het oog op het voorkomen van het ontgaan van belasting, de wederzijdse administratieve bijstand in de vorm van onderlinge uitwisseling van informatie over</w:t>
      </w:r>
      <w:r w:rsidR="001665D6">
        <w:rPr>
          <w:rFonts w:ascii="Verdana" w:hAnsi="Verdana" w:cs="Arial"/>
          <w:sz w:val="18"/>
          <w:szCs w:val="18"/>
          <w:lang w:val="nl-NL"/>
        </w:rPr>
        <w:t>,</w:t>
      </w:r>
      <w:r w:rsidRPr="00CD077B" w:rsidR="00C56FFE">
        <w:rPr>
          <w:rFonts w:ascii="Verdana" w:hAnsi="Verdana" w:cs="Arial"/>
          <w:sz w:val="18"/>
          <w:szCs w:val="18"/>
          <w:lang w:val="nl-NL"/>
        </w:rPr>
        <w:t xml:space="preserve"> en invordering van</w:t>
      </w:r>
      <w:r w:rsidR="001665D6">
        <w:rPr>
          <w:rFonts w:ascii="Verdana" w:hAnsi="Verdana" w:cs="Arial"/>
          <w:sz w:val="18"/>
          <w:szCs w:val="18"/>
          <w:lang w:val="nl-NL"/>
        </w:rPr>
        <w:t>,</w:t>
      </w:r>
      <w:r w:rsidRPr="00CD077B" w:rsidR="00C56FFE">
        <w:rPr>
          <w:rFonts w:ascii="Verdana" w:hAnsi="Verdana" w:cs="Arial"/>
          <w:sz w:val="18"/>
          <w:szCs w:val="18"/>
          <w:lang w:val="nl-NL"/>
        </w:rPr>
        <w:t xml:space="preserve"> belastingen en toeslagen.</w:t>
      </w:r>
      <w:r w:rsidR="0087061D">
        <w:rPr>
          <w:rFonts w:ascii="Verdana" w:hAnsi="Verdana" w:cs="Arial"/>
          <w:sz w:val="18"/>
          <w:szCs w:val="18"/>
          <w:lang w:val="nl-NL"/>
        </w:rPr>
        <w:t xml:space="preserve"> </w:t>
      </w:r>
      <w:r w:rsidRPr="00CC3F01" w:rsidR="008D46B5">
        <w:rPr>
          <w:rFonts w:ascii="Verdana" w:hAnsi="Verdana"/>
          <w:sz w:val="18"/>
          <w:szCs w:val="18"/>
          <w:lang w:val="nl-NL"/>
        </w:rPr>
        <w:t xml:space="preserve">Als het Verdrag in werking treedt, </w:t>
      </w:r>
      <w:r w:rsidRPr="00CC3F01" w:rsidR="00535746">
        <w:rPr>
          <w:rFonts w:ascii="Verdana" w:hAnsi="Verdana" w:cs="Arial"/>
          <w:sz w:val="18"/>
          <w:szCs w:val="18"/>
          <w:lang w:val="nl-NL"/>
        </w:rPr>
        <w:t xml:space="preserve">komt </w:t>
      </w:r>
      <w:r w:rsidRPr="00CC3F01" w:rsidR="008D46B5">
        <w:rPr>
          <w:rFonts w:ascii="Verdana" w:hAnsi="Verdana" w:cs="Arial"/>
          <w:sz w:val="18"/>
          <w:szCs w:val="18"/>
          <w:lang w:val="nl-NL"/>
        </w:rPr>
        <w:t xml:space="preserve">het </w:t>
      </w:r>
      <w:r w:rsidRPr="00CC3F01" w:rsidR="00535746">
        <w:rPr>
          <w:rFonts w:ascii="Verdana" w:hAnsi="Verdana" w:cs="Arial"/>
          <w:sz w:val="18"/>
          <w:szCs w:val="18"/>
          <w:lang w:val="nl-NL"/>
        </w:rPr>
        <w:t xml:space="preserve">in de plaats van </w:t>
      </w:r>
      <w:r w:rsidRPr="00CC3F01" w:rsidR="0056081D">
        <w:rPr>
          <w:rFonts w:ascii="Verdana" w:hAnsi="Verdana" w:cs="Arial"/>
          <w:sz w:val="18"/>
          <w:szCs w:val="18"/>
          <w:lang w:val="nl-NL"/>
        </w:rPr>
        <w:t xml:space="preserve">de </w:t>
      </w:r>
      <w:r w:rsidRPr="00CC3F01" w:rsidR="00535746">
        <w:rPr>
          <w:rFonts w:ascii="Verdana" w:hAnsi="Verdana" w:cs="Arial"/>
          <w:sz w:val="18"/>
          <w:szCs w:val="18"/>
          <w:lang w:val="nl-NL"/>
        </w:rPr>
        <w:t xml:space="preserve">op 6 juli 1990 </w:t>
      </w:r>
      <w:r w:rsidRPr="00CC3F01" w:rsidR="00016880">
        <w:rPr>
          <w:rFonts w:ascii="Verdana" w:hAnsi="Verdana" w:cs="Arial"/>
          <w:sz w:val="18"/>
          <w:szCs w:val="18"/>
          <w:lang w:val="nl-NL"/>
        </w:rPr>
        <w:t xml:space="preserve">te Sofia </w:t>
      </w:r>
      <w:r w:rsidRPr="00916448" w:rsidR="007103E6">
        <w:rPr>
          <w:rFonts w:ascii="Verdana" w:hAnsi="Verdana" w:cs="Arial"/>
          <w:sz w:val="18"/>
          <w:szCs w:val="18"/>
          <w:lang w:val="nl-NL"/>
        </w:rPr>
        <w:t xml:space="preserve">ondertekende </w:t>
      </w:r>
      <w:r w:rsidRPr="00916448" w:rsidR="0056081D">
        <w:rPr>
          <w:rFonts w:ascii="Verdana" w:hAnsi="Verdana" w:cs="Arial"/>
          <w:sz w:val="18"/>
          <w:szCs w:val="18"/>
          <w:lang w:val="nl-NL"/>
        </w:rPr>
        <w:t>Overeenkomst tussen het Koninkrijk der Nederlanden en de Volksrepubliek Bulgarije tot het vermijden van dubbele belasting en het voorkomen van het ontgaan van belasting met betrekking tot belastingen naar het inkomen</w:t>
      </w:r>
      <w:r w:rsidRPr="000819E4" w:rsidR="00016880">
        <w:rPr>
          <w:rFonts w:ascii="Verdana" w:hAnsi="Verdana" w:cs="Arial"/>
          <w:sz w:val="18"/>
          <w:szCs w:val="18"/>
          <w:lang w:val="nl-NL"/>
        </w:rPr>
        <w:t xml:space="preserve">, met Protocol, </w:t>
      </w:r>
      <w:r w:rsidRPr="0021450B" w:rsidR="0056081D">
        <w:rPr>
          <w:rFonts w:ascii="Verdana" w:hAnsi="Verdana" w:cs="Arial"/>
          <w:sz w:val="18"/>
          <w:szCs w:val="18"/>
          <w:lang w:val="nl-NL"/>
        </w:rPr>
        <w:t>(</w:t>
      </w:r>
      <w:r w:rsidRPr="00337338" w:rsidR="00016880">
        <w:rPr>
          <w:rFonts w:ascii="Verdana" w:hAnsi="Verdana" w:cs="Arial"/>
          <w:i/>
          <w:sz w:val="18"/>
          <w:szCs w:val="18"/>
          <w:lang w:val="nl-NL"/>
        </w:rPr>
        <w:t>Trb</w:t>
      </w:r>
      <w:r w:rsidRPr="00556990" w:rsidR="00016880">
        <w:rPr>
          <w:rFonts w:ascii="Verdana" w:hAnsi="Verdana" w:cs="Arial"/>
          <w:sz w:val="18"/>
          <w:szCs w:val="18"/>
          <w:lang w:val="nl-NL"/>
        </w:rPr>
        <w:t xml:space="preserve">. 1994, </w:t>
      </w:r>
      <w:r w:rsidRPr="001C6327" w:rsidR="00016880">
        <w:rPr>
          <w:rFonts w:ascii="Verdana" w:hAnsi="Verdana" w:cs="Arial"/>
          <w:sz w:val="18"/>
          <w:szCs w:val="18"/>
          <w:lang w:val="nl-NL"/>
        </w:rPr>
        <w:t>1</w:t>
      </w:r>
      <w:r w:rsidRPr="001C6327" w:rsidR="003E02A2">
        <w:rPr>
          <w:rFonts w:ascii="Verdana" w:hAnsi="Verdana" w:cs="Arial"/>
          <w:sz w:val="18"/>
          <w:szCs w:val="18"/>
          <w:lang w:val="nl-NL"/>
        </w:rPr>
        <w:t>31</w:t>
      </w:r>
      <w:r w:rsidRPr="001C6327" w:rsidR="0056081D">
        <w:rPr>
          <w:rFonts w:ascii="Verdana" w:hAnsi="Verdana" w:cs="Arial"/>
          <w:sz w:val="18"/>
          <w:szCs w:val="18"/>
          <w:lang w:val="nl-NL"/>
        </w:rPr>
        <w:t>)</w:t>
      </w:r>
      <w:r w:rsidRPr="001C6327" w:rsidR="00805997">
        <w:rPr>
          <w:rFonts w:ascii="Verdana" w:hAnsi="Verdana" w:cs="Arial"/>
          <w:sz w:val="18"/>
          <w:szCs w:val="18"/>
          <w:lang w:val="nl-NL"/>
        </w:rPr>
        <w:t xml:space="preserve"> (hierna: ‘Verdrag</w:t>
      </w:r>
      <w:r w:rsidRPr="00CB07AC" w:rsidR="00D720A1">
        <w:rPr>
          <w:rFonts w:ascii="Verdana" w:hAnsi="Verdana" w:cs="Arial"/>
          <w:sz w:val="18"/>
          <w:szCs w:val="18"/>
          <w:lang w:val="nl-NL"/>
        </w:rPr>
        <w:t xml:space="preserve"> van</w:t>
      </w:r>
      <w:r w:rsidRPr="00CB07AC" w:rsidR="00805997">
        <w:rPr>
          <w:rFonts w:ascii="Verdana" w:hAnsi="Verdana" w:cs="Arial"/>
          <w:sz w:val="18"/>
          <w:szCs w:val="18"/>
          <w:lang w:val="nl-NL"/>
        </w:rPr>
        <w:t xml:space="preserve"> 1990’)</w:t>
      </w:r>
      <w:r w:rsidRPr="00F578EC" w:rsidR="00FB5BEA">
        <w:rPr>
          <w:rFonts w:ascii="Verdana" w:hAnsi="Verdana" w:cs="Arial"/>
          <w:sz w:val="18"/>
          <w:szCs w:val="18"/>
          <w:lang w:val="nl-NL"/>
        </w:rPr>
        <w:t>.</w:t>
      </w:r>
    </w:p>
    <w:p w:rsidR="00F8302F" w:rsidP="00AE20D7" w:rsidRDefault="00037937" w14:paraId="6429D70B" w14:textId="77777777">
      <w:pPr>
        <w:rPr>
          <w:rFonts w:ascii="Verdana" w:hAnsi="Verdana"/>
          <w:sz w:val="18"/>
          <w:szCs w:val="18"/>
          <w:lang w:val="nl-NL"/>
        </w:rPr>
      </w:pPr>
      <w:r w:rsidRPr="00F578EC">
        <w:rPr>
          <w:rFonts w:ascii="Verdana" w:hAnsi="Verdana"/>
          <w:sz w:val="18"/>
          <w:szCs w:val="18"/>
          <w:lang w:val="nl-NL"/>
        </w:rPr>
        <w:t xml:space="preserve">De economische betrekkingen tussen Nederland en Bulgarije zijn erbij gebaat </w:t>
      </w:r>
      <w:r w:rsidRPr="007276E6" w:rsidR="0056081D">
        <w:rPr>
          <w:rFonts w:ascii="Verdana" w:hAnsi="Verdana"/>
          <w:sz w:val="18"/>
          <w:szCs w:val="18"/>
          <w:lang w:val="nl-NL"/>
        </w:rPr>
        <w:t xml:space="preserve">dat </w:t>
      </w:r>
      <w:r w:rsidRPr="007276E6">
        <w:rPr>
          <w:rFonts w:ascii="Verdana" w:hAnsi="Verdana"/>
          <w:sz w:val="18"/>
          <w:szCs w:val="18"/>
          <w:lang w:val="nl-NL"/>
        </w:rPr>
        <w:t xml:space="preserve">dubbele belasting </w:t>
      </w:r>
      <w:r w:rsidRPr="00323312" w:rsidR="00972369">
        <w:rPr>
          <w:rFonts w:ascii="Verdana" w:hAnsi="Verdana"/>
          <w:sz w:val="18"/>
          <w:szCs w:val="18"/>
          <w:lang w:val="nl-NL"/>
        </w:rPr>
        <w:t>in</w:t>
      </w:r>
      <w:r w:rsidRPr="00323312">
        <w:rPr>
          <w:rFonts w:ascii="Verdana" w:hAnsi="Verdana"/>
          <w:sz w:val="18"/>
          <w:szCs w:val="18"/>
          <w:lang w:val="nl-NL"/>
        </w:rPr>
        <w:t xml:space="preserve"> grensoverschrijdende situaties wordt voorkomen. H</w:t>
      </w:r>
      <w:r w:rsidRPr="006E5CFF" w:rsidR="00ED0B1E">
        <w:rPr>
          <w:rFonts w:ascii="Verdana" w:hAnsi="Verdana"/>
          <w:sz w:val="18"/>
          <w:szCs w:val="18"/>
          <w:lang w:val="nl-NL"/>
        </w:rPr>
        <w:t xml:space="preserve">et Verdrag </w:t>
      </w:r>
      <w:r w:rsidRPr="006E5CFF">
        <w:rPr>
          <w:rFonts w:ascii="Verdana" w:hAnsi="Verdana"/>
          <w:sz w:val="18"/>
          <w:szCs w:val="18"/>
          <w:lang w:val="nl-NL"/>
        </w:rPr>
        <w:t xml:space="preserve">verdeelt daarom </w:t>
      </w:r>
      <w:r w:rsidRPr="00BC6175" w:rsidR="00263B25">
        <w:rPr>
          <w:rFonts w:ascii="Verdana" w:hAnsi="Verdana"/>
          <w:sz w:val="18"/>
          <w:szCs w:val="18"/>
          <w:lang w:val="nl-NL"/>
        </w:rPr>
        <w:t xml:space="preserve">bevoegdheden </w:t>
      </w:r>
      <w:r w:rsidRPr="00BC6175">
        <w:rPr>
          <w:rFonts w:ascii="Verdana" w:hAnsi="Verdana"/>
          <w:sz w:val="18"/>
          <w:szCs w:val="18"/>
          <w:lang w:val="nl-NL"/>
        </w:rPr>
        <w:t xml:space="preserve">tussen </w:t>
      </w:r>
      <w:r w:rsidRPr="00BC6175" w:rsidR="00D85E13">
        <w:rPr>
          <w:rFonts w:ascii="Verdana" w:hAnsi="Verdana"/>
          <w:sz w:val="18"/>
          <w:szCs w:val="18"/>
          <w:lang w:val="nl-NL"/>
        </w:rPr>
        <w:t>Nederland en Bulgarije</w:t>
      </w:r>
      <w:r w:rsidRPr="00BC6175">
        <w:rPr>
          <w:rFonts w:ascii="Verdana" w:hAnsi="Verdana"/>
          <w:sz w:val="18"/>
          <w:szCs w:val="18"/>
          <w:lang w:val="nl-NL"/>
        </w:rPr>
        <w:t xml:space="preserve"> </w:t>
      </w:r>
      <w:r w:rsidRPr="00556990">
        <w:rPr>
          <w:rFonts w:ascii="Verdana" w:hAnsi="Verdana"/>
          <w:sz w:val="18"/>
          <w:szCs w:val="18"/>
          <w:lang w:val="nl-NL"/>
        </w:rPr>
        <w:t xml:space="preserve">om </w:t>
      </w:r>
      <w:r w:rsidRPr="00556990" w:rsidR="00263B25">
        <w:rPr>
          <w:rFonts w:ascii="Verdana" w:hAnsi="Verdana"/>
          <w:sz w:val="18"/>
          <w:szCs w:val="18"/>
          <w:lang w:val="nl-NL"/>
        </w:rPr>
        <w:t xml:space="preserve">belasting </w:t>
      </w:r>
      <w:r w:rsidRPr="001C6327">
        <w:rPr>
          <w:rFonts w:ascii="Verdana" w:hAnsi="Verdana"/>
          <w:sz w:val="18"/>
          <w:szCs w:val="18"/>
          <w:lang w:val="nl-NL"/>
        </w:rPr>
        <w:t xml:space="preserve">te mogen </w:t>
      </w:r>
      <w:r w:rsidRPr="001C6327" w:rsidR="00263B25">
        <w:rPr>
          <w:rFonts w:ascii="Verdana" w:hAnsi="Verdana"/>
          <w:sz w:val="18"/>
          <w:szCs w:val="18"/>
          <w:lang w:val="nl-NL"/>
        </w:rPr>
        <w:t xml:space="preserve">heffen over het inkomen van inwoners van </w:t>
      </w:r>
      <w:r w:rsidRPr="001C6327" w:rsidR="00FA1D00">
        <w:rPr>
          <w:rFonts w:ascii="Verdana" w:hAnsi="Verdana"/>
          <w:sz w:val="18"/>
          <w:szCs w:val="18"/>
          <w:lang w:val="nl-NL"/>
        </w:rPr>
        <w:t xml:space="preserve">een </w:t>
      </w:r>
      <w:r w:rsidRPr="00556990" w:rsidR="00322267">
        <w:rPr>
          <w:rFonts w:ascii="Verdana" w:hAnsi="Verdana"/>
          <w:sz w:val="18"/>
          <w:szCs w:val="18"/>
          <w:lang w:val="nl-NL"/>
        </w:rPr>
        <w:t xml:space="preserve">van </w:t>
      </w:r>
      <w:r w:rsidRPr="00556990" w:rsidR="00263B25">
        <w:rPr>
          <w:rFonts w:ascii="Verdana" w:hAnsi="Verdana"/>
          <w:sz w:val="18"/>
          <w:szCs w:val="18"/>
          <w:lang w:val="nl-NL"/>
        </w:rPr>
        <w:t xml:space="preserve">de staten. </w:t>
      </w:r>
      <w:r w:rsidRPr="001C6327" w:rsidR="00D376D5">
        <w:rPr>
          <w:rFonts w:ascii="Verdana" w:hAnsi="Verdana"/>
          <w:sz w:val="18"/>
          <w:szCs w:val="18"/>
          <w:lang w:val="nl-NL"/>
        </w:rPr>
        <w:t>Nederland en Bulgarije hebben daa</w:t>
      </w:r>
      <w:r w:rsidRPr="001C6327" w:rsidR="00322267">
        <w:rPr>
          <w:rFonts w:ascii="Verdana" w:hAnsi="Verdana"/>
          <w:sz w:val="18"/>
          <w:szCs w:val="18"/>
          <w:lang w:val="nl-NL"/>
        </w:rPr>
        <w:t>rnaast nieuwe afspraken gemaakt</w:t>
      </w:r>
      <w:r w:rsidRPr="00F578EC" w:rsidR="00D85E13">
        <w:rPr>
          <w:rFonts w:ascii="Verdana" w:hAnsi="Verdana"/>
          <w:sz w:val="18"/>
          <w:szCs w:val="18"/>
          <w:lang w:val="nl-NL"/>
        </w:rPr>
        <w:t xml:space="preserve"> over wederzijdse bijstand in de vorm van uitwisseling van informatie over</w:t>
      </w:r>
      <w:r w:rsidRPr="00F578EC" w:rsidR="00D720A1">
        <w:rPr>
          <w:rFonts w:ascii="Verdana" w:hAnsi="Verdana"/>
          <w:sz w:val="18"/>
          <w:szCs w:val="18"/>
          <w:lang w:val="nl-NL"/>
        </w:rPr>
        <w:t>,</w:t>
      </w:r>
      <w:r w:rsidRPr="00F578EC" w:rsidR="00D85E13">
        <w:rPr>
          <w:rFonts w:ascii="Verdana" w:hAnsi="Verdana"/>
          <w:sz w:val="18"/>
          <w:szCs w:val="18"/>
          <w:lang w:val="nl-NL"/>
        </w:rPr>
        <w:t xml:space="preserve"> en invordering van</w:t>
      </w:r>
      <w:r w:rsidRPr="00BC6175" w:rsidR="00D720A1">
        <w:rPr>
          <w:rFonts w:ascii="Verdana" w:hAnsi="Verdana"/>
          <w:sz w:val="18"/>
          <w:szCs w:val="18"/>
          <w:lang w:val="nl-NL"/>
        </w:rPr>
        <w:t>,</w:t>
      </w:r>
      <w:r w:rsidRPr="00BC6175" w:rsidR="00D85E13">
        <w:rPr>
          <w:rFonts w:ascii="Verdana" w:hAnsi="Verdana"/>
          <w:sz w:val="18"/>
          <w:szCs w:val="18"/>
          <w:lang w:val="nl-NL"/>
        </w:rPr>
        <w:t xml:space="preserve"> belasting en toeslagen.</w:t>
      </w:r>
      <w:r w:rsidR="0087061D">
        <w:rPr>
          <w:rFonts w:ascii="Verdana" w:hAnsi="Verdana"/>
          <w:sz w:val="18"/>
          <w:szCs w:val="18"/>
          <w:lang w:val="nl-NL"/>
        </w:rPr>
        <w:t xml:space="preserve"> De Nederlandse wens </w:t>
      </w:r>
      <w:r w:rsidRPr="00556990" w:rsidR="0087061D">
        <w:rPr>
          <w:rFonts w:ascii="Verdana" w:hAnsi="Verdana"/>
          <w:sz w:val="18"/>
          <w:szCs w:val="18"/>
          <w:lang w:val="nl-NL"/>
        </w:rPr>
        <w:t>om een rechtsbasis te creëren voor informatie-uitwisseling en invorderingsbijstand met betrekking tot alle toeslagen</w:t>
      </w:r>
      <w:r w:rsidR="0087061D">
        <w:rPr>
          <w:rFonts w:ascii="Verdana" w:hAnsi="Verdana"/>
          <w:sz w:val="18"/>
          <w:szCs w:val="18"/>
          <w:lang w:val="nl-NL"/>
        </w:rPr>
        <w:t xml:space="preserve"> vormde</w:t>
      </w:r>
      <w:r w:rsidR="0099469D">
        <w:rPr>
          <w:rFonts w:ascii="Verdana" w:hAnsi="Verdana"/>
          <w:sz w:val="18"/>
          <w:szCs w:val="18"/>
          <w:lang w:val="nl-NL"/>
        </w:rPr>
        <w:t xml:space="preserve"> aanvankelijk</w:t>
      </w:r>
      <w:r w:rsidR="0087061D">
        <w:rPr>
          <w:rFonts w:ascii="Verdana" w:hAnsi="Verdana"/>
          <w:sz w:val="18"/>
          <w:szCs w:val="18"/>
          <w:lang w:val="nl-NL"/>
        </w:rPr>
        <w:t xml:space="preserve"> de aanleiding voor de onderhandelingen.</w:t>
      </w:r>
      <w:r w:rsidRPr="00BC6175" w:rsidR="00D85E13">
        <w:rPr>
          <w:rFonts w:ascii="Verdana" w:hAnsi="Verdana"/>
          <w:sz w:val="18"/>
          <w:szCs w:val="18"/>
          <w:lang w:val="nl-NL"/>
        </w:rPr>
        <w:t xml:space="preserve"> Naast deze maatregelen </w:t>
      </w:r>
      <w:r w:rsidRPr="00916448" w:rsidR="00AE20D7">
        <w:rPr>
          <w:rFonts w:ascii="Verdana" w:hAnsi="Verdana"/>
          <w:sz w:val="18"/>
          <w:szCs w:val="18"/>
          <w:lang w:val="nl-NL"/>
        </w:rPr>
        <w:t xml:space="preserve">hebben Nederland en Bulgarije overeenstemming bereikt over opname van bepalingen die zijn voorgesteld in het BEPS-project tegen grondslaguitholling en winstverschuiving </w:t>
      </w:r>
      <w:r w:rsidRPr="00916448" w:rsidR="00815C6A">
        <w:rPr>
          <w:rFonts w:ascii="Verdana" w:hAnsi="Verdana"/>
          <w:sz w:val="18"/>
          <w:szCs w:val="18"/>
          <w:lang w:val="nl-NL"/>
        </w:rPr>
        <w:t>(</w:t>
      </w:r>
      <w:r w:rsidR="00B05F51">
        <w:rPr>
          <w:rFonts w:ascii="Verdana" w:hAnsi="Verdana"/>
          <w:i/>
          <w:sz w:val="18"/>
          <w:szCs w:val="18"/>
          <w:lang w:val="nl-NL"/>
        </w:rPr>
        <w:t>b</w:t>
      </w:r>
      <w:r w:rsidRPr="00780A5E" w:rsidR="00815C6A">
        <w:rPr>
          <w:rFonts w:ascii="Verdana" w:hAnsi="Verdana"/>
          <w:i/>
          <w:sz w:val="18"/>
          <w:szCs w:val="18"/>
          <w:lang w:val="nl-NL"/>
        </w:rPr>
        <w:t xml:space="preserve">ase </w:t>
      </w:r>
      <w:r w:rsidR="00B05F51">
        <w:rPr>
          <w:rFonts w:ascii="Verdana" w:hAnsi="Verdana"/>
          <w:i/>
          <w:sz w:val="18"/>
          <w:szCs w:val="18"/>
          <w:lang w:val="nl-NL"/>
        </w:rPr>
        <w:t>e</w:t>
      </w:r>
      <w:r w:rsidRPr="000819E4" w:rsidR="00815C6A">
        <w:rPr>
          <w:rFonts w:ascii="Verdana" w:hAnsi="Verdana"/>
          <w:i/>
          <w:sz w:val="18"/>
          <w:szCs w:val="18"/>
          <w:lang w:val="nl-NL"/>
        </w:rPr>
        <w:t xml:space="preserve">rosion and </w:t>
      </w:r>
      <w:r w:rsidR="00B05F51">
        <w:rPr>
          <w:rFonts w:ascii="Verdana" w:hAnsi="Verdana"/>
          <w:i/>
          <w:sz w:val="18"/>
          <w:szCs w:val="18"/>
          <w:lang w:val="nl-NL"/>
        </w:rPr>
        <w:t>p</w:t>
      </w:r>
      <w:r w:rsidRPr="0021450B" w:rsidR="00815C6A">
        <w:rPr>
          <w:rFonts w:ascii="Verdana" w:hAnsi="Verdana"/>
          <w:i/>
          <w:sz w:val="18"/>
          <w:szCs w:val="18"/>
          <w:lang w:val="nl-NL"/>
        </w:rPr>
        <w:t xml:space="preserve">rofit </w:t>
      </w:r>
      <w:r w:rsidR="00B05F51">
        <w:rPr>
          <w:rFonts w:ascii="Verdana" w:hAnsi="Verdana"/>
          <w:i/>
          <w:sz w:val="18"/>
          <w:szCs w:val="18"/>
          <w:lang w:val="nl-NL"/>
        </w:rPr>
        <w:t>s</w:t>
      </w:r>
      <w:r w:rsidRPr="0021450B" w:rsidR="00815C6A">
        <w:rPr>
          <w:rFonts w:ascii="Verdana" w:hAnsi="Verdana"/>
          <w:i/>
          <w:sz w:val="18"/>
          <w:szCs w:val="18"/>
          <w:lang w:val="nl-NL"/>
        </w:rPr>
        <w:t xml:space="preserve">hifting) </w:t>
      </w:r>
      <w:r w:rsidRPr="0021450B" w:rsidR="00AE20D7">
        <w:rPr>
          <w:rFonts w:ascii="Verdana" w:hAnsi="Verdana"/>
          <w:sz w:val="18"/>
          <w:szCs w:val="18"/>
          <w:lang w:val="nl-NL"/>
        </w:rPr>
        <w:t xml:space="preserve">dat is geïnitieerd door de G20/OESO. </w:t>
      </w:r>
      <w:r w:rsidRPr="0021450B" w:rsidR="00322267">
        <w:rPr>
          <w:rFonts w:ascii="Verdana" w:hAnsi="Verdana"/>
          <w:sz w:val="18"/>
          <w:szCs w:val="18"/>
          <w:lang w:val="nl-NL"/>
        </w:rPr>
        <w:t xml:space="preserve">Het gaat om maatregelen </w:t>
      </w:r>
      <w:r w:rsidRPr="0021450B" w:rsidR="006A0E37">
        <w:rPr>
          <w:rFonts w:ascii="Verdana" w:hAnsi="Verdana"/>
          <w:sz w:val="18"/>
          <w:szCs w:val="18"/>
          <w:lang w:val="nl-NL"/>
        </w:rPr>
        <w:t>op het gebied van</w:t>
      </w:r>
      <w:r w:rsidRPr="0021450B" w:rsidR="008C113B">
        <w:rPr>
          <w:rFonts w:ascii="Verdana" w:hAnsi="Verdana"/>
          <w:sz w:val="18"/>
          <w:szCs w:val="18"/>
          <w:lang w:val="nl-NL"/>
        </w:rPr>
        <w:t xml:space="preserve"> </w:t>
      </w:r>
      <w:r w:rsidRPr="0021450B" w:rsidR="00322267">
        <w:rPr>
          <w:rFonts w:ascii="Verdana" w:hAnsi="Verdana"/>
          <w:sz w:val="18"/>
          <w:szCs w:val="18"/>
          <w:lang w:val="nl-NL"/>
        </w:rPr>
        <w:t>verdragsmisbruik</w:t>
      </w:r>
      <w:r w:rsidRPr="0021450B" w:rsidR="006A0E37">
        <w:rPr>
          <w:rFonts w:ascii="Verdana" w:hAnsi="Verdana"/>
          <w:sz w:val="18"/>
          <w:szCs w:val="18"/>
          <w:lang w:val="nl-NL"/>
        </w:rPr>
        <w:t xml:space="preserve"> (BEPS-actie 6)</w:t>
      </w:r>
      <w:r w:rsidRPr="0021450B" w:rsidR="00322267">
        <w:rPr>
          <w:rFonts w:ascii="Verdana" w:hAnsi="Verdana"/>
          <w:sz w:val="18"/>
          <w:szCs w:val="18"/>
          <w:lang w:val="nl-NL"/>
        </w:rPr>
        <w:t xml:space="preserve">, </w:t>
      </w:r>
      <w:r w:rsidRPr="0021450B" w:rsidR="006A0E37">
        <w:rPr>
          <w:rFonts w:ascii="Verdana" w:hAnsi="Verdana"/>
          <w:sz w:val="18"/>
          <w:szCs w:val="18"/>
          <w:lang w:val="nl-NL"/>
        </w:rPr>
        <w:t xml:space="preserve">hybride </w:t>
      </w:r>
      <w:r w:rsidRPr="0021450B" w:rsidR="00322267">
        <w:rPr>
          <w:rFonts w:ascii="Verdana" w:hAnsi="Verdana"/>
          <w:sz w:val="18"/>
          <w:szCs w:val="18"/>
          <w:lang w:val="nl-NL"/>
        </w:rPr>
        <w:t>mismatches</w:t>
      </w:r>
      <w:r w:rsidRPr="0021450B" w:rsidR="006A0E37">
        <w:rPr>
          <w:rFonts w:ascii="Verdana" w:hAnsi="Verdana"/>
          <w:sz w:val="18"/>
          <w:szCs w:val="18"/>
          <w:lang w:val="nl-NL"/>
        </w:rPr>
        <w:t xml:space="preserve"> (BEPS-actie 2), vaste inrichtingen (BEPS-actie 7) en geschillenbeslechting (BEPS-actie 14).</w:t>
      </w:r>
      <w:r w:rsidR="002229E7">
        <w:rPr>
          <w:rFonts w:ascii="Verdana" w:hAnsi="Verdana"/>
          <w:sz w:val="18"/>
          <w:szCs w:val="18"/>
          <w:lang w:val="nl-NL"/>
        </w:rPr>
        <w:t xml:space="preserve"> </w:t>
      </w:r>
    </w:p>
    <w:p w:rsidRPr="002229E7" w:rsidR="00AE20D7" w:rsidP="00AE20D7" w:rsidRDefault="002229E7" w14:paraId="342BB237" w14:textId="77777777">
      <w:pPr>
        <w:rPr>
          <w:rFonts w:ascii="Verdana" w:hAnsi="Verdana"/>
          <w:sz w:val="18"/>
          <w:szCs w:val="18"/>
          <w:lang w:val="nl-NL"/>
        </w:rPr>
      </w:pPr>
      <w:r w:rsidRPr="002229E7">
        <w:rPr>
          <w:rFonts w:ascii="Verdana" w:hAnsi="Verdana"/>
          <w:sz w:val="18"/>
          <w:szCs w:val="18"/>
          <w:lang w:val="nl-NL"/>
        </w:rPr>
        <w:t>Naar het oordeel van de regering bevatten alle artikelen van het Verdrag en het Protocol, afgezien van de artikelen 27, 29, 30 (met uitzondering van het vierde lid) en 31 van het Verdrag, eenieder verbindende bepalingen in de zin van de artikelen 93 en 94 Grondwet, die aan de burger rechtstreeks rechten toekennen of plichten opleggen.</w:t>
      </w:r>
    </w:p>
    <w:p w:rsidRPr="00DD3563" w:rsidR="004B3EA8" w:rsidP="00AE20D7" w:rsidRDefault="004B3EA8" w14:paraId="0B60AD11" w14:textId="77777777">
      <w:pPr>
        <w:rPr>
          <w:rFonts w:ascii="Verdana" w:hAnsi="Verdana"/>
          <w:sz w:val="18"/>
          <w:szCs w:val="18"/>
          <w:lang w:val="nl-NL"/>
        </w:rPr>
      </w:pPr>
    </w:p>
    <w:p w:rsidR="007B5C36" w:rsidP="00CD077B" w:rsidRDefault="00C92ECF" w14:paraId="16DC2AC9" w14:textId="77777777">
      <w:pPr>
        <w:ind w:firstLine="0"/>
        <w:rPr>
          <w:rFonts w:ascii="Verdana" w:hAnsi="Verdana"/>
          <w:sz w:val="18"/>
          <w:szCs w:val="18"/>
          <w:lang w:val="nl-NL"/>
        </w:rPr>
      </w:pPr>
      <w:r w:rsidRPr="00E01754">
        <w:rPr>
          <w:rFonts w:ascii="Verdana" w:hAnsi="Verdana" w:cs="Arial"/>
          <w:i/>
          <w:iCs/>
          <w:sz w:val="18"/>
          <w:szCs w:val="18"/>
          <w:lang w:val="nl-NL"/>
        </w:rPr>
        <w:t>I</w:t>
      </w:r>
      <w:r w:rsidRPr="00E01754" w:rsidR="00D82BA6">
        <w:rPr>
          <w:rFonts w:ascii="Verdana" w:hAnsi="Verdana" w:cs="Arial"/>
          <w:i/>
          <w:iCs/>
          <w:sz w:val="18"/>
          <w:szCs w:val="18"/>
          <w:lang w:val="nl-NL"/>
        </w:rPr>
        <w:t>.2</w:t>
      </w:r>
      <w:r w:rsidRPr="00CB4452" w:rsidR="00173F7D">
        <w:rPr>
          <w:rFonts w:ascii="Verdana" w:hAnsi="Verdana" w:cs="Arial"/>
          <w:i/>
          <w:iCs/>
          <w:sz w:val="18"/>
          <w:szCs w:val="18"/>
          <w:lang w:val="nl-NL"/>
        </w:rPr>
        <w:t>.</w:t>
      </w:r>
      <w:r w:rsidRPr="00CB4452" w:rsidR="00D82BA6">
        <w:rPr>
          <w:rFonts w:ascii="Verdana" w:hAnsi="Verdana" w:cs="Arial"/>
          <w:i/>
          <w:iCs/>
          <w:sz w:val="18"/>
          <w:szCs w:val="18"/>
          <w:lang w:val="nl-NL"/>
        </w:rPr>
        <w:t xml:space="preserve"> </w:t>
      </w:r>
      <w:r w:rsidRPr="00CB4452" w:rsidR="002D160C">
        <w:rPr>
          <w:rFonts w:ascii="Verdana" w:hAnsi="Verdana" w:cs="Arial"/>
          <w:i/>
          <w:iCs/>
          <w:sz w:val="18"/>
          <w:szCs w:val="18"/>
          <w:lang w:val="nl-NL"/>
        </w:rPr>
        <w:t>Aanl</w:t>
      </w:r>
      <w:r w:rsidRPr="006515E9" w:rsidR="002D160C">
        <w:rPr>
          <w:rFonts w:ascii="Verdana" w:hAnsi="Verdana" w:cs="Arial"/>
          <w:i/>
          <w:iCs/>
          <w:sz w:val="18"/>
          <w:szCs w:val="18"/>
          <w:lang w:val="nl-NL"/>
        </w:rPr>
        <w:t>eiding voor en verloop van de onderhandelingen</w:t>
      </w:r>
      <w:r w:rsidRPr="006515E9">
        <w:rPr>
          <w:rFonts w:ascii="Verdana" w:hAnsi="Verdana" w:cs="Arial"/>
          <w:b/>
          <w:bCs/>
          <w:i/>
          <w:sz w:val="18"/>
          <w:szCs w:val="18"/>
          <w:lang w:val="nl-NL"/>
        </w:rPr>
        <w:br/>
      </w:r>
      <w:r w:rsidRPr="007024F8">
        <w:rPr>
          <w:rFonts w:ascii="Verdana" w:hAnsi="Verdana"/>
          <w:sz w:val="18"/>
          <w:szCs w:val="18"/>
          <w:lang w:val="nl-NL"/>
        </w:rPr>
        <w:br/>
      </w:r>
      <w:r w:rsidRPr="00556990" w:rsidR="00441099">
        <w:rPr>
          <w:rFonts w:ascii="Verdana" w:hAnsi="Verdana"/>
          <w:sz w:val="18"/>
          <w:szCs w:val="18"/>
          <w:lang w:val="nl-NL"/>
        </w:rPr>
        <w:t>In de loop van 2013 kwam de fraude</w:t>
      </w:r>
      <w:r w:rsidR="007B5C36">
        <w:rPr>
          <w:rFonts w:ascii="Verdana" w:hAnsi="Verdana"/>
          <w:sz w:val="18"/>
          <w:szCs w:val="18"/>
          <w:lang w:val="nl-NL"/>
        </w:rPr>
        <w:t xml:space="preserve"> met toeslagen</w:t>
      </w:r>
      <w:r w:rsidRPr="00556990" w:rsidR="00441099">
        <w:rPr>
          <w:rFonts w:ascii="Verdana" w:hAnsi="Verdana"/>
          <w:sz w:val="18"/>
          <w:szCs w:val="18"/>
          <w:lang w:val="nl-NL"/>
        </w:rPr>
        <w:t xml:space="preserve"> door Bulgaren </w:t>
      </w:r>
      <w:r w:rsidRPr="00556990" w:rsidR="002336D1">
        <w:rPr>
          <w:rFonts w:ascii="Verdana" w:hAnsi="Verdana"/>
          <w:sz w:val="18"/>
          <w:szCs w:val="18"/>
          <w:lang w:val="nl-NL"/>
        </w:rPr>
        <w:t>aan het licht</w:t>
      </w:r>
      <w:r w:rsidRPr="00556990" w:rsidR="00441099">
        <w:rPr>
          <w:rFonts w:ascii="Verdana" w:hAnsi="Verdana"/>
          <w:sz w:val="18"/>
          <w:szCs w:val="18"/>
          <w:lang w:val="nl-NL"/>
        </w:rPr>
        <w:t xml:space="preserve">. Naar aanleiding </w:t>
      </w:r>
      <w:r w:rsidRPr="00556990" w:rsidR="0091735B">
        <w:rPr>
          <w:rFonts w:ascii="Verdana" w:hAnsi="Verdana"/>
          <w:sz w:val="18"/>
          <w:szCs w:val="18"/>
          <w:lang w:val="nl-NL"/>
        </w:rPr>
        <w:t>hier</w:t>
      </w:r>
      <w:r w:rsidRPr="00556990" w:rsidR="00441099">
        <w:rPr>
          <w:rFonts w:ascii="Verdana" w:hAnsi="Verdana"/>
          <w:sz w:val="18"/>
          <w:szCs w:val="18"/>
          <w:lang w:val="nl-NL"/>
        </w:rPr>
        <w:t>van is eind 2013 aan Bulgarije voor</w:t>
      </w:r>
      <w:r w:rsidRPr="00556990" w:rsidR="0091735B">
        <w:rPr>
          <w:rFonts w:ascii="Verdana" w:hAnsi="Verdana"/>
          <w:sz w:val="18"/>
          <w:szCs w:val="18"/>
          <w:lang w:val="nl-NL"/>
        </w:rPr>
        <w:t>ge</w:t>
      </w:r>
      <w:r w:rsidRPr="00556990" w:rsidR="00441099">
        <w:rPr>
          <w:rFonts w:ascii="Verdana" w:hAnsi="Verdana"/>
          <w:sz w:val="18"/>
          <w:szCs w:val="18"/>
          <w:lang w:val="nl-NL"/>
        </w:rPr>
        <w:t>stel</w:t>
      </w:r>
      <w:r w:rsidRPr="00556990" w:rsidR="0091735B">
        <w:rPr>
          <w:rFonts w:ascii="Verdana" w:hAnsi="Verdana"/>
          <w:sz w:val="18"/>
          <w:szCs w:val="18"/>
          <w:lang w:val="nl-NL"/>
        </w:rPr>
        <w:t>d</w:t>
      </w:r>
      <w:r w:rsidRPr="00556990" w:rsidR="00441099">
        <w:rPr>
          <w:rFonts w:ascii="Verdana" w:hAnsi="Verdana"/>
          <w:sz w:val="18"/>
          <w:szCs w:val="18"/>
          <w:lang w:val="nl-NL"/>
        </w:rPr>
        <w:t xml:space="preserve"> te onderhandelen over een wijziging</w:t>
      </w:r>
      <w:r w:rsidRPr="00556990" w:rsidR="0091735B">
        <w:rPr>
          <w:rFonts w:ascii="Verdana" w:hAnsi="Verdana"/>
          <w:sz w:val="18"/>
          <w:szCs w:val="18"/>
          <w:lang w:val="nl-NL"/>
        </w:rPr>
        <w:t xml:space="preserve"> van </w:t>
      </w:r>
      <w:r w:rsidRPr="00556990" w:rsidR="00441099">
        <w:rPr>
          <w:rFonts w:ascii="Verdana" w:hAnsi="Verdana"/>
          <w:sz w:val="18"/>
          <w:szCs w:val="18"/>
          <w:lang w:val="nl-NL"/>
        </w:rPr>
        <w:t xml:space="preserve">het </w:t>
      </w:r>
      <w:r w:rsidRPr="00556990" w:rsidR="00805997">
        <w:rPr>
          <w:rFonts w:ascii="Verdana" w:hAnsi="Verdana"/>
          <w:sz w:val="18"/>
          <w:szCs w:val="18"/>
          <w:lang w:val="nl-NL"/>
        </w:rPr>
        <w:t>Verdrag</w:t>
      </w:r>
      <w:r w:rsidRPr="00556990" w:rsidR="00D720A1">
        <w:rPr>
          <w:rFonts w:ascii="Verdana" w:hAnsi="Verdana"/>
          <w:sz w:val="18"/>
          <w:szCs w:val="18"/>
          <w:lang w:val="nl-NL"/>
        </w:rPr>
        <w:t xml:space="preserve"> van</w:t>
      </w:r>
      <w:r w:rsidRPr="00556990" w:rsidR="00805997">
        <w:rPr>
          <w:rFonts w:ascii="Verdana" w:hAnsi="Verdana"/>
          <w:sz w:val="18"/>
          <w:szCs w:val="18"/>
          <w:lang w:val="nl-NL"/>
        </w:rPr>
        <w:t xml:space="preserve"> </w:t>
      </w:r>
      <w:r w:rsidRPr="00556990" w:rsidR="00441099">
        <w:rPr>
          <w:rFonts w:ascii="Verdana" w:hAnsi="Verdana"/>
          <w:sz w:val="18"/>
          <w:szCs w:val="18"/>
          <w:lang w:val="nl-NL"/>
        </w:rPr>
        <w:t>1990</w:t>
      </w:r>
      <w:r w:rsidRPr="00556990" w:rsidR="0091735B">
        <w:rPr>
          <w:rFonts w:ascii="Verdana" w:hAnsi="Verdana"/>
          <w:sz w:val="18"/>
          <w:szCs w:val="18"/>
          <w:lang w:val="nl-NL"/>
        </w:rPr>
        <w:t xml:space="preserve"> om</w:t>
      </w:r>
      <w:r w:rsidRPr="00556990" w:rsidR="00D25D3E">
        <w:rPr>
          <w:rFonts w:ascii="Verdana" w:hAnsi="Verdana"/>
          <w:sz w:val="18"/>
          <w:szCs w:val="18"/>
          <w:lang w:val="nl-NL"/>
        </w:rPr>
        <w:t xml:space="preserve"> </w:t>
      </w:r>
      <w:r w:rsidRPr="00556990" w:rsidR="00574C48">
        <w:rPr>
          <w:rFonts w:ascii="Verdana" w:hAnsi="Verdana"/>
          <w:sz w:val="18"/>
          <w:szCs w:val="18"/>
          <w:lang w:val="nl-NL"/>
        </w:rPr>
        <w:t xml:space="preserve">een rechtsbasis </w:t>
      </w:r>
      <w:r w:rsidRPr="00556990" w:rsidR="0091735B">
        <w:rPr>
          <w:rFonts w:ascii="Verdana" w:hAnsi="Verdana"/>
          <w:sz w:val="18"/>
          <w:szCs w:val="18"/>
          <w:lang w:val="nl-NL"/>
        </w:rPr>
        <w:t xml:space="preserve">te creëren </w:t>
      </w:r>
      <w:r w:rsidRPr="00556990" w:rsidR="00E25E4C">
        <w:rPr>
          <w:rFonts w:ascii="Verdana" w:hAnsi="Verdana"/>
          <w:sz w:val="18"/>
          <w:szCs w:val="18"/>
          <w:lang w:val="nl-NL"/>
        </w:rPr>
        <w:t xml:space="preserve">voor </w:t>
      </w:r>
      <w:r w:rsidRPr="00556990" w:rsidR="00574C48">
        <w:rPr>
          <w:rFonts w:ascii="Verdana" w:hAnsi="Verdana"/>
          <w:sz w:val="18"/>
          <w:szCs w:val="18"/>
          <w:lang w:val="nl-NL"/>
        </w:rPr>
        <w:t>informatie-uitwisseling</w:t>
      </w:r>
      <w:r w:rsidRPr="00556990" w:rsidR="00805997">
        <w:rPr>
          <w:rFonts w:ascii="Verdana" w:hAnsi="Verdana"/>
          <w:sz w:val="18"/>
          <w:szCs w:val="18"/>
          <w:lang w:val="nl-NL"/>
        </w:rPr>
        <w:t xml:space="preserve"> </w:t>
      </w:r>
      <w:r w:rsidRPr="00556990" w:rsidR="00574C48">
        <w:rPr>
          <w:rFonts w:ascii="Verdana" w:hAnsi="Verdana"/>
          <w:sz w:val="18"/>
          <w:szCs w:val="18"/>
          <w:lang w:val="nl-NL"/>
        </w:rPr>
        <w:t xml:space="preserve">en invorderingsbijstand </w:t>
      </w:r>
      <w:r w:rsidRPr="00556990" w:rsidR="002336D1">
        <w:rPr>
          <w:rFonts w:ascii="Verdana" w:hAnsi="Verdana"/>
          <w:sz w:val="18"/>
          <w:szCs w:val="18"/>
          <w:lang w:val="nl-NL"/>
        </w:rPr>
        <w:t xml:space="preserve">met betrekking tot </w:t>
      </w:r>
      <w:r w:rsidRPr="00556990" w:rsidR="00574C48">
        <w:rPr>
          <w:rFonts w:ascii="Verdana" w:hAnsi="Verdana"/>
          <w:sz w:val="18"/>
          <w:szCs w:val="18"/>
          <w:lang w:val="nl-NL"/>
        </w:rPr>
        <w:t xml:space="preserve">alle toeslagen. Bulgarije </w:t>
      </w:r>
      <w:r w:rsidRPr="00556990" w:rsidR="0091735B">
        <w:rPr>
          <w:rFonts w:ascii="Verdana" w:hAnsi="Verdana"/>
          <w:sz w:val="18"/>
          <w:szCs w:val="18"/>
          <w:lang w:val="nl-NL"/>
        </w:rPr>
        <w:t xml:space="preserve">was hiertoe bereid maar stelde voor dit op te pakken in het kader van een onderhandeling </w:t>
      </w:r>
      <w:r w:rsidRPr="00556990" w:rsidR="00574C48">
        <w:rPr>
          <w:rFonts w:ascii="Verdana" w:hAnsi="Verdana"/>
          <w:sz w:val="18"/>
          <w:szCs w:val="18"/>
          <w:lang w:val="nl-NL"/>
        </w:rPr>
        <w:t>over een geheel nieuw Verdrag</w:t>
      </w:r>
      <w:r w:rsidRPr="00556990" w:rsidR="00E25E4C">
        <w:rPr>
          <w:rFonts w:ascii="Verdana" w:hAnsi="Verdana"/>
          <w:sz w:val="18"/>
          <w:szCs w:val="18"/>
          <w:lang w:val="nl-NL"/>
        </w:rPr>
        <w:t xml:space="preserve">. </w:t>
      </w:r>
      <w:r w:rsidRPr="00556990" w:rsidR="00574C48">
        <w:rPr>
          <w:rFonts w:ascii="Verdana" w:hAnsi="Verdana"/>
          <w:sz w:val="18"/>
          <w:szCs w:val="18"/>
          <w:lang w:val="nl-NL"/>
        </w:rPr>
        <w:t xml:space="preserve">Nederland </w:t>
      </w:r>
      <w:r w:rsidRPr="00556990" w:rsidR="005F663A">
        <w:rPr>
          <w:rFonts w:ascii="Verdana" w:hAnsi="Verdana"/>
          <w:sz w:val="18"/>
          <w:szCs w:val="18"/>
          <w:lang w:val="nl-NL"/>
        </w:rPr>
        <w:t xml:space="preserve">heeft </w:t>
      </w:r>
      <w:r w:rsidRPr="00556990" w:rsidR="0091735B">
        <w:rPr>
          <w:rFonts w:ascii="Verdana" w:hAnsi="Verdana"/>
          <w:sz w:val="18"/>
          <w:szCs w:val="18"/>
          <w:lang w:val="nl-NL"/>
        </w:rPr>
        <w:t>hier</w:t>
      </w:r>
      <w:r w:rsidRPr="00556990" w:rsidR="00574C48">
        <w:rPr>
          <w:rFonts w:ascii="Verdana" w:hAnsi="Verdana"/>
          <w:sz w:val="18"/>
          <w:szCs w:val="18"/>
          <w:lang w:val="nl-NL"/>
        </w:rPr>
        <w:t>mee ingestemd</w:t>
      </w:r>
      <w:r w:rsidRPr="00556990" w:rsidR="005F663A">
        <w:rPr>
          <w:rFonts w:ascii="Verdana" w:hAnsi="Verdana"/>
          <w:sz w:val="18"/>
          <w:szCs w:val="18"/>
          <w:lang w:val="nl-NL"/>
        </w:rPr>
        <w:t>.</w:t>
      </w:r>
      <w:r w:rsidRPr="00556990" w:rsidR="00574C48">
        <w:rPr>
          <w:rFonts w:ascii="Verdana" w:hAnsi="Verdana"/>
          <w:sz w:val="18"/>
          <w:szCs w:val="18"/>
          <w:lang w:val="nl-NL"/>
        </w:rPr>
        <w:t xml:space="preserve"> </w:t>
      </w:r>
      <w:r w:rsidR="000110E8">
        <w:rPr>
          <w:rFonts w:ascii="Verdana" w:hAnsi="Verdana"/>
          <w:sz w:val="18"/>
          <w:szCs w:val="18"/>
          <w:lang w:val="nl-NL"/>
        </w:rPr>
        <w:t xml:space="preserve">De onderhandelingen hebben langer geduurd dan Nederland aanvankelijk voor ogen had. </w:t>
      </w:r>
      <w:r w:rsidR="00D83B9B">
        <w:rPr>
          <w:rFonts w:ascii="Verdana" w:hAnsi="Verdana"/>
          <w:sz w:val="18"/>
          <w:szCs w:val="18"/>
          <w:lang w:val="nl-NL"/>
        </w:rPr>
        <w:t>Een belangrijke factor daarbij is dat tijdens de onderhandelingen is besloten de</w:t>
      </w:r>
      <w:r w:rsidR="00246290">
        <w:rPr>
          <w:rFonts w:ascii="Verdana" w:hAnsi="Verdana"/>
          <w:sz w:val="18"/>
          <w:szCs w:val="18"/>
          <w:lang w:val="nl-NL"/>
        </w:rPr>
        <w:t xml:space="preserve"> reeds genoemde</w:t>
      </w:r>
      <w:r w:rsidR="00D83B9B">
        <w:rPr>
          <w:rFonts w:ascii="Verdana" w:hAnsi="Verdana"/>
          <w:sz w:val="18"/>
          <w:szCs w:val="18"/>
          <w:lang w:val="nl-NL"/>
        </w:rPr>
        <w:t xml:space="preserve"> uitkomsten van het BEPS-project op te nemen. Verder hebben het capaciteitsbeslag van het BEPS-project en het voorzitterschap van de Europese Unie van Nederland en Bulgarije tot vertraging geleid.</w:t>
      </w:r>
      <w:r w:rsidR="00EB6F27">
        <w:rPr>
          <w:rFonts w:ascii="Verdana" w:hAnsi="Verdana"/>
          <w:sz w:val="18"/>
          <w:szCs w:val="18"/>
          <w:lang w:val="nl-NL"/>
        </w:rPr>
        <w:t xml:space="preserve"> </w:t>
      </w:r>
    </w:p>
    <w:p w:rsidRPr="006E5CFF" w:rsidR="00263093" w:rsidP="00CD077B" w:rsidRDefault="007B5C36" w14:paraId="1762310C" w14:textId="77777777">
      <w:pPr>
        <w:ind w:firstLine="0"/>
        <w:rPr>
          <w:rFonts w:ascii="Verdana" w:hAnsi="Verdana"/>
          <w:sz w:val="18"/>
          <w:szCs w:val="18"/>
          <w:lang w:val="nl-NL"/>
        </w:rPr>
      </w:pPr>
      <w:r w:rsidRPr="00556990">
        <w:rPr>
          <w:rFonts w:ascii="Verdana" w:hAnsi="Verdana"/>
          <w:sz w:val="18"/>
          <w:szCs w:val="18"/>
          <w:lang w:val="nl-NL"/>
        </w:rPr>
        <w:t>Bij de onderhandelingen is – net als bij het</w:t>
      </w:r>
      <w:r>
        <w:rPr>
          <w:rFonts w:ascii="Verdana" w:hAnsi="Verdana"/>
          <w:sz w:val="18"/>
          <w:szCs w:val="18"/>
          <w:lang w:val="nl-NL"/>
        </w:rPr>
        <w:t xml:space="preserve"> V</w:t>
      </w:r>
      <w:r w:rsidRPr="00556990">
        <w:rPr>
          <w:rFonts w:ascii="Verdana" w:hAnsi="Verdana"/>
          <w:sz w:val="18"/>
          <w:szCs w:val="18"/>
          <w:lang w:val="nl-NL"/>
        </w:rPr>
        <w:t>erdrag</w:t>
      </w:r>
      <w:r>
        <w:rPr>
          <w:rFonts w:ascii="Verdana" w:hAnsi="Verdana"/>
          <w:sz w:val="18"/>
          <w:szCs w:val="18"/>
          <w:lang w:val="nl-NL"/>
        </w:rPr>
        <w:t xml:space="preserve"> van 1990</w:t>
      </w:r>
      <w:r w:rsidRPr="00556990">
        <w:rPr>
          <w:rFonts w:ascii="Verdana" w:hAnsi="Verdana"/>
          <w:sz w:val="18"/>
          <w:szCs w:val="18"/>
          <w:lang w:val="nl-NL"/>
        </w:rPr>
        <w:t xml:space="preserve"> – in hoofdlijn het OESO-modelverdrag tot uitgangspunt genomen, overeenkomstig de verdragspraktijk van Nederland en Bulgarije.</w:t>
      </w:r>
      <w:r>
        <w:rPr>
          <w:rFonts w:ascii="Verdana" w:hAnsi="Verdana"/>
          <w:sz w:val="18"/>
          <w:szCs w:val="18"/>
          <w:lang w:val="nl-NL"/>
        </w:rPr>
        <w:t xml:space="preserve"> </w:t>
      </w:r>
      <w:r w:rsidRPr="00556990" w:rsidR="003F26E2">
        <w:rPr>
          <w:rFonts w:ascii="Verdana" w:hAnsi="Verdana"/>
          <w:sz w:val="18"/>
          <w:szCs w:val="18"/>
          <w:lang w:val="nl-NL"/>
        </w:rPr>
        <w:t xml:space="preserve">Nederland en Bulgarije hebben </w:t>
      </w:r>
      <w:r w:rsidR="00D24EB9">
        <w:rPr>
          <w:rFonts w:ascii="Verdana" w:hAnsi="Verdana"/>
          <w:sz w:val="18"/>
          <w:szCs w:val="18"/>
          <w:lang w:val="nl-NL"/>
        </w:rPr>
        <w:t xml:space="preserve">verder </w:t>
      </w:r>
      <w:r w:rsidRPr="00556990" w:rsidR="00DC2EDC">
        <w:rPr>
          <w:rFonts w:ascii="Verdana" w:hAnsi="Verdana"/>
          <w:sz w:val="18"/>
          <w:szCs w:val="18"/>
          <w:lang w:val="nl-NL"/>
        </w:rPr>
        <w:t xml:space="preserve">de belangrijkste BEPS-maatregelen verwerkt in de tekst van dit Verdrag. Het gaat hierbij </w:t>
      </w:r>
      <w:r w:rsidR="00D83B9B">
        <w:rPr>
          <w:rFonts w:ascii="Verdana" w:hAnsi="Verdana"/>
          <w:sz w:val="18"/>
          <w:szCs w:val="18"/>
          <w:lang w:val="nl-NL"/>
        </w:rPr>
        <w:t xml:space="preserve">ten eerste </w:t>
      </w:r>
      <w:r w:rsidRPr="00556990" w:rsidR="00DC2EDC">
        <w:rPr>
          <w:rFonts w:ascii="Verdana" w:hAnsi="Verdana"/>
          <w:sz w:val="18"/>
          <w:szCs w:val="18"/>
          <w:lang w:val="nl-NL"/>
        </w:rPr>
        <w:t xml:space="preserve">om de voorstellen die </w:t>
      </w:r>
      <w:r w:rsidRPr="00556990" w:rsidR="00862BC0">
        <w:rPr>
          <w:rFonts w:ascii="Verdana" w:hAnsi="Verdana"/>
          <w:sz w:val="18"/>
          <w:szCs w:val="18"/>
          <w:lang w:val="nl-NL"/>
        </w:rPr>
        <w:t xml:space="preserve">tot de minimumstandaard </w:t>
      </w:r>
      <w:r w:rsidRPr="00556990" w:rsidR="00274587">
        <w:rPr>
          <w:rFonts w:ascii="Verdana" w:hAnsi="Verdana"/>
          <w:sz w:val="18"/>
          <w:szCs w:val="18"/>
          <w:lang w:val="nl-NL"/>
        </w:rPr>
        <w:t xml:space="preserve">van het BEPS-project </w:t>
      </w:r>
      <w:r w:rsidRPr="00556990" w:rsidR="00862BC0">
        <w:rPr>
          <w:rFonts w:ascii="Verdana" w:hAnsi="Verdana"/>
          <w:sz w:val="18"/>
          <w:szCs w:val="18"/>
          <w:lang w:val="nl-NL"/>
        </w:rPr>
        <w:t xml:space="preserve">behoren en die </w:t>
      </w:r>
      <w:r w:rsidRPr="00556990" w:rsidR="00DC2EDC">
        <w:rPr>
          <w:rFonts w:ascii="Verdana" w:hAnsi="Verdana"/>
          <w:sz w:val="18"/>
          <w:szCs w:val="18"/>
          <w:lang w:val="nl-NL"/>
        </w:rPr>
        <w:t xml:space="preserve">als noodzakelijk zijn beoordeeld om </w:t>
      </w:r>
      <w:r w:rsidRPr="00556990" w:rsidR="00862BC0">
        <w:rPr>
          <w:rFonts w:ascii="Verdana" w:hAnsi="Verdana"/>
          <w:sz w:val="18"/>
          <w:szCs w:val="18"/>
          <w:lang w:val="nl-NL"/>
        </w:rPr>
        <w:t xml:space="preserve">verdragsmisbruik te voorkomen (BEPS-actie 6) en om geschillenbeslechting te verbeteren (BEPS-actie 14). Daarnaast zijn optionele maatregelen overeengekomen tegen </w:t>
      </w:r>
      <w:r w:rsidRPr="00556990" w:rsidR="00DC2EDC">
        <w:rPr>
          <w:rFonts w:ascii="Verdana" w:hAnsi="Verdana"/>
          <w:sz w:val="18"/>
          <w:szCs w:val="18"/>
          <w:lang w:val="nl-NL"/>
        </w:rPr>
        <w:t>grondslaguitholling en winstverschuiving</w:t>
      </w:r>
      <w:r w:rsidRPr="00556990" w:rsidR="00862BC0">
        <w:rPr>
          <w:rFonts w:ascii="Verdana" w:hAnsi="Verdana"/>
          <w:sz w:val="18"/>
          <w:szCs w:val="18"/>
          <w:lang w:val="nl-NL"/>
        </w:rPr>
        <w:t xml:space="preserve">. </w:t>
      </w:r>
      <w:r w:rsidRPr="00556990" w:rsidR="007A38AB">
        <w:rPr>
          <w:rFonts w:ascii="Verdana" w:hAnsi="Verdana"/>
          <w:sz w:val="18"/>
          <w:szCs w:val="18"/>
          <w:lang w:val="nl-NL"/>
        </w:rPr>
        <w:t xml:space="preserve">Na </w:t>
      </w:r>
      <w:r w:rsidRPr="00556990" w:rsidR="00CD2E1F">
        <w:rPr>
          <w:rFonts w:ascii="Verdana" w:hAnsi="Verdana"/>
          <w:sz w:val="18"/>
          <w:szCs w:val="18"/>
          <w:lang w:val="nl-NL"/>
        </w:rPr>
        <w:t xml:space="preserve">afloop van </w:t>
      </w:r>
      <w:r w:rsidRPr="00556990" w:rsidR="007A38AB">
        <w:rPr>
          <w:rFonts w:ascii="Verdana" w:hAnsi="Verdana"/>
          <w:sz w:val="18"/>
          <w:szCs w:val="18"/>
          <w:lang w:val="nl-NL"/>
        </w:rPr>
        <w:t>het Bulgaarse voorzitterschap van de Europese Unie in de eerste helft van 2018, is</w:t>
      </w:r>
      <w:r w:rsidRPr="00556990" w:rsidR="00CD2E1F">
        <w:rPr>
          <w:rFonts w:ascii="Verdana" w:hAnsi="Verdana"/>
          <w:sz w:val="18"/>
          <w:szCs w:val="18"/>
          <w:lang w:val="nl-NL"/>
        </w:rPr>
        <w:t xml:space="preserve"> de tekst afgerond in de tweede helft van 2018 en de eerste helft van 2019.</w:t>
      </w:r>
      <w:r w:rsidRPr="00556990" w:rsidR="00172834">
        <w:rPr>
          <w:rFonts w:ascii="Verdana" w:hAnsi="Verdana"/>
          <w:sz w:val="18"/>
          <w:szCs w:val="18"/>
          <w:lang w:val="nl-NL"/>
        </w:rPr>
        <w:t xml:space="preserve"> Dit heeft geleid tot het </w:t>
      </w:r>
      <w:r w:rsidRPr="00556990" w:rsidR="00333607">
        <w:rPr>
          <w:rFonts w:ascii="Verdana" w:hAnsi="Verdana"/>
          <w:sz w:val="18"/>
          <w:szCs w:val="18"/>
          <w:lang w:val="nl-NL"/>
        </w:rPr>
        <w:t>V</w:t>
      </w:r>
      <w:r w:rsidRPr="00556990" w:rsidR="00172834">
        <w:rPr>
          <w:rFonts w:ascii="Verdana" w:hAnsi="Verdana"/>
          <w:sz w:val="18"/>
          <w:szCs w:val="18"/>
          <w:lang w:val="nl-NL"/>
        </w:rPr>
        <w:t xml:space="preserve">erdrag dat op </w:t>
      </w:r>
      <w:r w:rsidR="003D40A7">
        <w:rPr>
          <w:rFonts w:ascii="Verdana" w:hAnsi="Verdana"/>
          <w:sz w:val="18"/>
          <w:szCs w:val="18"/>
          <w:lang w:val="nl-NL"/>
        </w:rPr>
        <w:t>14 september 2020</w:t>
      </w:r>
      <w:r w:rsidRPr="006E5CFF" w:rsidR="006E5CFF">
        <w:rPr>
          <w:rFonts w:ascii="Verdana" w:hAnsi="Verdana"/>
          <w:sz w:val="18"/>
          <w:szCs w:val="18"/>
          <w:lang w:val="nl-NL"/>
        </w:rPr>
        <w:t xml:space="preserve"> </w:t>
      </w:r>
      <w:r w:rsidRPr="006E5CFF" w:rsidR="00172834">
        <w:rPr>
          <w:rFonts w:ascii="Verdana" w:hAnsi="Verdana"/>
          <w:sz w:val="18"/>
          <w:szCs w:val="18"/>
          <w:lang w:val="nl-NL"/>
        </w:rPr>
        <w:t xml:space="preserve">te </w:t>
      </w:r>
      <w:r w:rsidR="003D40A7">
        <w:rPr>
          <w:rFonts w:ascii="Verdana" w:hAnsi="Verdana"/>
          <w:sz w:val="18"/>
          <w:szCs w:val="18"/>
          <w:lang w:val="nl-NL"/>
        </w:rPr>
        <w:t xml:space="preserve">Sofia </w:t>
      </w:r>
      <w:r w:rsidRPr="006E5CFF" w:rsidR="00172834">
        <w:rPr>
          <w:rFonts w:ascii="Verdana" w:hAnsi="Verdana"/>
          <w:sz w:val="18"/>
          <w:szCs w:val="18"/>
          <w:lang w:val="nl-NL"/>
        </w:rPr>
        <w:t xml:space="preserve">is ondertekend. </w:t>
      </w:r>
    </w:p>
    <w:p w:rsidRPr="00BC6175" w:rsidR="00D25D3E" w:rsidP="00CD077B" w:rsidRDefault="00D25D3E" w14:paraId="2D004C89" w14:textId="77777777">
      <w:pPr>
        <w:ind w:firstLine="0"/>
        <w:rPr>
          <w:rFonts w:ascii="Verdana" w:hAnsi="Verdana" w:cs="Arial"/>
          <w:i/>
          <w:sz w:val="18"/>
          <w:szCs w:val="18"/>
          <w:lang w:val="nl-NL"/>
        </w:rPr>
      </w:pPr>
    </w:p>
    <w:p w:rsidRPr="00BC6175" w:rsidR="00562691" w:rsidP="00CD077B" w:rsidRDefault="00562691" w14:paraId="7F84FFEE" w14:textId="77777777">
      <w:pPr>
        <w:ind w:firstLine="0"/>
        <w:rPr>
          <w:rFonts w:ascii="Verdana" w:hAnsi="Verdana" w:cs="Arial"/>
          <w:i/>
          <w:sz w:val="18"/>
          <w:szCs w:val="18"/>
          <w:lang w:val="nl-NL"/>
        </w:rPr>
      </w:pPr>
      <w:r w:rsidRPr="00BC6175">
        <w:rPr>
          <w:rFonts w:ascii="Verdana" w:hAnsi="Verdana" w:cs="Arial"/>
          <w:i/>
          <w:sz w:val="18"/>
          <w:szCs w:val="18"/>
          <w:lang w:val="nl-NL"/>
        </w:rPr>
        <w:t>I.3. Inhoud van het Verdrag</w:t>
      </w:r>
    </w:p>
    <w:p w:rsidRPr="00916448" w:rsidR="00562691" w:rsidP="00CD077B" w:rsidRDefault="00562691" w14:paraId="2C5B3756" w14:textId="77777777">
      <w:pPr>
        <w:ind w:left="360" w:firstLine="0"/>
        <w:rPr>
          <w:rFonts w:ascii="Verdana" w:hAnsi="Verdana" w:cs="Arial"/>
          <w:i/>
          <w:sz w:val="18"/>
          <w:szCs w:val="18"/>
          <w:lang w:val="nl-NL"/>
        </w:rPr>
      </w:pPr>
    </w:p>
    <w:p w:rsidRPr="00916448" w:rsidR="00562691" w:rsidP="00CD077B" w:rsidRDefault="00562691" w14:paraId="4266AB0B" w14:textId="77777777">
      <w:pPr>
        <w:ind w:firstLine="0"/>
        <w:rPr>
          <w:rFonts w:ascii="Verdana" w:hAnsi="Verdana" w:cs="Arial"/>
          <w:i/>
          <w:sz w:val="18"/>
          <w:szCs w:val="18"/>
          <w:lang w:val="nl-NL"/>
        </w:rPr>
      </w:pPr>
      <w:r w:rsidRPr="00916448">
        <w:rPr>
          <w:rFonts w:ascii="Verdana" w:hAnsi="Verdana" w:cs="Arial"/>
          <w:i/>
          <w:sz w:val="18"/>
          <w:szCs w:val="18"/>
          <w:lang w:val="nl-NL"/>
        </w:rPr>
        <w:t>I.3.1. Algemeen</w:t>
      </w:r>
    </w:p>
    <w:p w:rsidRPr="00916448" w:rsidR="00562691" w:rsidP="00CD077B" w:rsidRDefault="00562691" w14:paraId="77BCA5CD" w14:textId="77777777">
      <w:pPr>
        <w:ind w:firstLine="0"/>
        <w:rPr>
          <w:rFonts w:ascii="Verdana" w:hAnsi="Verdana"/>
          <w:sz w:val="18"/>
          <w:szCs w:val="18"/>
          <w:lang w:val="nl-NL"/>
        </w:rPr>
      </w:pPr>
    </w:p>
    <w:p w:rsidRPr="00556990" w:rsidR="00815C6A" w:rsidP="004827B9" w:rsidRDefault="00ED0B1E" w14:paraId="1B319D64" w14:textId="77777777">
      <w:pPr>
        <w:rPr>
          <w:rFonts w:ascii="Verdana" w:hAnsi="Verdana"/>
          <w:sz w:val="18"/>
          <w:szCs w:val="18"/>
          <w:lang w:val="nl-NL"/>
        </w:rPr>
      </w:pPr>
      <w:r w:rsidRPr="00780A5E">
        <w:rPr>
          <w:rFonts w:ascii="Verdana" w:hAnsi="Verdana"/>
          <w:sz w:val="18"/>
          <w:szCs w:val="18"/>
          <w:lang w:val="nl-NL"/>
        </w:rPr>
        <w:t xml:space="preserve">De Nederlandse inzet </w:t>
      </w:r>
      <w:r w:rsidRPr="00780A5E" w:rsidR="00D82BA6">
        <w:rPr>
          <w:rFonts w:ascii="Verdana" w:hAnsi="Verdana"/>
          <w:sz w:val="18"/>
          <w:szCs w:val="18"/>
          <w:lang w:val="nl-NL"/>
        </w:rPr>
        <w:t xml:space="preserve">bij de onderhandelingen </w:t>
      </w:r>
      <w:r w:rsidRPr="00780A5E">
        <w:rPr>
          <w:rFonts w:ascii="Verdana" w:hAnsi="Verdana"/>
          <w:sz w:val="18"/>
          <w:szCs w:val="18"/>
          <w:lang w:val="nl-NL"/>
        </w:rPr>
        <w:t xml:space="preserve">was gebaseerd op het verdragsbeleid </w:t>
      </w:r>
      <w:r w:rsidRPr="000819E4" w:rsidR="006C1811">
        <w:rPr>
          <w:rFonts w:ascii="Verdana" w:hAnsi="Verdana"/>
          <w:sz w:val="18"/>
          <w:szCs w:val="18"/>
          <w:lang w:val="nl-NL"/>
        </w:rPr>
        <w:t xml:space="preserve">dat is </w:t>
      </w:r>
      <w:r w:rsidRPr="0021450B">
        <w:rPr>
          <w:rFonts w:ascii="Verdana" w:hAnsi="Verdana"/>
          <w:sz w:val="18"/>
          <w:szCs w:val="18"/>
          <w:lang w:val="nl-NL"/>
        </w:rPr>
        <w:t xml:space="preserve">neergelegd in de </w:t>
      </w:r>
      <w:r w:rsidRPr="0021450B" w:rsidR="0006531F">
        <w:rPr>
          <w:rFonts w:ascii="Verdana" w:hAnsi="Verdana"/>
          <w:sz w:val="18"/>
          <w:szCs w:val="18"/>
          <w:lang w:val="nl-NL"/>
        </w:rPr>
        <w:t>Notitie Fiscaal Verdragsbeleid 2011</w:t>
      </w:r>
      <w:r w:rsidRPr="00556990" w:rsidR="0006531F">
        <w:rPr>
          <w:rStyle w:val="Voetnootmarkering"/>
          <w:rFonts w:ascii="Verdana" w:hAnsi="Verdana"/>
          <w:sz w:val="18"/>
          <w:szCs w:val="18"/>
          <w:lang w:val="nl-NL"/>
        </w:rPr>
        <w:footnoteReference w:id="1"/>
      </w:r>
      <w:r w:rsidRPr="00556990" w:rsidR="0006531F">
        <w:rPr>
          <w:rFonts w:ascii="Verdana" w:hAnsi="Verdana"/>
          <w:sz w:val="18"/>
          <w:szCs w:val="18"/>
          <w:lang w:val="nl-NL"/>
        </w:rPr>
        <w:t xml:space="preserve"> (hierna: ‘NFV 2011’)</w:t>
      </w:r>
      <w:r w:rsidRPr="001C6327">
        <w:rPr>
          <w:rFonts w:ascii="Verdana" w:hAnsi="Verdana"/>
          <w:sz w:val="18"/>
          <w:szCs w:val="18"/>
          <w:lang w:val="nl-NL"/>
        </w:rPr>
        <w:t xml:space="preserve">, waarbij voor het instrumentarium </w:t>
      </w:r>
      <w:r w:rsidRPr="00F578EC" w:rsidR="007103E6">
        <w:rPr>
          <w:rFonts w:ascii="Verdana" w:hAnsi="Verdana"/>
          <w:sz w:val="18"/>
          <w:szCs w:val="18"/>
          <w:lang w:val="nl-NL"/>
        </w:rPr>
        <w:t xml:space="preserve">zoveel mogelijk </w:t>
      </w:r>
      <w:r w:rsidRPr="00F578EC">
        <w:rPr>
          <w:rFonts w:ascii="Verdana" w:hAnsi="Verdana"/>
          <w:sz w:val="18"/>
          <w:szCs w:val="18"/>
          <w:lang w:val="nl-NL"/>
        </w:rPr>
        <w:t xml:space="preserve">is aangeknoopt bij de bepalingen van het OESO-modelverdrag </w:t>
      </w:r>
      <w:r w:rsidRPr="00BC6175" w:rsidR="00C05B28">
        <w:rPr>
          <w:rFonts w:ascii="Verdana" w:hAnsi="Verdana"/>
          <w:sz w:val="18"/>
          <w:szCs w:val="18"/>
          <w:lang w:val="nl-NL"/>
        </w:rPr>
        <w:t>zoals dat luidt na de actualisering per</w:t>
      </w:r>
      <w:r w:rsidRPr="00BC6175" w:rsidR="008C113B">
        <w:rPr>
          <w:rFonts w:ascii="Verdana" w:hAnsi="Verdana"/>
          <w:sz w:val="18"/>
          <w:szCs w:val="18"/>
          <w:lang w:val="nl-NL"/>
        </w:rPr>
        <w:t xml:space="preserve"> </w:t>
      </w:r>
      <w:r w:rsidRPr="00BC6175" w:rsidR="00D67D74">
        <w:rPr>
          <w:rFonts w:ascii="Verdana" w:hAnsi="Verdana"/>
          <w:sz w:val="18"/>
          <w:szCs w:val="18"/>
          <w:lang w:val="nl-NL"/>
        </w:rPr>
        <w:t xml:space="preserve">21 november 2017 </w:t>
      </w:r>
      <w:r w:rsidRPr="00CF22A8" w:rsidR="00E869DB">
        <w:rPr>
          <w:rFonts w:ascii="Verdana" w:hAnsi="Verdana"/>
          <w:sz w:val="18"/>
          <w:szCs w:val="18"/>
          <w:lang w:val="nl-NL"/>
        </w:rPr>
        <w:t>(hierna: ‘het OESO-modelverdrag’)</w:t>
      </w:r>
      <w:r w:rsidRPr="00CF22A8" w:rsidR="00776F44">
        <w:rPr>
          <w:rFonts w:ascii="Verdana" w:hAnsi="Verdana"/>
          <w:sz w:val="18"/>
          <w:szCs w:val="18"/>
          <w:lang w:val="nl-NL"/>
        </w:rPr>
        <w:t>.</w:t>
      </w:r>
      <w:r w:rsidRPr="00CC3F01" w:rsidR="00264139">
        <w:rPr>
          <w:rFonts w:ascii="Verdana" w:hAnsi="Verdana"/>
          <w:sz w:val="18"/>
          <w:szCs w:val="18"/>
          <w:lang w:val="nl-NL"/>
        </w:rPr>
        <w:t xml:space="preserve"> </w:t>
      </w:r>
      <w:r w:rsidRPr="00CC3F01" w:rsidR="0006531F">
        <w:rPr>
          <w:rFonts w:ascii="Verdana" w:hAnsi="Verdana"/>
          <w:sz w:val="18"/>
          <w:szCs w:val="18"/>
          <w:lang w:val="nl-NL"/>
        </w:rPr>
        <w:t>In onderdeel I.7</w:t>
      </w:r>
      <w:r w:rsidRPr="00916448" w:rsidR="0006531F">
        <w:rPr>
          <w:rFonts w:ascii="Verdana" w:hAnsi="Verdana"/>
          <w:sz w:val="18"/>
          <w:szCs w:val="18"/>
          <w:lang w:val="nl-NL"/>
        </w:rPr>
        <w:t xml:space="preserve"> van deze toelichtende nota is het Toetsschema Fiscaal Verdragsbeleid 2011 opgenomen.</w:t>
      </w:r>
      <w:r w:rsidRPr="00556990" w:rsidR="0006531F">
        <w:rPr>
          <w:rStyle w:val="Voetnootmarkering"/>
          <w:rFonts w:ascii="Verdana" w:hAnsi="Verdana"/>
          <w:sz w:val="18"/>
          <w:szCs w:val="18"/>
          <w:lang w:val="nl-NL"/>
        </w:rPr>
        <w:footnoteReference w:id="2"/>
      </w:r>
      <w:r w:rsidRPr="00556990" w:rsidR="0006531F">
        <w:rPr>
          <w:rFonts w:ascii="Verdana" w:hAnsi="Verdana"/>
          <w:sz w:val="18"/>
          <w:szCs w:val="18"/>
          <w:lang w:val="nl-NL"/>
        </w:rPr>
        <w:t xml:space="preserve"> </w:t>
      </w:r>
    </w:p>
    <w:p w:rsidRPr="006E5CFF" w:rsidR="008F7097" w:rsidP="001B46DE" w:rsidRDefault="00917BFF" w14:paraId="596FB8CD" w14:textId="77777777">
      <w:pPr>
        <w:rPr>
          <w:rFonts w:ascii="Verdana" w:hAnsi="Verdana"/>
          <w:sz w:val="18"/>
          <w:szCs w:val="18"/>
          <w:lang w:val="nl-NL"/>
        </w:rPr>
      </w:pPr>
      <w:r w:rsidRPr="00F578EC">
        <w:rPr>
          <w:rFonts w:ascii="Verdana" w:hAnsi="Verdana"/>
          <w:sz w:val="18"/>
          <w:szCs w:val="18"/>
          <w:lang w:val="nl-NL"/>
        </w:rPr>
        <w:t xml:space="preserve">De inhoud van het Verdrag is het resultaat van de onderhandelingsinzet van Nederland en Bulgarije. </w:t>
      </w:r>
      <w:r w:rsidRPr="00F578EC" w:rsidR="0038015E">
        <w:rPr>
          <w:rFonts w:ascii="Verdana" w:hAnsi="Verdana"/>
          <w:sz w:val="18"/>
          <w:szCs w:val="18"/>
          <w:lang w:val="nl-NL"/>
        </w:rPr>
        <w:t xml:space="preserve">Een belangrijk punt bij de Nederlandse inzet was het opnemen van een rechtsbasis voor informatie-uitwisseling en invorderingsbijstand </w:t>
      </w:r>
      <w:r w:rsidRPr="006E5CFF">
        <w:rPr>
          <w:rFonts w:ascii="Verdana" w:hAnsi="Verdana"/>
          <w:sz w:val="18"/>
          <w:szCs w:val="18"/>
          <w:lang w:val="nl-NL"/>
        </w:rPr>
        <w:t>die betrekking heeft op</w:t>
      </w:r>
      <w:r w:rsidRPr="006E5CFF" w:rsidR="0038015E">
        <w:rPr>
          <w:rFonts w:ascii="Verdana" w:hAnsi="Verdana"/>
          <w:sz w:val="18"/>
          <w:szCs w:val="18"/>
          <w:lang w:val="nl-NL"/>
        </w:rPr>
        <w:t xml:space="preserve"> alle belastingen en</w:t>
      </w:r>
      <w:r w:rsidR="00246290">
        <w:rPr>
          <w:rFonts w:ascii="Verdana" w:hAnsi="Verdana"/>
          <w:sz w:val="18"/>
          <w:szCs w:val="18"/>
          <w:lang w:val="nl-NL"/>
        </w:rPr>
        <w:t xml:space="preserve"> op</w:t>
      </w:r>
      <w:r w:rsidRPr="006E5CFF" w:rsidR="0038015E">
        <w:rPr>
          <w:rFonts w:ascii="Verdana" w:hAnsi="Verdana"/>
          <w:sz w:val="18"/>
          <w:szCs w:val="18"/>
          <w:lang w:val="nl-NL"/>
        </w:rPr>
        <w:t xml:space="preserve"> toeslagen. </w:t>
      </w:r>
      <w:r w:rsidRPr="00BC6175" w:rsidR="002B44CB">
        <w:rPr>
          <w:rFonts w:ascii="Verdana" w:hAnsi="Verdana"/>
          <w:sz w:val="18"/>
          <w:szCs w:val="18"/>
          <w:lang w:val="nl-NL"/>
        </w:rPr>
        <w:t>D</w:t>
      </w:r>
      <w:r w:rsidRPr="00BC6175" w:rsidR="00264139">
        <w:rPr>
          <w:rFonts w:ascii="Verdana" w:hAnsi="Verdana"/>
          <w:sz w:val="18"/>
          <w:szCs w:val="18"/>
          <w:lang w:val="nl-NL"/>
        </w:rPr>
        <w:t xml:space="preserve">e </w:t>
      </w:r>
      <w:r w:rsidRPr="00BC6175" w:rsidR="002B44CB">
        <w:rPr>
          <w:rFonts w:ascii="Verdana" w:hAnsi="Verdana"/>
          <w:sz w:val="18"/>
          <w:szCs w:val="18"/>
          <w:lang w:val="nl-NL"/>
        </w:rPr>
        <w:t xml:space="preserve">inzet van </w:t>
      </w:r>
      <w:r w:rsidRPr="00CF22A8" w:rsidR="00264139">
        <w:rPr>
          <w:rFonts w:ascii="Verdana" w:hAnsi="Verdana"/>
          <w:sz w:val="18"/>
          <w:szCs w:val="18"/>
          <w:lang w:val="nl-NL"/>
        </w:rPr>
        <w:t xml:space="preserve">Bulgarije </w:t>
      </w:r>
      <w:r w:rsidRPr="00CF22A8" w:rsidR="007E7CEF">
        <w:rPr>
          <w:rFonts w:ascii="Verdana" w:hAnsi="Verdana"/>
          <w:sz w:val="18"/>
          <w:szCs w:val="18"/>
          <w:lang w:val="nl-NL"/>
        </w:rPr>
        <w:t>was vooral gericht</w:t>
      </w:r>
      <w:r w:rsidRPr="00CC3F01" w:rsidR="002D5588">
        <w:rPr>
          <w:rFonts w:ascii="Verdana" w:hAnsi="Verdana"/>
          <w:sz w:val="18"/>
          <w:szCs w:val="18"/>
          <w:lang w:val="nl-NL"/>
        </w:rPr>
        <w:t xml:space="preserve"> </w:t>
      </w:r>
      <w:r w:rsidR="00B05F51">
        <w:rPr>
          <w:rFonts w:ascii="Verdana" w:hAnsi="Verdana"/>
          <w:sz w:val="18"/>
          <w:szCs w:val="18"/>
          <w:lang w:val="nl-NL"/>
        </w:rPr>
        <w:t xml:space="preserve">op </w:t>
      </w:r>
      <w:r w:rsidRPr="00CC3F01" w:rsidR="002B44CB">
        <w:rPr>
          <w:rFonts w:ascii="Verdana" w:hAnsi="Verdana"/>
          <w:sz w:val="18"/>
          <w:szCs w:val="18"/>
          <w:lang w:val="nl-NL"/>
        </w:rPr>
        <w:t xml:space="preserve">een </w:t>
      </w:r>
      <w:r w:rsidRPr="00916448" w:rsidR="00264139">
        <w:rPr>
          <w:rFonts w:ascii="Verdana" w:hAnsi="Verdana"/>
          <w:sz w:val="18"/>
          <w:szCs w:val="18"/>
          <w:lang w:val="nl-NL"/>
        </w:rPr>
        <w:t xml:space="preserve">bronbelasting op interest en royalty’s en </w:t>
      </w:r>
      <w:r w:rsidRPr="00916448" w:rsidR="002B44CB">
        <w:rPr>
          <w:rFonts w:ascii="Verdana" w:hAnsi="Verdana"/>
          <w:sz w:val="18"/>
          <w:szCs w:val="18"/>
          <w:lang w:val="nl-NL"/>
        </w:rPr>
        <w:t>o</w:t>
      </w:r>
      <w:r w:rsidRPr="00916448">
        <w:rPr>
          <w:rFonts w:ascii="Verdana" w:hAnsi="Verdana"/>
          <w:sz w:val="18"/>
          <w:szCs w:val="18"/>
          <w:lang w:val="nl-NL"/>
        </w:rPr>
        <w:t>p</w:t>
      </w:r>
      <w:r w:rsidRPr="00916448" w:rsidR="002B44CB">
        <w:rPr>
          <w:rFonts w:ascii="Verdana" w:hAnsi="Verdana"/>
          <w:sz w:val="18"/>
          <w:szCs w:val="18"/>
          <w:lang w:val="nl-NL"/>
        </w:rPr>
        <w:t xml:space="preserve"> de winst behaald bij de vervreemding van </w:t>
      </w:r>
      <w:r w:rsidRPr="00780A5E" w:rsidR="00264139">
        <w:rPr>
          <w:rFonts w:ascii="Verdana" w:hAnsi="Verdana"/>
          <w:sz w:val="18"/>
          <w:szCs w:val="18"/>
          <w:lang w:val="nl-NL"/>
        </w:rPr>
        <w:t>aandelen in onroerendezaak</w:t>
      </w:r>
      <w:r w:rsidRPr="00780A5E" w:rsidR="002B44CB">
        <w:rPr>
          <w:rFonts w:ascii="Verdana" w:hAnsi="Verdana"/>
          <w:sz w:val="18"/>
          <w:szCs w:val="18"/>
          <w:lang w:val="nl-NL"/>
        </w:rPr>
        <w:t>lichamen.</w:t>
      </w:r>
      <w:r w:rsidRPr="00780A5E">
        <w:rPr>
          <w:rFonts w:ascii="Verdana" w:hAnsi="Verdana"/>
          <w:sz w:val="18"/>
          <w:szCs w:val="18"/>
          <w:lang w:val="nl-NL"/>
        </w:rPr>
        <w:t xml:space="preserve"> </w:t>
      </w:r>
      <w:r w:rsidRPr="000819E4" w:rsidR="006A0E37">
        <w:rPr>
          <w:rFonts w:ascii="Verdana" w:hAnsi="Verdana"/>
          <w:sz w:val="18"/>
          <w:szCs w:val="18"/>
          <w:lang w:val="nl-NL"/>
        </w:rPr>
        <w:t xml:space="preserve">Bij </w:t>
      </w:r>
      <w:r w:rsidRPr="000819E4" w:rsidR="00A2444B">
        <w:rPr>
          <w:rFonts w:ascii="Verdana" w:hAnsi="Verdana"/>
          <w:sz w:val="18"/>
          <w:szCs w:val="18"/>
          <w:lang w:val="nl-NL"/>
        </w:rPr>
        <w:t xml:space="preserve">de </w:t>
      </w:r>
      <w:r w:rsidRPr="000819E4" w:rsidR="00A2444B">
        <w:rPr>
          <w:rFonts w:ascii="Verdana" w:hAnsi="Verdana"/>
          <w:sz w:val="18"/>
          <w:szCs w:val="18"/>
          <w:lang w:val="nl-NL"/>
        </w:rPr>
        <w:lastRenderedPageBreak/>
        <w:t>opname van de BEPS-maatrege</w:t>
      </w:r>
      <w:r w:rsidRPr="000819E4" w:rsidR="006A0E37">
        <w:rPr>
          <w:rFonts w:ascii="Verdana" w:hAnsi="Verdana"/>
          <w:sz w:val="18"/>
          <w:szCs w:val="18"/>
          <w:lang w:val="nl-NL"/>
        </w:rPr>
        <w:t>l</w:t>
      </w:r>
      <w:r w:rsidRPr="0021450B" w:rsidR="00A2444B">
        <w:rPr>
          <w:rFonts w:ascii="Verdana" w:hAnsi="Verdana"/>
          <w:sz w:val="18"/>
          <w:szCs w:val="18"/>
          <w:lang w:val="nl-NL"/>
        </w:rPr>
        <w:t xml:space="preserve">en is aansluiting gezocht bij de keuzes die Nederland heeft gemaakt bij het </w:t>
      </w:r>
      <w:r w:rsidR="006E5CFF">
        <w:rPr>
          <w:rFonts w:ascii="Verdana" w:hAnsi="Verdana"/>
          <w:sz w:val="18"/>
          <w:szCs w:val="18"/>
          <w:lang w:val="nl-NL"/>
        </w:rPr>
        <w:t xml:space="preserve">op 24 november 2016 te Parijs tot stand gekomen </w:t>
      </w:r>
      <w:r w:rsidRPr="006E5CFF" w:rsidR="00A2444B">
        <w:rPr>
          <w:rFonts w:ascii="Verdana" w:hAnsi="Verdana"/>
          <w:sz w:val="18"/>
          <w:szCs w:val="18"/>
          <w:lang w:val="nl-NL"/>
        </w:rPr>
        <w:t>Multilateraal Verdrag ter implementatie van aan belastingverdragen gerelateerde maatregelen ter voorkoming van grondslaguitholling en winstverschuiving (</w:t>
      </w:r>
      <w:r w:rsidRPr="00337338" w:rsidR="006E5CFF">
        <w:rPr>
          <w:rFonts w:ascii="Verdana" w:hAnsi="Verdana"/>
          <w:i/>
          <w:sz w:val="18"/>
          <w:szCs w:val="18"/>
          <w:lang w:val="nl-NL"/>
        </w:rPr>
        <w:t>Trb</w:t>
      </w:r>
      <w:r w:rsidR="006E5CFF">
        <w:rPr>
          <w:rFonts w:ascii="Verdana" w:hAnsi="Verdana"/>
          <w:sz w:val="18"/>
          <w:szCs w:val="18"/>
          <w:lang w:val="nl-NL"/>
        </w:rPr>
        <w:t>. 2017, 86) (</w:t>
      </w:r>
      <w:r w:rsidRPr="006E5CFF" w:rsidR="00A2444B">
        <w:rPr>
          <w:rFonts w:ascii="Verdana" w:hAnsi="Verdana"/>
          <w:sz w:val="18"/>
          <w:szCs w:val="18"/>
          <w:lang w:val="nl-NL"/>
        </w:rPr>
        <w:t xml:space="preserve">hierna: ‘het MLI’). Bulgarije heeft hierbij in de relatie met Nederland meer </w:t>
      </w:r>
      <w:r w:rsidRPr="006E5CFF" w:rsidR="006A0E37">
        <w:rPr>
          <w:rFonts w:ascii="Verdana" w:hAnsi="Verdana"/>
          <w:sz w:val="18"/>
          <w:szCs w:val="18"/>
          <w:lang w:val="nl-NL"/>
        </w:rPr>
        <w:t>BEPS-maatregelen</w:t>
      </w:r>
      <w:r w:rsidRPr="006E5CFF" w:rsidR="00A2444B">
        <w:rPr>
          <w:rFonts w:ascii="Verdana" w:hAnsi="Verdana"/>
          <w:sz w:val="18"/>
          <w:szCs w:val="18"/>
          <w:lang w:val="nl-NL"/>
        </w:rPr>
        <w:t xml:space="preserve"> geaccepteerd dan </w:t>
      </w:r>
      <w:r w:rsidR="00246290">
        <w:rPr>
          <w:rFonts w:ascii="Verdana" w:hAnsi="Verdana"/>
          <w:sz w:val="18"/>
          <w:szCs w:val="18"/>
          <w:lang w:val="nl-NL"/>
        </w:rPr>
        <w:t>voort zou vloeien uit de Bulgaarse positie bij</w:t>
      </w:r>
      <w:r w:rsidRPr="006E5CFF" w:rsidR="006A0E37">
        <w:rPr>
          <w:rFonts w:ascii="Verdana" w:hAnsi="Verdana"/>
          <w:sz w:val="18"/>
          <w:szCs w:val="18"/>
          <w:lang w:val="nl-NL"/>
        </w:rPr>
        <w:t xml:space="preserve"> het MLI</w:t>
      </w:r>
      <w:r w:rsidRPr="006E5CFF" w:rsidR="00A2444B">
        <w:rPr>
          <w:rFonts w:ascii="Verdana" w:hAnsi="Verdana"/>
          <w:sz w:val="18"/>
          <w:szCs w:val="18"/>
          <w:lang w:val="nl-NL"/>
        </w:rPr>
        <w:t xml:space="preserve">. </w:t>
      </w:r>
      <w:r w:rsidRPr="006E5CFF" w:rsidR="008F7097">
        <w:rPr>
          <w:rFonts w:ascii="Verdana" w:hAnsi="Verdana"/>
          <w:sz w:val="18"/>
          <w:szCs w:val="18"/>
          <w:lang w:val="nl-NL"/>
        </w:rPr>
        <w:t xml:space="preserve">De achtergrond van de BEPS-maatregelen is toegelicht in de BEPS-rapporten die zijn gepubliceerd in oktober 2015 en zijn verwerkt in het huidige OESO-modelverdrag en het bijbehorende OESO-commentaar. </w:t>
      </w:r>
      <w:r w:rsidRPr="006E5CFF" w:rsidR="00141DD2">
        <w:rPr>
          <w:rFonts w:ascii="Verdana" w:hAnsi="Verdana"/>
          <w:sz w:val="18"/>
          <w:szCs w:val="18"/>
          <w:lang w:val="nl-NL"/>
        </w:rPr>
        <w:t>In de artikelsgewijze toelichting wordt hier nader op ingegaan.</w:t>
      </w:r>
      <w:r w:rsidRPr="006E5CFF" w:rsidR="00A2444B">
        <w:rPr>
          <w:rFonts w:ascii="Verdana" w:hAnsi="Verdana"/>
          <w:sz w:val="18"/>
          <w:szCs w:val="18"/>
          <w:lang w:val="nl-NL"/>
        </w:rPr>
        <w:t xml:space="preserve"> </w:t>
      </w:r>
    </w:p>
    <w:p w:rsidRPr="00C97FE5" w:rsidR="00E36518" w:rsidP="00337338" w:rsidRDefault="00E36518" w14:paraId="2E118882" w14:textId="77777777">
      <w:pPr>
        <w:ind w:firstLine="708"/>
        <w:rPr>
          <w:rFonts w:ascii="Verdana" w:hAnsi="Verdana"/>
          <w:sz w:val="18"/>
          <w:szCs w:val="18"/>
          <w:lang w:val="nl-NL"/>
        </w:rPr>
      </w:pPr>
      <w:r w:rsidRPr="00C97FE5">
        <w:rPr>
          <w:rFonts w:ascii="Verdana" w:hAnsi="Verdana"/>
          <w:sz w:val="18"/>
          <w:szCs w:val="18"/>
          <w:lang w:val="nl-NL"/>
        </w:rPr>
        <w:t xml:space="preserve">De belangrijkste </w:t>
      </w:r>
      <w:r w:rsidRPr="00C97FE5" w:rsidR="003E02A2">
        <w:rPr>
          <w:rFonts w:ascii="Verdana" w:hAnsi="Verdana"/>
          <w:sz w:val="18"/>
          <w:szCs w:val="18"/>
          <w:lang w:val="nl-NL"/>
        </w:rPr>
        <w:t xml:space="preserve">inhoudelijke </w:t>
      </w:r>
      <w:r w:rsidRPr="00C97FE5">
        <w:rPr>
          <w:rFonts w:ascii="Verdana" w:hAnsi="Verdana"/>
          <w:sz w:val="18"/>
          <w:szCs w:val="18"/>
          <w:lang w:val="nl-NL"/>
        </w:rPr>
        <w:t xml:space="preserve">verschillen tussen het Verdrag </w:t>
      </w:r>
      <w:r w:rsidRPr="00C97FE5" w:rsidR="00D720A1">
        <w:rPr>
          <w:rFonts w:ascii="Verdana" w:hAnsi="Verdana"/>
          <w:sz w:val="18"/>
          <w:szCs w:val="18"/>
          <w:lang w:val="nl-NL"/>
        </w:rPr>
        <w:t xml:space="preserve">van </w:t>
      </w:r>
      <w:r w:rsidRPr="00C97FE5">
        <w:rPr>
          <w:rFonts w:ascii="Verdana" w:hAnsi="Verdana"/>
          <w:sz w:val="18"/>
          <w:szCs w:val="18"/>
          <w:lang w:val="nl-NL"/>
        </w:rPr>
        <w:t xml:space="preserve">1990 en het Verdrag zijn: </w:t>
      </w:r>
    </w:p>
    <w:p w:rsidRPr="00B05F51" w:rsidR="00141DD2" w:rsidP="00B05F51" w:rsidRDefault="00246290" w14:paraId="71AEBC9D" w14:textId="77777777">
      <w:pPr>
        <w:pStyle w:val="Lijstalinea"/>
        <w:numPr>
          <w:ilvl w:val="0"/>
          <w:numId w:val="38"/>
        </w:numPr>
        <w:spacing w:line="360" w:lineRule="auto"/>
        <w:rPr>
          <w:rFonts w:ascii="Verdana" w:hAnsi="Verdana"/>
          <w:sz w:val="18"/>
          <w:szCs w:val="18"/>
        </w:rPr>
      </w:pPr>
      <w:r>
        <w:rPr>
          <w:rFonts w:ascii="Verdana" w:hAnsi="Verdana"/>
          <w:sz w:val="18"/>
          <w:szCs w:val="18"/>
        </w:rPr>
        <w:t>Titel en preambule: h</w:t>
      </w:r>
      <w:r w:rsidRPr="00BC6175" w:rsidR="008D46B5">
        <w:rPr>
          <w:rFonts w:ascii="Verdana" w:hAnsi="Verdana"/>
          <w:sz w:val="18"/>
          <w:szCs w:val="18"/>
        </w:rPr>
        <w:t xml:space="preserve">ierin </w:t>
      </w:r>
      <w:r w:rsidRPr="00BC6175" w:rsidR="00141DD2">
        <w:rPr>
          <w:rFonts w:ascii="Verdana" w:hAnsi="Verdana"/>
          <w:sz w:val="18"/>
          <w:szCs w:val="18"/>
        </w:rPr>
        <w:t xml:space="preserve">is tot uitdrukking gebracht dat het Verdrag niet bedoeld is om </w:t>
      </w:r>
      <w:r w:rsidRPr="00916448" w:rsidR="00DC2EDC">
        <w:rPr>
          <w:rFonts w:ascii="Verdana" w:hAnsi="Verdana"/>
          <w:sz w:val="18"/>
          <w:szCs w:val="18"/>
        </w:rPr>
        <w:t xml:space="preserve">mogelijkheden </w:t>
      </w:r>
      <w:r w:rsidRPr="00916448" w:rsidR="00141DD2">
        <w:rPr>
          <w:rFonts w:ascii="Verdana" w:hAnsi="Verdana"/>
          <w:sz w:val="18"/>
          <w:szCs w:val="18"/>
        </w:rPr>
        <w:t xml:space="preserve">te </w:t>
      </w:r>
      <w:r w:rsidRPr="00916448" w:rsidR="00DC2EDC">
        <w:rPr>
          <w:rFonts w:ascii="Verdana" w:hAnsi="Verdana"/>
          <w:sz w:val="18"/>
          <w:szCs w:val="18"/>
        </w:rPr>
        <w:t xml:space="preserve">creëren voor </w:t>
      </w:r>
      <w:r w:rsidRPr="00916448" w:rsidR="00141DD2">
        <w:rPr>
          <w:rFonts w:ascii="Verdana" w:hAnsi="Verdana"/>
          <w:sz w:val="18"/>
          <w:szCs w:val="18"/>
        </w:rPr>
        <w:t>belastingontduiking of belastingon</w:t>
      </w:r>
      <w:r w:rsidRPr="00780A5E" w:rsidR="00141DD2">
        <w:rPr>
          <w:rFonts w:ascii="Verdana" w:hAnsi="Verdana"/>
          <w:sz w:val="18"/>
          <w:szCs w:val="18"/>
        </w:rPr>
        <w:t>twijking</w:t>
      </w:r>
      <w:r w:rsidRPr="00780A5E" w:rsidR="00185B87">
        <w:rPr>
          <w:rFonts w:ascii="Verdana" w:hAnsi="Verdana"/>
          <w:sz w:val="18"/>
          <w:szCs w:val="18"/>
        </w:rPr>
        <w:t xml:space="preserve"> (conform </w:t>
      </w:r>
      <w:r w:rsidRPr="00780A5E" w:rsidR="00DC2EDC">
        <w:rPr>
          <w:rFonts w:ascii="Verdana" w:hAnsi="Verdana"/>
          <w:sz w:val="18"/>
          <w:szCs w:val="18"/>
        </w:rPr>
        <w:t xml:space="preserve">de minimumstandaard van </w:t>
      </w:r>
      <w:r w:rsidRPr="000819E4" w:rsidR="00185B87">
        <w:rPr>
          <w:rFonts w:ascii="Verdana" w:hAnsi="Verdana"/>
          <w:sz w:val="18"/>
          <w:szCs w:val="18"/>
        </w:rPr>
        <w:t xml:space="preserve">BEPS-actie 6 en </w:t>
      </w:r>
      <w:r w:rsidRPr="000819E4" w:rsidR="008D46B5">
        <w:rPr>
          <w:rFonts w:ascii="Verdana" w:hAnsi="Verdana"/>
          <w:sz w:val="18"/>
          <w:szCs w:val="18"/>
        </w:rPr>
        <w:t xml:space="preserve">het </w:t>
      </w:r>
      <w:r w:rsidRPr="000819E4" w:rsidR="00185B87">
        <w:rPr>
          <w:rFonts w:ascii="Verdana" w:hAnsi="Verdana"/>
          <w:sz w:val="18"/>
          <w:szCs w:val="18"/>
        </w:rPr>
        <w:t>OESO-modelverdrag)</w:t>
      </w:r>
      <w:r w:rsidRPr="0021450B" w:rsidR="00EC5153">
        <w:rPr>
          <w:rFonts w:ascii="Verdana" w:hAnsi="Verdana"/>
          <w:sz w:val="18"/>
          <w:szCs w:val="18"/>
        </w:rPr>
        <w:t>.</w:t>
      </w:r>
      <w:r w:rsidR="00B05F51">
        <w:rPr>
          <w:rFonts w:ascii="Verdana" w:hAnsi="Verdana"/>
          <w:sz w:val="18"/>
          <w:szCs w:val="18"/>
        </w:rPr>
        <w:t xml:space="preserve"> </w:t>
      </w:r>
    </w:p>
    <w:p w:rsidRPr="0021450B" w:rsidR="00C43814" w:rsidP="009E6B87" w:rsidRDefault="008D46B5" w14:paraId="5786C79F" w14:textId="77777777">
      <w:pPr>
        <w:pStyle w:val="Lijstalinea"/>
        <w:numPr>
          <w:ilvl w:val="0"/>
          <w:numId w:val="38"/>
        </w:numPr>
        <w:spacing w:line="360" w:lineRule="auto"/>
        <w:rPr>
          <w:rFonts w:ascii="Verdana" w:hAnsi="Verdana"/>
          <w:sz w:val="18"/>
          <w:szCs w:val="18"/>
        </w:rPr>
      </w:pPr>
      <w:r w:rsidRPr="00DD3563">
        <w:rPr>
          <w:rFonts w:ascii="Verdana" w:hAnsi="Verdana"/>
          <w:sz w:val="18"/>
          <w:szCs w:val="18"/>
        </w:rPr>
        <w:t xml:space="preserve">Hybride entiteiten: </w:t>
      </w:r>
      <w:r w:rsidRPr="00BD4E1D" w:rsidR="009E6B87">
        <w:rPr>
          <w:rFonts w:ascii="Verdana" w:hAnsi="Verdana"/>
          <w:sz w:val="18"/>
          <w:szCs w:val="18"/>
        </w:rPr>
        <w:t>de verdragstoepassing bij hybride entiteiten is expliciet geregeld om zowel dubbele belast</w:t>
      </w:r>
      <w:r w:rsidRPr="00E01754" w:rsidR="009E6B87">
        <w:rPr>
          <w:rFonts w:ascii="Verdana" w:hAnsi="Verdana"/>
          <w:sz w:val="18"/>
          <w:szCs w:val="18"/>
        </w:rPr>
        <w:t xml:space="preserve">ing als dubbele niet-belasting te voorkomen in situaties waarbij inkomen uit de andere </w:t>
      </w:r>
      <w:r w:rsidR="0021450B">
        <w:rPr>
          <w:rFonts w:ascii="Verdana" w:hAnsi="Verdana"/>
          <w:sz w:val="18"/>
          <w:szCs w:val="18"/>
        </w:rPr>
        <w:t>verdragsluitende staat</w:t>
      </w:r>
      <w:r w:rsidRPr="0021450B" w:rsidR="009E6B87">
        <w:rPr>
          <w:rFonts w:ascii="Verdana" w:hAnsi="Verdana"/>
          <w:sz w:val="18"/>
          <w:szCs w:val="18"/>
        </w:rPr>
        <w:t xml:space="preserve"> wordt genoten door of door tussenkomst van transparante entiteiten </w:t>
      </w:r>
      <w:r w:rsidRPr="0021450B" w:rsidR="00185B87">
        <w:rPr>
          <w:rFonts w:ascii="Verdana" w:hAnsi="Verdana"/>
          <w:sz w:val="18"/>
          <w:szCs w:val="18"/>
        </w:rPr>
        <w:t xml:space="preserve">(conform BEPS-actie 2 en </w:t>
      </w:r>
      <w:r w:rsidRPr="0021450B">
        <w:rPr>
          <w:rFonts w:ascii="Verdana" w:hAnsi="Verdana"/>
          <w:sz w:val="18"/>
          <w:szCs w:val="18"/>
        </w:rPr>
        <w:t xml:space="preserve">het </w:t>
      </w:r>
      <w:r w:rsidRPr="0021450B" w:rsidR="00185B87">
        <w:rPr>
          <w:rFonts w:ascii="Verdana" w:hAnsi="Verdana"/>
          <w:sz w:val="18"/>
          <w:szCs w:val="18"/>
        </w:rPr>
        <w:t>OESO-modelverdrag)</w:t>
      </w:r>
      <w:r w:rsidRPr="0021450B" w:rsidR="00EC5153">
        <w:rPr>
          <w:rFonts w:ascii="Verdana" w:hAnsi="Verdana"/>
          <w:sz w:val="18"/>
          <w:szCs w:val="18"/>
        </w:rPr>
        <w:t>.</w:t>
      </w:r>
    </w:p>
    <w:p w:rsidRPr="0021450B" w:rsidR="003E02A2" w:rsidP="009E6B87" w:rsidRDefault="008D46B5" w14:paraId="68A510E0" w14:textId="77777777">
      <w:pPr>
        <w:pStyle w:val="Lijstalinea"/>
        <w:numPr>
          <w:ilvl w:val="0"/>
          <w:numId w:val="38"/>
        </w:numPr>
        <w:spacing w:line="360" w:lineRule="auto"/>
        <w:rPr>
          <w:rFonts w:ascii="Verdana" w:hAnsi="Verdana"/>
          <w:sz w:val="18"/>
          <w:szCs w:val="18"/>
        </w:rPr>
      </w:pPr>
      <w:r w:rsidRPr="0021450B">
        <w:rPr>
          <w:rFonts w:ascii="Verdana" w:hAnsi="Verdana"/>
          <w:sz w:val="18"/>
          <w:szCs w:val="18"/>
        </w:rPr>
        <w:t>I</w:t>
      </w:r>
      <w:r w:rsidRPr="0021450B" w:rsidR="00336EE8">
        <w:rPr>
          <w:rFonts w:ascii="Verdana" w:hAnsi="Verdana"/>
          <w:sz w:val="18"/>
          <w:szCs w:val="18"/>
        </w:rPr>
        <w:t>nwoner</w:t>
      </w:r>
      <w:r w:rsidRPr="0021450B" w:rsidR="00945431">
        <w:rPr>
          <w:rFonts w:ascii="Verdana" w:hAnsi="Verdana"/>
          <w:sz w:val="18"/>
          <w:szCs w:val="18"/>
        </w:rPr>
        <w:t>s</w:t>
      </w:r>
      <w:r w:rsidRPr="0021450B" w:rsidR="00336EE8">
        <w:rPr>
          <w:rFonts w:ascii="Verdana" w:hAnsi="Verdana"/>
          <w:sz w:val="18"/>
          <w:szCs w:val="18"/>
        </w:rPr>
        <w:t xml:space="preserve">: </w:t>
      </w:r>
      <w:r w:rsidRPr="0021450B" w:rsidR="00945431">
        <w:rPr>
          <w:rFonts w:ascii="Verdana" w:hAnsi="Verdana"/>
          <w:sz w:val="18"/>
          <w:szCs w:val="18"/>
        </w:rPr>
        <w:t>b</w:t>
      </w:r>
      <w:r w:rsidRPr="0021450B" w:rsidR="00336EE8">
        <w:rPr>
          <w:rFonts w:ascii="Verdana" w:hAnsi="Verdana"/>
          <w:sz w:val="18"/>
          <w:szCs w:val="18"/>
        </w:rPr>
        <w:t xml:space="preserve">ij </w:t>
      </w:r>
      <w:r w:rsidRPr="0021450B" w:rsidR="009E6B87">
        <w:rPr>
          <w:rFonts w:ascii="Verdana" w:hAnsi="Verdana"/>
          <w:sz w:val="18"/>
          <w:szCs w:val="18"/>
        </w:rPr>
        <w:t xml:space="preserve">entiteiten </w:t>
      </w:r>
      <w:r w:rsidRPr="0021450B" w:rsidR="00C24AD0">
        <w:rPr>
          <w:rFonts w:ascii="Verdana" w:hAnsi="Verdana"/>
          <w:sz w:val="18"/>
          <w:szCs w:val="18"/>
        </w:rPr>
        <w:t>met een dubbele woonplaats</w:t>
      </w:r>
      <w:r w:rsidRPr="0021450B" w:rsidR="00336EE8">
        <w:rPr>
          <w:rFonts w:ascii="Verdana" w:hAnsi="Verdana"/>
          <w:sz w:val="18"/>
          <w:szCs w:val="18"/>
        </w:rPr>
        <w:t xml:space="preserve"> wordt de </w:t>
      </w:r>
      <w:r w:rsidRPr="0021450B" w:rsidR="00BB5B52">
        <w:rPr>
          <w:rFonts w:ascii="Verdana" w:hAnsi="Verdana"/>
          <w:sz w:val="18"/>
          <w:szCs w:val="18"/>
        </w:rPr>
        <w:t>verdragswoonplaats</w:t>
      </w:r>
      <w:r w:rsidRPr="0021450B" w:rsidR="00336EE8">
        <w:rPr>
          <w:rFonts w:ascii="Verdana" w:hAnsi="Verdana"/>
          <w:sz w:val="18"/>
          <w:szCs w:val="18"/>
        </w:rPr>
        <w:t xml:space="preserve"> in onderling overleg bepaald</w:t>
      </w:r>
      <w:r w:rsidRPr="0021450B" w:rsidR="00185B87">
        <w:rPr>
          <w:rFonts w:ascii="Verdana" w:hAnsi="Verdana"/>
          <w:sz w:val="18"/>
          <w:szCs w:val="18"/>
        </w:rPr>
        <w:t xml:space="preserve"> (conform BEPS-actie</w:t>
      </w:r>
      <w:r w:rsidR="00274587">
        <w:rPr>
          <w:rFonts w:ascii="Verdana" w:hAnsi="Verdana"/>
          <w:sz w:val="18"/>
          <w:szCs w:val="18"/>
        </w:rPr>
        <w:t>s</w:t>
      </w:r>
      <w:r w:rsidRPr="0021450B" w:rsidR="00185B87">
        <w:rPr>
          <w:rFonts w:ascii="Verdana" w:hAnsi="Verdana"/>
          <w:sz w:val="18"/>
          <w:szCs w:val="18"/>
        </w:rPr>
        <w:t xml:space="preserve"> 2</w:t>
      </w:r>
      <w:r w:rsidR="005720D8">
        <w:rPr>
          <w:rFonts w:ascii="Verdana" w:hAnsi="Verdana"/>
          <w:sz w:val="18"/>
          <w:szCs w:val="18"/>
        </w:rPr>
        <w:t xml:space="preserve"> en 6</w:t>
      </w:r>
      <w:r w:rsidRPr="0021450B" w:rsidR="00185B87">
        <w:rPr>
          <w:rFonts w:ascii="Verdana" w:hAnsi="Verdana"/>
          <w:sz w:val="18"/>
          <w:szCs w:val="18"/>
        </w:rPr>
        <w:t xml:space="preserve"> en </w:t>
      </w:r>
      <w:r w:rsidRPr="0021450B" w:rsidR="007E7CEF">
        <w:rPr>
          <w:rFonts w:ascii="Verdana" w:hAnsi="Verdana"/>
          <w:sz w:val="18"/>
          <w:szCs w:val="18"/>
        </w:rPr>
        <w:t xml:space="preserve">het </w:t>
      </w:r>
      <w:r w:rsidRPr="0021450B" w:rsidR="00185B87">
        <w:rPr>
          <w:rFonts w:ascii="Verdana" w:hAnsi="Verdana"/>
          <w:sz w:val="18"/>
          <w:szCs w:val="18"/>
        </w:rPr>
        <w:t>OESO-modelverdrag)</w:t>
      </w:r>
      <w:r w:rsidRPr="0021450B" w:rsidR="00EC5153">
        <w:rPr>
          <w:rFonts w:ascii="Verdana" w:hAnsi="Verdana"/>
          <w:sz w:val="18"/>
          <w:szCs w:val="18"/>
        </w:rPr>
        <w:t>.</w:t>
      </w:r>
    </w:p>
    <w:p w:rsidRPr="00CB07AC" w:rsidR="003E02A2" w:rsidP="003E02A2" w:rsidRDefault="00CB07AC" w14:paraId="1F8553B8" w14:textId="77777777">
      <w:pPr>
        <w:pStyle w:val="Lijstalinea"/>
        <w:numPr>
          <w:ilvl w:val="0"/>
          <w:numId w:val="38"/>
        </w:numPr>
        <w:spacing w:line="360" w:lineRule="auto"/>
        <w:rPr>
          <w:rFonts w:ascii="Verdana" w:hAnsi="Verdana"/>
          <w:sz w:val="18"/>
          <w:szCs w:val="18"/>
        </w:rPr>
      </w:pPr>
      <w:r>
        <w:rPr>
          <w:rFonts w:ascii="Verdana" w:hAnsi="Verdana"/>
          <w:sz w:val="18"/>
          <w:szCs w:val="18"/>
        </w:rPr>
        <w:t>Caribisch Nederland</w:t>
      </w:r>
      <w:r w:rsidRPr="00CB07AC" w:rsidR="008D46B5">
        <w:rPr>
          <w:rFonts w:ascii="Verdana" w:hAnsi="Verdana"/>
          <w:sz w:val="18"/>
          <w:szCs w:val="18"/>
        </w:rPr>
        <w:t>:</w:t>
      </w:r>
      <w:r w:rsidRPr="00CB07AC" w:rsidR="003E02A2">
        <w:rPr>
          <w:rFonts w:ascii="Verdana" w:hAnsi="Verdana"/>
          <w:sz w:val="18"/>
          <w:szCs w:val="18"/>
        </w:rPr>
        <w:t xml:space="preserve"> het Verdrag ziet ook op natuurlijke personen die inwoner zijn van </w:t>
      </w:r>
      <w:r w:rsidR="00246290">
        <w:rPr>
          <w:rFonts w:ascii="Verdana" w:hAnsi="Verdana"/>
          <w:sz w:val="18"/>
          <w:szCs w:val="18"/>
        </w:rPr>
        <w:t>Bonaire, Sint Eustatius en Saba.</w:t>
      </w:r>
    </w:p>
    <w:p w:rsidRPr="0021450B" w:rsidR="00185B87" w:rsidP="001C0809" w:rsidRDefault="008D46B5" w14:paraId="58E9745D" w14:textId="77777777">
      <w:pPr>
        <w:pStyle w:val="Lijstalinea"/>
        <w:numPr>
          <w:ilvl w:val="0"/>
          <w:numId w:val="38"/>
        </w:numPr>
        <w:spacing w:line="360" w:lineRule="auto"/>
        <w:rPr>
          <w:rFonts w:ascii="Verdana" w:hAnsi="Verdana"/>
          <w:sz w:val="18"/>
          <w:szCs w:val="18"/>
        </w:rPr>
      </w:pPr>
      <w:r w:rsidRPr="00F578EC">
        <w:rPr>
          <w:rFonts w:ascii="Verdana" w:hAnsi="Verdana"/>
          <w:sz w:val="18"/>
          <w:szCs w:val="18"/>
        </w:rPr>
        <w:t>V</w:t>
      </w:r>
      <w:r w:rsidRPr="00F578EC" w:rsidR="00185B87">
        <w:rPr>
          <w:rFonts w:ascii="Verdana" w:hAnsi="Verdana"/>
          <w:sz w:val="18"/>
          <w:szCs w:val="18"/>
        </w:rPr>
        <w:t xml:space="preserve">aste inrichting: </w:t>
      </w:r>
      <w:r w:rsidRPr="00F578EC" w:rsidR="00F36432">
        <w:rPr>
          <w:rFonts w:ascii="Verdana" w:hAnsi="Verdana"/>
          <w:sz w:val="18"/>
          <w:szCs w:val="18"/>
        </w:rPr>
        <w:t>de aanwezigheid van een vaste inrichting wordt alleen uitgezonderd voor specifieke activiteiten met een ondersteunend of voorbereidend karakter (conform BEPS-actie 7 en het OESO-modelverdrag). Ook is een bepaling opgenomen om te voorkomen dat activiteiten tussen nauw verbonden personen</w:t>
      </w:r>
      <w:r w:rsidRPr="00BC6175" w:rsidR="007E7CEF">
        <w:rPr>
          <w:rFonts w:ascii="Verdana" w:hAnsi="Verdana"/>
          <w:sz w:val="18"/>
          <w:szCs w:val="18"/>
        </w:rPr>
        <w:t xml:space="preserve"> en ondernemingen</w:t>
      </w:r>
      <w:r w:rsidRPr="00BC6175" w:rsidR="00F36432">
        <w:rPr>
          <w:rFonts w:ascii="Verdana" w:hAnsi="Verdana"/>
          <w:sz w:val="18"/>
          <w:szCs w:val="18"/>
        </w:rPr>
        <w:t xml:space="preserve"> worden gefragmenteerd om daarmee in aanmerking te komen voor de uitzonderingen voor activiteiten met een ondersteunend of voorbereidend karakter (antifragmentatieregel)</w:t>
      </w:r>
      <w:r w:rsidR="00BA48A1">
        <w:rPr>
          <w:rFonts w:ascii="Verdana" w:hAnsi="Verdana"/>
          <w:sz w:val="18"/>
          <w:szCs w:val="18"/>
        </w:rPr>
        <w:t xml:space="preserve"> </w:t>
      </w:r>
      <w:r w:rsidRPr="00916448" w:rsidR="00185B87">
        <w:rPr>
          <w:rFonts w:ascii="Verdana" w:hAnsi="Verdana"/>
          <w:sz w:val="18"/>
          <w:szCs w:val="18"/>
        </w:rPr>
        <w:t>(conform BEPS-actie 7 en het OESO-modelverdrag)</w:t>
      </w:r>
      <w:r w:rsidRPr="00916448" w:rsidR="00F36432">
        <w:rPr>
          <w:rFonts w:ascii="Verdana" w:hAnsi="Verdana"/>
          <w:sz w:val="18"/>
          <w:szCs w:val="18"/>
        </w:rPr>
        <w:t>. Verder is het</w:t>
      </w:r>
      <w:r w:rsidRPr="00780A5E" w:rsidR="00F36432">
        <w:rPr>
          <w:rFonts w:ascii="Verdana" w:hAnsi="Verdana"/>
          <w:sz w:val="18"/>
          <w:szCs w:val="18"/>
        </w:rPr>
        <w:t xml:space="preserve"> </w:t>
      </w:r>
      <w:r w:rsidR="00C53A7B">
        <w:rPr>
          <w:rFonts w:ascii="Verdana" w:hAnsi="Verdana"/>
          <w:sz w:val="18"/>
          <w:szCs w:val="18"/>
        </w:rPr>
        <w:t>vaste-</w:t>
      </w:r>
      <w:r w:rsidRPr="00780A5E" w:rsidR="00185B87">
        <w:rPr>
          <w:rFonts w:ascii="Verdana" w:hAnsi="Verdana"/>
          <w:sz w:val="18"/>
          <w:szCs w:val="18"/>
        </w:rPr>
        <w:t>inrichting</w:t>
      </w:r>
      <w:r w:rsidRPr="00780A5E" w:rsidR="00F36432">
        <w:rPr>
          <w:rFonts w:ascii="Verdana" w:hAnsi="Verdana"/>
          <w:sz w:val="18"/>
          <w:szCs w:val="18"/>
        </w:rPr>
        <w:t>sbegrip</w:t>
      </w:r>
      <w:r w:rsidR="00C53A7B">
        <w:rPr>
          <w:rFonts w:ascii="Verdana" w:hAnsi="Verdana"/>
          <w:sz w:val="18"/>
          <w:szCs w:val="18"/>
        </w:rPr>
        <w:t xml:space="preserve"> uitgebreid naar werkzaamheden buitengaat</w:t>
      </w:r>
      <w:r w:rsidR="00274587">
        <w:rPr>
          <w:rFonts w:ascii="Verdana" w:hAnsi="Verdana"/>
          <w:sz w:val="18"/>
          <w:szCs w:val="18"/>
        </w:rPr>
        <w:t>s</w:t>
      </w:r>
      <w:r w:rsidR="00C53A7B">
        <w:rPr>
          <w:rFonts w:ascii="Verdana" w:hAnsi="Verdana"/>
          <w:sz w:val="18"/>
          <w:szCs w:val="18"/>
        </w:rPr>
        <w:t xml:space="preserve">. </w:t>
      </w:r>
      <w:r w:rsidRPr="00780A5E" w:rsidR="00F36432">
        <w:rPr>
          <w:rFonts w:ascii="Verdana" w:hAnsi="Verdana"/>
          <w:sz w:val="18"/>
          <w:szCs w:val="18"/>
        </w:rPr>
        <w:t xml:space="preserve">Tot slot </w:t>
      </w:r>
      <w:r w:rsidRPr="000819E4" w:rsidR="00185B87">
        <w:rPr>
          <w:rFonts w:ascii="Verdana" w:hAnsi="Verdana"/>
          <w:sz w:val="18"/>
          <w:szCs w:val="18"/>
        </w:rPr>
        <w:t>is gedefinieerd wat onder ‘nauw met een onderneming verbonden persoon’ wordt versta</w:t>
      </w:r>
      <w:r w:rsidRPr="0021450B" w:rsidR="00F36432">
        <w:rPr>
          <w:rFonts w:ascii="Verdana" w:hAnsi="Verdana"/>
          <w:sz w:val="18"/>
          <w:szCs w:val="18"/>
        </w:rPr>
        <w:t>an</w:t>
      </w:r>
      <w:r w:rsidRPr="0021450B" w:rsidR="007E7CEF">
        <w:rPr>
          <w:rFonts w:ascii="Verdana" w:hAnsi="Verdana"/>
          <w:sz w:val="18"/>
          <w:szCs w:val="18"/>
        </w:rPr>
        <w:t xml:space="preserve">. </w:t>
      </w:r>
    </w:p>
    <w:p w:rsidRPr="0021450B" w:rsidR="004827B9" w:rsidP="004827B9" w:rsidRDefault="00F36432" w14:paraId="0F21E84F" w14:textId="77777777">
      <w:pPr>
        <w:pStyle w:val="Lijstalinea"/>
        <w:numPr>
          <w:ilvl w:val="0"/>
          <w:numId w:val="38"/>
        </w:numPr>
        <w:spacing w:line="360" w:lineRule="auto"/>
        <w:rPr>
          <w:rFonts w:ascii="Verdana" w:hAnsi="Verdana"/>
          <w:sz w:val="18"/>
          <w:szCs w:val="18"/>
        </w:rPr>
      </w:pPr>
      <w:r w:rsidRPr="00916448">
        <w:rPr>
          <w:rFonts w:ascii="Verdana" w:hAnsi="Verdana"/>
          <w:sz w:val="18"/>
          <w:szCs w:val="18"/>
        </w:rPr>
        <w:t>D</w:t>
      </w:r>
      <w:r w:rsidRPr="00780A5E" w:rsidR="00E36518">
        <w:rPr>
          <w:rFonts w:ascii="Verdana" w:hAnsi="Verdana"/>
          <w:sz w:val="18"/>
          <w:szCs w:val="18"/>
        </w:rPr>
        <w:t>ividenden:</w:t>
      </w:r>
      <w:r w:rsidRPr="00780A5E" w:rsidR="00DC29AE">
        <w:rPr>
          <w:rFonts w:ascii="Verdana" w:hAnsi="Verdana"/>
          <w:sz w:val="18"/>
          <w:szCs w:val="18"/>
        </w:rPr>
        <w:t xml:space="preserve"> </w:t>
      </w:r>
      <w:r w:rsidR="00246290">
        <w:rPr>
          <w:rFonts w:ascii="Verdana" w:hAnsi="Verdana"/>
          <w:sz w:val="18"/>
          <w:szCs w:val="18"/>
        </w:rPr>
        <w:t>v</w:t>
      </w:r>
      <w:r w:rsidRPr="000819E4" w:rsidR="00E36518">
        <w:rPr>
          <w:rFonts w:ascii="Verdana" w:hAnsi="Verdana"/>
          <w:sz w:val="18"/>
          <w:szCs w:val="18"/>
        </w:rPr>
        <w:t xml:space="preserve">oor </w:t>
      </w:r>
      <w:r w:rsidRPr="000819E4" w:rsidR="00BB5B52">
        <w:rPr>
          <w:rFonts w:ascii="Verdana" w:hAnsi="Verdana"/>
          <w:sz w:val="18"/>
          <w:szCs w:val="18"/>
        </w:rPr>
        <w:t>deelnemingsdividenden</w:t>
      </w:r>
      <w:r w:rsidRPr="000819E4">
        <w:rPr>
          <w:rFonts w:ascii="Verdana" w:hAnsi="Verdana"/>
          <w:sz w:val="18"/>
          <w:szCs w:val="18"/>
        </w:rPr>
        <w:t xml:space="preserve"> is een uitsluitende woonstaatheffing afgesproken</w:t>
      </w:r>
      <w:r w:rsidRPr="0021450B" w:rsidR="00DC29AE">
        <w:rPr>
          <w:rFonts w:ascii="Verdana" w:hAnsi="Verdana"/>
          <w:sz w:val="18"/>
          <w:szCs w:val="18"/>
        </w:rPr>
        <w:t xml:space="preserve">, mits het hiervoor vereiste aandelenbelang </w:t>
      </w:r>
      <w:r w:rsidRPr="0021450B" w:rsidR="00BD3227">
        <w:rPr>
          <w:rFonts w:ascii="Verdana" w:hAnsi="Verdana"/>
          <w:sz w:val="18"/>
          <w:szCs w:val="18"/>
        </w:rPr>
        <w:t>365 dagen</w:t>
      </w:r>
      <w:r w:rsidRPr="0021450B" w:rsidR="00DC29AE">
        <w:rPr>
          <w:rFonts w:ascii="Verdana" w:hAnsi="Verdana"/>
          <w:sz w:val="18"/>
          <w:szCs w:val="18"/>
        </w:rPr>
        <w:t xml:space="preserve"> wordt gehouden (conform BEPS-actie 6 en het OESO-modelverdrag). Ook geldt een uitsluitende woonstaatheffing</w:t>
      </w:r>
      <w:r w:rsidRPr="0021450B" w:rsidR="00BB5B52">
        <w:rPr>
          <w:rFonts w:ascii="Verdana" w:hAnsi="Verdana"/>
          <w:sz w:val="18"/>
          <w:szCs w:val="18"/>
        </w:rPr>
        <w:t xml:space="preserve"> voor </w:t>
      </w:r>
      <w:r w:rsidRPr="0021450B" w:rsidR="00E36518">
        <w:rPr>
          <w:rFonts w:ascii="Verdana" w:hAnsi="Verdana"/>
          <w:sz w:val="18"/>
          <w:szCs w:val="18"/>
        </w:rPr>
        <w:t>dividenden ontvangen door pensioenfondsen</w:t>
      </w:r>
      <w:r w:rsidRPr="0021450B" w:rsidR="002B44CB">
        <w:rPr>
          <w:rFonts w:ascii="Verdana" w:hAnsi="Verdana"/>
          <w:sz w:val="18"/>
          <w:szCs w:val="18"/>
        </w:rPr>
        <w:t>. V</w:t>
      </w:r>
      <w:r w:rsidRPr="0021450B">
        <w:rPr>
          <w:rFonts w:ascii="Verdana" w:hAnsi="Verdana"/>
          <w:sz w:val="18"/>
          <w:szCs w:val="18"/>
        </w:rPr>
        <w:t>erder</w:t>
      </w:r>
      <w:r w:rsidRPr="0021450B" w:rsidR="002B44CB">
        <w:rPr>
          <w:rFonts w:ascii="Verdana" w:hAnsi="Verdana"/>
          <w:sz w:val="18"/>
          <w:szCs w:val="18"/>
        </w:rPr>
        <w:t xml:space="preserve"> is een aanmerkelijkbelang</w:t>
      </w:r>
      <w:r w:rsidRPr="0021450B" w:rsidR="009B6D03">
        <w:rPr>
          <w:rFonts w:ascii="Verdana" w:hAnsi="Verdana"/>
          <w:sz w:val="18"/>
          <w:szCs w:val="18"/>
        </w:rPr>
        <w:t>voorbehoud</w:t>
      </w:r>
      <w:r w:rsidRPr="0021450B" w:rsidR="002B44CB">
        <w:rPr>
          <w:rFonts w:ascii="Verdana" w:hAnsi="Verdana"/>
          <w:sz w:val="18"/>
          <w:szCs w:val="18"/>
        </w:rPr>
        <w:t xml:space="preserve"> opgenomen</w:t>
      </w:r>
      <w:r w:rsidRPr="0021450B" w:rsidR="00EC5153">
        <w:rPr>
          <w:rFonts w:ascii="Verdana" w:hAnsi="Verdana"/>
          <w:sz w:val="18"/>
          <w:szCs w:val="18"/>
        </w:rPr>
        <w:t>.</w:t>
      </w:r>
      <w:r w:rsidRPr="0021450B" w:rsidR="00E36518">
        <w:rPr>
          <w:rFonts w:ascii="Verdana" w:hAnsi="Verdana"/>
          <w:sz w:val="18"/>
          <w:szCs w:val="18"/>
        </w:rPr>
        <w:t xml:space="preserve"> </w:t>
      </w:r>
    </w:p>
    <w:p w:rsidRPr="00BD4E1D" w:rsidR="003E02A2" w:rsidP="004827B9" w:rsidRDefault="00F36432" w14:paraId="22D9CDFB" w14:textId="435B0299">
      <w:pPr>
        <w:pStyle w:val="Lijstalinea"/>
        <w:numPr>
          <w:ilvl w:val="0"/>
          <w:numId w:val="38"/>
        </w:numPr>
        <w:spacing w:line="360" w:lineRule="auto"/>
        <w:rPr>
          <w:rFonts w:ascii="Verdana" w:hAnsi="Verdana"/>
          <w:sz w:val="18"/>
          <w:szCs w:val="18"/>
        </w:rPr>
      </w:pPr>
      <w:r w:rsidRPr="0021450B">
        <w:rPr>
          <w:rFonts w:ascii="Verdana" w:hAnsi="Verdana"/>
          <w:sz w:val="18"/>
          <w:szCs w:val="18"/>
        </w:rPr>
        <w:t>I</w:t>
      </w:r>
      <w:r w:rsidRPr="0021450B" w:rsidR="00E36518">
        <w:rPr>
          <w:rFonts w:ascii="Verdana" w:hAnsi="Verdana"/>
          <w:sz w:val="18"/>
          <w:szCs w:val="18"/>
        </w:rPr>
        <w:t xml:space="preserve">nterest: </w:t>
      </w:r>
      <w:r w:rsidR="00246290">
        <w:rPr>
          <w:rFonts w:ascii="Verdana" w:hAnsi="Verdana"/>
          <w:sz w:val="18"/>
          <w:szCs w:val="18"/>
        </w:rPr>
        <w:t>v</w:t>
      </w:r>
      <w:r w:rsidRPr="0021450B">
        <w:rPr>
          <w:rFonts w:ascii="Verdana" w:hAnsi="Verdana"/>
          <w:sz w:val="18"/>
          <w:szCs w:val="18"/>
        </w:rPr>
        <w:t xml:space="preserve">oor interest </w:t>
      </w:r>
      <w:r w:rsidRPr="0021450B" w:rsidR="00BB5B52">
        <w:rPr>
          <w:rFonts w:ascii="Verdana" w:hAnsi="Verdana"/>
          <w:sz w:val="18"/>
          <w:szCs w:val="18"/>
        </w:rPr>
        <w:t xml:space="preserve">is </w:t>
      </w:r>
      <w:r w:rsidRPr="0021450B" w:rsidR="00E36518">
        <w:rPr>
          <w:rFonts w:ascii="Verdana" w:hAnsi="Verdana"/>
          <w:sz w:val="18"/>
          <w:szCs w:val="18"/>
        </w:rPr>
        <w:t xml:space="preserve">een beperkt heffingsrecht voor het bronland </w:t>
      </w:r>
      <w:r w:rsidRPr="0021450B">
        <w:rPr>
          <w:rFonts w:ascii="Verdana" w:hAnsi="Verdana"/>
          <w:sz w:val="18"/>
          <w:szCs w:val="18"/>
        </w:rPr>
        <w:t xml:space="preserve">overeengekomen </w:t>
      </w:r>
      <w:r w:rsidRPr="0021450B" w:rsidR="00E36518">
        <w:rPr>
          <w:rFonts w:ascii="Verdana" w:hAnsi="Verdana"/>
          <w:sz w:val="18"/>
          <w:szCs w:val="18"/>
        </w:rPr>
        <w:t>van 5</w:t>
      </w:r>
      <w:r w:rsidR="00115BB0">
        <w:rPr>
          <w:rFonts w:ascii="Verdana" w:hAnsi="Verdana"/>
          <w:sz w:val="18"/>
          <w:szCs w:val="18"/>
        </w:rPr>
        <w:t>%</w:t>
      </w:r>
      <w:r w:rsidRPr="0021450B" w:rsidR="00E36518">
        <w:rPr>
          <w:rFonts w:ascii="Verdana" w:hAnsi="Verdana"/>
          <w:sz w:val="18"/>
          <w:szCs w:val="18"/>
        </w:rPr>
        <w:t xml:space="preserve">, met een aantal vrijstellingen (onder meer voor interest ontvangen door </w:t>
      </w:r>
      <w:r w:rsidRPr="0021450B" w:rsidR="00BB5B52">
        <w:rPr>
          <w:rFonts w:ascii="Verdana" w:hAnsi="Verdana"/>
          <w:sz w:val="18"/>
          <w:szCs w:val="18"/>
        </w:rPr>
        <w:t>overheden</w:t>
      </w:r>
      <w:r w:rsidRPr="0021450B" w:rsidR="00E36518">
        <w:rPr>
          <w:rFonts w:ascii="Verdana" w:hAnsi="Verdana"/>
          <w:sz w:val="18"/>
          <w:szCs w:val="18"/>
        </w:rPr>
        <w:t xml:space="preserve">, </w:t>
      </w:r>
      <w:r w:rsidRPr="0021450B" w:rsidR="002B44CB">
        <w:rPr>
          <w:rFonts w:ascii="Verdana" w:hAnsi="Verdana"/>
          <w:sz w:val="18"/>
          <w:szCs w:val="18"/>
        </w:rPr>
        <w:t xml:space="preserve">de </w:t>
      </w:r>
      <w:r w:rsidRPr="00BA2B89" w:rsidR="00E36518">
        <w:rPr>
          <w:rFonts w:ascii="Verdana" w:hAnsi="Verdana"/>
          <w:sz w:val="18"/>
          <w:szCs w:val="18"/>
        </w:rPr>
        <w:t>centrale banken</w:t>
      </w:r>
      <w:r w:rsidRPr="00BA2B89" w:rsidR="002B44CB">
        <w:rPr>
          <w:rFonts w:ascii="Verdana" w:hAnsi="Verdana"/>
          <w:sz w:val="18"/>
          <w:szCs w:val="18"/>
        </w:rPr>
        <w:t xml:space="preserve"> en andere financiële instellingen van de overheden</w:t>
      </w:r>
      <w:r w:rsidRPr="00BA2B89" w:rsidR="00E36518">
        <w:rPr>
          <w:rFonts w:ascii="Verdana" w:hAnsi="Verdana"/>
          <w:sz w:val="18"/>
          <w:szCs w:val="18"/>
        </w:rPr>
        <w:t>, pensioenfondsen en exportkredietinstellingen</w:t>
      </w:r>
      <w:r w:rsidRPr="00DD3563" w:rsidR="00336EE8">
        <w:rPr>
          <w:rFonts w:ascii="Verdana" w:hAnsi="Verdana"/>
          <w:sz w:val="18"/>
          <w:szCs w:val="18"/>
        </w:rPr>
        <w:t>)</w:t>
      </w:r>
      <w:r w:rsidRPr="00BD4E1D" w:rsidR="007754B7">
        <w:rPr>
          <w:rFonts w:ascii="Verdana" w:hAnsi="Verdana"/>
          <w:sz w:val="18"/>
          <w:szCs w:val="18"/>
        </w:rPr>
        <w:t>.</w:t>
      </w:r>
    </w:p>
    <w:p w:rsidRPr="007024F8" w:rsidR="004827B9" w:rsidRDefault="00F36432" w14:paraId="18BFE144" w14:textId="58A5AB95">
      <w:pPr>
        <w:pStyle w:val="Lijstalinea"/>
        <w:numPr>
          <w:ilvl w:val="0"/>
          <w:numId w:val="38"/>
        </w:numPr>
        <w:spacing w:line="360" w:lineRule="auto"/>
        <w:rPr>
          <w:rFonts w:ascii="Verdana" w:hAnsi="Verdana"/>
          <w:sz w:val="18"/>
          <w:szCs w:val="18"/>
        </w:rPr>
      </w:pPr>
      <w:r w:rsidRPr="00E01754">
        <w:rPr>
          <w:rFonts w:ascii="Verdana" w:hAnsi="Verdana"/>
          <w:sz w:val="18"/>
          <w:szCs w:val="18"/>
        </w:rPr>
        <w:t>R</w:t>
      </w:r>
      <w:r w:rsidRPr="003103E7" w:rsidR="00E36518">
        <w:rPr>
          <w:rFonts w:ascii="Verdana" w:hAnsi="Verdana"/>
          <w:sz w:val="18"/>
          <w:szCs w:val="18"/>
        </w:rPr>
        <w:t xml:space="preserve">oyalty’s: </w:t>
      </w:r>
      <w:r w:rsidR="00246290">
        <w:rPr>
          <w:rFonts w:ascii="Verdana" w:hAnsi="Verdana"/>
          <w:sz w:val="18"/>
          <w:szCs w:val="18"/>
        </w:rPr>
        <w:t>v</w:t>
      </w:r>
      <w:r w:rsidRPr="003103E7" w:rsidR="002B44CB">
        <w:rPr>
          <w:rFonts w:ascii="Verdana" w:hAnsi="Verdana"/>
          <w:sz w:val="18"/>
          <w:szCs w:val="18"/>
        </w:rPr>
        <w:t>oor</w:t>
      </w:r>
      <w:r w:rsidRPr="003657E3" w:rsidR="00072B96">
        <w:rPr>
          <w:rFonts w:ascii="Verdana" w:hAnsi="Verdana"/>
          <w:sz w:val="18"/>
          <w:szCs w:val="18"/>
        </w:rPr>
        <w:t xml:space="preserve"> royalty’s</w:t>
      </w:r>
      <w:r w:rsidRPr="00CB4452" w:rsidR="002B44CB">
        <w:rPr>
          <w:rFonts w:ascii="Verdana" w:hAnsi="Verdana"/>
          <w:sz w:val="18"/>
          <w:szCs w:val="18"/>
        </w:rPr>
        <w:t xml:space="preserve"> </w:t>
      </w:r>
      <w:r w:rsidRPr="00490FAB" w:rsidR="00E36518">
        <w:rPr>
          <w:rFonts w:ascii="Verdana" w:hAnsi="Verdana"/>
          <w:sz w:val="18"/>
          <w:szCs w:val="18"/>
        </w:rPr>
        <w:t xml:space="preserve">is een beperkt heffingsrecht voor het bronland </w:t>
      </w:r>
      <w:r w:rsidRPr="00964525">
        <w:rPr>
          <w:rFonts w:ascii="Verdana" w:hAnsi="Verdana"/>
          <w:sz w:val="18"/>
          <w:szCs w:val="18"/>
        </w:rPr>
        <w:t xml:space="preserve">afgesproken </w:t>
      </w:r>
      <w:r w:rsidRPr="00964525" w:rsidR="00E36518">
        <w:rPr>
          <w:rFonts w:ascii="Verdana" w:hAnsi="Verdana"/>
          <w:sz w:val="18"/>
          <w:szCs w:val="18"/>
        </w:rPr>
        <w:t>van 5</w:t>
      </w:r>
      <w:r w:rsidR="00115BB0">
        <w:rPr>
          <w:rFonts w:ascii="Verdana" w:hAnsi="Verdana"/>
          <w:sz w:val="18"/>
          <w:szCs w:val="18"/>
        </w:rPr>
        <w:t>%</w:t>
      </w:r>
      <w:r w:rsidRPr="007024F8" w:rsidR="00EC5153">
        <w:rPr>
          <w:rFonts w:ascii="Verdana" w:hAnsi="Verdana"/>
          <w:sz w:val="18"/>
          <w:szCs w:val="18"/>
        </w:rPr>
        <w:t>.</w:t>
      </w:r>
      <w:r w:rsidR="00A918BB">
        <w:rPr>
          <w:rFonts w:ascii="Verdana" w:hAnsi="Verdana"/>
          <w:sz w:val="18"/>
          <w:szCs w:val="18"/>
        </w:rPr>
        <w:t xml:space="preserve"> Daarnaast is de </w:t>
      </w:r>
      <w:r w:rsidR="00274587">
        <w:rPr>
          <w:rFonts w:ascii="Verdana" w:hAnsi="Verdana"/>
          <w:sz w:val="18"/>
          <w:szCs w:val="18"/>
        </w:rPr>
        <w:t>definitie van het begrip ‘</w:t>
      </w:r>
      <w:r w:rsidR="00A918BB">
        <w:rPr>
          <w:rFonts w:ascii="Verdana" w:hAnsi="Verdana"/>
          <w:sz w:val="18"/>
          <w:szCs w:val="18"/>
        </w:rPr>
        <w:t>royalty’s</w:t>
      </w:r>
      <w:r w:rsidR="00274587">
        <w:rPr>
          <w:rFonts w:ascii="Verdana" w:hAnsi="Verdana"/>
          <w:sz w:val="18"/>
          <w:szCs w:val="18"/>
        </w:rPr>
        <w:t>’</w:t>
      </w:r>
      <w:r w:rsidR="00A918BB">
        <w:rPr>
          <w:rFonts w:ascii="Verdana" w:hAnsi="Verdana"/>
          <w:sz w:val="18"/>
          <w:szCs w:val="18"/>
        </w:rPr>
        <w:t xml:space="preserve"> beperkt en </w:t>
      </w:r>
      <w:r w:rsidR="00274587">
        <w:rPr>
          <w:rFonts w:ascii="Verdana" w:hAnsi="Verdana"/>
          <w:sz w:val="18"/>
          <w:szCs w:val="18"/>
        </w:rPr>
        <w:t xml:space="preserve">deze </w:t>
      </w:r>
      <w:r w:rsidR="00A918BB">
        <w:rPr>
          <w:rFonts w:ascii="Verdana" w:hAnsi="Verdana"/>
          <w:sz w:val="18"/>
          <w:szCs w:val="18"/>
        </w:rPr>
        <w:t xml:space="preserve">sluit nu geheel aan bij de </w:t>
      </w:r>
      <w:r w:rsidR="00274587">
        <w:rPr>
          <w:rFonts w:ascii="Verdana" w:hAnsi="Verdana"/>
          <w:sz w:val="18"/>
          <w:szCs w:val="18"/>
        </w:rPr>
        <w:t xml:space="preserve">definitie </w:t>
      </w:r>
      <w:r w:rsidR="00A918BB">
        <w:rPr>
          <w:rFonts w:ascii="Verdana" w:hAnsi="Verdana"/>
          <w:sz w:val="18"/>
          <w:szCs w:val="18"/>
        </w:rPr>
        <w:t xml:space="preserve">zoals omschreven in het OESO-modelverdrag. </w:t>
      </w:r>
    </w:p>
    <w:p w:rsidRPr="00710CA6" w:rsidR="004827B9" w:rsidP="004827B9" w:rsidRDefault="00F36432" w14:paraId="1431A155" w14:textId="77777777">
      <w:pPr>
        <w:pStyle w:val="Lijstalinea"/>
        <w:numPr>
          <w:ilvl w:val="0"/>
          <w:numId w:val="38"/>
        </w:numPr>
        <w:spacing w:line="360" w:lineRule="auto"/>
        <w:rPr>
          <w:rFonts w:ascii="Verdana" w:hAnsi="Verdana"/>
          <w:sz w:val="18"/>
          <w:szCs w:val="18"/>
        </w:rPr>
      </w:pPr>
      <w:r w:rsidRPr="00556990">
        <w:rPr>
          <w:rFonts w:ascii="Verdana" w:hAnsi="Verdana"/>
          <w:sz w:val="18"/>
          <w:szCs w:val="18"/>
        </w:rPr>
        <w:t>V</w:t>
      </w:r>
      <w:r w:rsidRPr="00556990" w:rsidR="00E36518">
        <w:rPr>
          <w:rFonts w:ascii="Verdana" w:hAnsi="Verdana"/>
          <w:sz w:val="18"/>
          <w:szCs w:val="18"/>
        </w:rPr>
        <w:t xml:space="preserve">ermogenswinsten: </w:t>
      </w:r>
      <w:r w:rsidRPr="00556990" w:rsidR="002B44CB">
        <w:rPr>
          <w:rFonts w:ascii="Verdana" w:hAnsi="Verdana"/>
          <w:sz w:val="18"/>
          <w:szCs w:val="18"/>
        </w:rPr>
        <w:t xml:space="preserve">voor </w:t>
      </w:r>
      <w:r w:rsidRPr="00556990" w:rsidR="00E36518">
        <w:rPr>
          <w:rFonts w:ascii="Verdana" w:hAnsi="Verdana"/>
          <w:sz w:val="18"/>
          <w:szCs w:val="18"/>
        </w:rPr>
        <w:t>winsten behaald met de vervreemding van aandelen in zogeheten onroerendezaaklichamen</w:t>
      </w:r>
      <w:r w:rsidRPr="00556990" w:rsidR="002B44CB">
        <w:rPr>
          <w:rFonts w:ascii="Verdana" w:hAnsi="Verdana"/>
          <w:sz w:val="18"/>
          <w:szCs w:val="18"/>
        </w:rPr>
        <w:t xml:space="preserve"> is </w:t>
      </w:r>
      <w:r w:rsidRPr="00556990" w:rsidR="006C0833">
        <w:rPr>
          <w:rFonts w:ascii="Verdana" w:hAnsi="Verdana"/>
          <w:sz w:val="18"/>
          <w:szCs w:val="18"/>
        </w:rPr>
        <w:t xml:space="preserve">onder voorwaarden </w:t>
      </w:r>
      <w:r w:rsidRPr="00556990" w:rsidR="002B44CB">
        <w:rPr>
          <w:rFonts w:ascii="Verdana" w:hAnsi="Verdana"/>
          <w:sz w:val="18"/>
          <w:szCs w:val="18"/>
        </w:rPr>
        <w:t>een bronstaatheffing overeengekomen</w:t>
      </w:r>
      <w:r w:rsidRPr="00556990">
        <w:rPr>
          <w:rFonts w:ascii="Verdana" w:hAnsi="Verdana"/>
          <w:sz w:val="18"/>
          <w:szCs w:val="18"/>
        </w:rPr>
        <w:t xml:space="preserve">, met </w:t>
      </w:r>
      <w:r w:rsidRPr="00556990">
        <w:rPr>
          <w:rFonts w:ascii="Verdana" w:hAnsi="Verdana"/>
          <w:sz w:val="18"/>
          <w:szCs w:val="18"/>
        </w:rPr>
        <w:lastRenderedPageBreak/>
        <w:t xml:space="preserve">daarbij </w:t>
      </w:r>
      <w:r w:rsidR="00710CA6">
        <w:rPr>
          <w:rFonts w:ascii="Verdana" w:hAnsi="Verdana"/>
          <w:sz w:val="18"/>
          <w:szCs w:val="18"/>
        </w:rPr>
        <w:t xml:space="preserve">enkele </w:t>
      </w:r>
      <w:r w:rsidRPr="00710CA6" w:rsidR="006C0833">
        <w:rPr>
          <w:rFonts w:ascii="Verdana" w:hAnsi="Verdana"/>
          <w:sz w:val="18"/>
          <w:szCs w:val="18"/>
        </w:rPr>
        <w:t>uitzonderingen</w:t>
      </w:r>
      <w:r w:rsidRPr="00710CA6" w:rsidR="009B6D03">
        <w:rPr>
          <w:rFonts w:ascii="Verdana" w:hAnsi="Verdana"/>
          <w:sz w:val="18"/>
          <w:szCs w:val="18"/>
        </w:rPr>
        <w:t xml:space="preserve">. </w:t>
      </w:r>
      <w:r w:rsidRPr="00710CA6" w:rsidR="006C0833">
        <w:rPr>
          <w:rFonts w:ascii="Verdana" w:hAnsi="Verdana"/>
          <w:sz w:val="18"/>
          <w:szCs w:val="18"/>
        </w:rPr>
        <w:t xml:space="preserve">Ook is </w:t>
      </w:r>
      <w:r w:rsidRPr="00710CA6" w:rsidR="009B6D03">
        <w:rPr>
          <w:rFonts w:ascii="Verdana" w:hAnsi="Verdana"/>
          <w:sz w:val="18"/>
          <w:szCs w:val="18"/>
        </w:rPr>
        <w:t xml:space="preserve">het aanmerkelijkbelangvoorbehoud </w:t>
      </w:r>
      <w:r w:rsidR="00A918BB">
        <w:rPr>
          <w:rFonts w:ascii="Verdana" w:hAnsi="Verdana"/>
          <w:sz w:val="18"/>
          <w:szCs w:val="18"/>
        </w:rPr>
        <w:t>voor</w:t>
      </w:r>
      <w:r w:rsidRPr="00710CA6" w:rsidR="006C0833">
        <w:rPr>
          <w:rFonts w:ascii="Verdana" w:hAnsi="Verdana"/>
          <w:sz w:val="18"/>
          <w:szCs w:val="18"/>
        </w:rPr>
        <w:t xml:space="preserve"> vermogenswinsten </w:t>
      </w:r>
      <w:r w:rsidRPr="00710CA6" w:rsidR="009B6D03">
        <w:rPr>
          <w:rFonts w:ascii="Verdana" w:hAnsi="Verdana"/>
          <w:sz w:val="18"/>
          <w:szCs w:val="18"/>
        </w:rPr>
        <w:t>gem</w:t>
      </w:r>
      <w:r w:rsidRPr="00BC6175" w:rsidR="009B6D03">
        <w:rPr>
          <w:rFonts w:ascii="Verdana" w:hAnsi="Verdana"/>
          <w:sz w:val="18"/>
          <w:szCs w:val="18"/>
        </w:rPr>
        <w:t>oderniseerd</w:t>
      </w:r>
      <w:r w:rsidR="00710CA6">
        <w:rPr>
          <w:rFonts w:ascii="Verdana" w:hAnsi="Verdana"/>
          <w:sz w:val="18"/>
          <w:szCs w:val="18"/>
        </w:rPr>
        <w:t>.</w:t>
      </w:r>
    </w:p>
    <w:p w:rsidRPr="0021450B" w:rsidR="004827B9" w:rsidP="004827B9" w:rsidRDefault="006C0833" w14:paraId="4F06F320" w14:textId="77777777">
      <w:pPr>
        <w:pStyle w:val="Lijstalinea"/>
        <w:numPr>
          <w:ilvl w:val="0"/>
          <w:numId w:val="38"/>
        </w:numPr>
        <w:spacing w:line="360" w:lineRule="auto"/>
        <w:rPr>
          <w:rFonts w:ascii="Verdana" w:hAnsi="Verdana"/>
          <w:sz w:val="18"/>
          <w:szCs w:val="18"/>
        </w:rPr>
      </w:pPr>
      <w:r w:rsidRPr="00BC6175">
        <w:rPr>
          <w:rFonts w:ascii="Verdana" w:hAnsi="Verdana"/>
          <w:sz w:val="18"/>
          <w:szCs w:val="18"/>
        </w:rPr>
        <w:t>P</w:t>
      </w:r>
      <w:r w:rsidRPr="00BC6175" w:rsidR="007754B7">
        <w:rPr>
          <w:rFonts w:ascii="Verdana" w:hAnsi="Verdana"/>
          <w:sz w:val="18"/>
          <w:szCs w:val="18"/>
        </w:rPr>
        <w:t xml:space="preserve">ensioenen: </w:t>
      </w:r>
      <w:r w:rsidRPr="00BC6175" w:rsidR="00D2505B">
        <w:rPr>
          <w:rFonts w:ascii="Verdana" w:hAnsi="Verdana"/>
          <w:sz w:val="18"/>
          <w:szCs w:val="18"/>
        </w:rPr>
        <w:t>v</w:t>
      </w:r>
      <w:r w:rsidRPr="00BC6175" w:rsidR="007754B7">
        <w:rPr>
          <w:rFonts w:ascii="Verdana" w:hAnsi="Verdana"/>
          <w:sz w:val="18"/>
          <w:szCs w:val="18"/>
        </w:rPr>
        <w:t>oor pensioenen en lijfrenten is een volledige bronstaatheffing overeengekomen, met een overgangsrege</w:t>
      </w:r>
      <w:r w:rsidRPr="00916448" w:rsidR="004827B9">
        <w:rPr>
          <w:rFonts w:ascii="Verdana" w:hAnsi="Verdana"/>
          <w:sz w:val="18"/>
          <w:szCs w:val="18"/>
        </w:rPr>
        <w:t xml:space="preserve">ling voor </w:t>
      </w:r>
      <w:r w:rsidRPr="00916448" w:rsidR="00D2505B">
        <w:rPr>
          <w:rFonts w:ascii="Verdana" w:hAnsi="Verdana"/>
          <w:sz w:val="18"/>
          <w:szCs w:val="18"/>
        </w:rPr>
        <w:t xml:space="preserve">reeds ingegane </w:t>
      </w:r>
      <w:r w:rsidRPr="00916448" w:rsidR="004827B9">
        <w:rPr>
          <w:rFonts w:ascii="Verdana" w:hAnsi="Verdana"/>
          <w:sz w:val="18"/>
          <w:szCs w:val="18"/>
        </w:rPr>
        <w:t>pensioenen</w:t>
      </w:r>
      <w:r w:rsidRPr="00916448" w:rsidR="009F7570">
        <w:rPr>
          <w:rFonts w:ascii="Verdana" w:hAnsi="Verdana"/>
          <w:sz w:val="18"/>
          <w:szCs w:val="18"/>
        </w:rPr>
        <w:t xml:space="preserve"> </w:t>
      </w:r>
      <w:r w:rsidRPr="00780A5E" w:rsidR="00D2505B">
        <w:rPr>
          <w:rFonts w:ascii="Verdana" w:hAnsi="Verdana"/>
          <w:sz w:val="18"/>
          <w:szCs w:val="18"/>
        </w:rPr>
        <w:t xml:space="preserve">en lijfrenten </w:t>
      </w:r>
      <w:r w:rsidRPr="00780A5E" w:rsidR="009F7570">
        <w:rPr>
          <w:rFonts w:ascii="Verdana" w:hAnsi="Verdana"/>
          <w:sz w:val="18"/>
          <w:szCs w:val="18"/>
        </w:rPr>
        <w:t xml:space="preserve">indien deze in </w:t>
      </w:r>
      <w:r w:rsidRPr="00780A5E" w:rsidR="00D2505B">
        <w:rPr>
          <w:rFonts w:ascii="Verdana" w:hAnsi="Verdana"/>
          <w:sz w:val="18"/>
          <w:szCs w:val="18"/>
        </w:rPr>
        <w:t>de</w:t>
      </w:r>
      <w:r w:rsidRPr="000819E4" w:rsidR="009F7570">
        <w:rPr>
          <w:rFonts w:ascii="Verdana" w:hAnsi="Verdana"/>
          <w:sz w:val="18"/>
          <w:szCs w:val="18"/>
        </w:rPr>
        <w:t xml:space="preserve"> woon</w:t>
      </w:r>
      <w:r w:rsidRPr="0021450B" w:rsidR="00D2505B">
        <w:rPr>
          <w:rFonts w:ascii="Verdana" w:hAnsi="Verdana"/>
          <w:sz w:val="18"/>
          <w:szCs w:val="18"/>
        </w:rPr>
        <w:t>staat</w:t>
      </w:r>
      <w:r w:rsidRPr="0021450B" w:rsidR="009F7570">
        <w:rPr>
          <w:rFonts w:ascii="Verdana" w:hAnsi="Verdana"/>
          <w:sz w:val="18"/>
          <w:szCs w:val="18"/>
        </w:rPr>
        <w:t xml:space="preserve"> onderworpen zijn aan belastingheffing</w:t>
      </w:r>
      <w:r w:rsidRPr="0021450B" w:rsidR="00D2505B">
        <w:rPr>
          <w:rFonts w:ascii="Verdana" w:hAnsi="Verdana"/>
          <w:sz w:val="18"/>
          <w:szCs w:val="18"/>
        </w:rPr>
        <w:t>.</w:t>
      </w:r>
    </w:p>
    <w:p w:rsidRPr="00BD4E1D" w:rsidR="003970D4" w:rsidP="004827B9" w:rsidRDefault="006C0833" w14:paraId="58A9E3C5" w14:textId="77777777">
      <w:pPr>
        <w:pStyle w:val="Lijstalinea"/>
        <w:numPr>
          <w:ilvl w:val="0"/>
          <w:numId w:val="38"/>
        </w:numPr>
        <w:spacing w:line="360" w:lineRule="auto"/>
        <w:rPr>
          <w:rFonts w:ascii="Verdana" w:hAnsi="Verdana"/>
          <w:sz w:val="18"/>
          <w:szCs w:val="18"/>
        </w:rPr>
      </w:pPr>
      <w:r w:rsidRPr="00DD3563">
        <w:rPr>
          <w:rFonts w:ascii="Verdana" w:hAnsi="Verdana"/>
          <w:sz w:val="18"/>
          <w:szCs w:val="18"/>
        </w:rPr>
        <w:t>N</w:t>
      </w:r>
      <w:r w:rsidRPr="00BD4E1D" w:rsidR="003970D4">
        <w:rPr>
          <w:rFonts w:ascii="Verdana" w:hAnsi="Verdana"/>
          <w:sz w:val="18"/>
          <w:szCs w:val="18"/>
        </w:rPr>
        <w:t>on-discriminatie: er is een bepaling opgenomen over het fiscaal accepteren van een doorbetaling van pensioenpremies bij een voortgezette pensioenopbouw na emigratie.</w:t>
      </w:r>
    </w:p>
    <w:p w:rsidRPr="000819E4" w:rsidR="00EC5153" w:rsidP="00EC5153" w:rsidRDefault="006C0833" w14:paraId="0893F1E8" w14:textId="6BD20F31">
      <w:pPr>
        <w:pStyle w:val="Lijstalinea"/>
        <w:numPr>
          <w:ilvl w:val="0"/>
          <w:numId w:val="38"/>
        </w:numPr>
        <w:spacing w:line="360" w:lineRule="auto"/>
        <w:rPr>
          <w:rFonts w:ascii="Verdana" w:hAnsi="Verdana"/>
          <w:sz w:val="18"/>
          <w:szCs w:val="18"/>
        </w:rPr>
      </w:pPr>
      <w:r w:rsidRPr="00E01754">
        <w:rPr>
          <w:rFonts w:ascii="Verdana" w:hAnsi="Verdana"/>
          <w:sz w:val="18"/>
          <w:szCs w:val="18"/>
        </w:rPr>
        <w:t>A</w:t>
      </w:r>
      <w:r w:rsidRPr="00E01754" w:rsidR="00EC5153">
        <w:rPr>
          <w:rFonts w:ascii="Verdana" w:hAnsi="Verdana"/>
          <w:sz w:val="18"/>
          <w:szCs w:val="18"/>
        </w:rPr>
        <w:t xml:space="preserve">ntimisbruikbepalingen: om </w:t>
      </w:r>
      <w:r w:rsidRPr="003103E7">
        <w:rPr>
          <w:rFonts w:ascii="Verdana" w:hAnsi="Verdana"/>
          <w:sz w:val="18"/>
          <w:szCs w:val="18"/>
        </w:rPr>
        <w:t>verdragsmisbruik</w:t>
      </w:r>
      <w:r w:rsidRPr="003103E7" w:rsidR="00EC5153">
        <w:rPr>
          <w:rFonts w:ascii="Verdana" w:hAnsi="Verdana"/>
          <w:sz w:val="18"/>
          <w:szCs w:val="18"/>
        </w:rPr>
        <w:t xml:space="preserve"> te voorkomen is een </w:t>
      </w:r>
      <w:r w:rsidRPr="003103E7" w:rsidR="00446BB6">
        <w:rPr>
          <w:rFonts w:ascii="Verdana" w:hAnsi="Verdana"/>
          <w:i/>
          <w:sz w:val="18"/>
          <w:szCs w:val="18"/>
        </w:rPr>
        <w:t>p</w:t>
      </w:r>
      <w:r w:rsidRPr="003103E7" w:rsidR="00EC5153">
        <w:rPr>
          <w:rFonts w:ascii="Verdana" w:hAnsi="Verdana"/>
          <w:i/>
          <w:sz w:val="18"/>
          <w:szCs w:val="18"/>
        </w:rPr>
        <w:t xml:space="preserve">rincipal </w:t>
      </w:r>
      <w:r w:rsidRPr="003103E7" w:rsidR="00446BB6">
        <w:rPr>
          <w:rFonts w:ascii="Verdana" w:hAnsi="Verdana"/>
          <w:i/>
          <w:sz w:val="18"/>
          <w:szCs w:val="18"/>
        </w:rPr>
        <w:t>p</w:t>
      </w:r>
      <w:r w:rsidRPr="00AB1CBA" w:rsidR="00EC5153">
        <w:rPr>
          <w:rFonts w:ascii="Verdana" w:hAnsi="Verdana"/>
          <w:i/>
          <w:sz w:val="18"/>
          <w:szCs w:val="18"/>
        </w:rPr>
        <w:t xml:space="preserve">urposes </w:t>
      </w:r>
      <w:r w:rsidRPr="003657E3" w:rsidR="00446BB6">
        <w:rPr>
          <w:rFonts w:ascii="Verdana" w:hAnsi="Verdana"/>
          <w:i/>
          <w:sz w:val="18"/>
          <w:szCs w:val="18"/>
        </w:rPr>
        <w:t>t</w:t>
      </w:r>
      <w:r w:rsidRPr="00CB4452" w:rsidR="00EC5153">
        <w:rPr>
          <w:rFonts w:ascii="Verdana" w:hAnsi="Verdana"/>
          <w:i/>
          <w:sz w:val="18"/>
          <w:szCs w:val="18"/>
        </w:rPr>
        <w:t>est</w:t>
      </w:r>
      <w:r w:rsidRPr="00BC6175" w:rsidR="00EC5153">
        <w:rPr>
          <w:rFonts w:ascii="Verdana" w:hAnsi="Verdana"/>
          <w:sz w:val="18"/>
          <w:szCs w:val="18"/>
        </w:rPr>
        <w:t xml:space="preserve"> </w:t>
      </w:r>
      <w:r w:rsidR="006C115A">
        <w:rPr>
          <w:rFonts w:ascii="Verdana" w:hAnsi="Verdana"/>
          <w:sz w:val="18"/>
          <w:szCs w:val="18"/>
        </w:rPr>
        <w:t>(hierna: PPT)</w:t>
      </w:r>
      <w:r w:rsidRPr="006C115A" w:rsidR="006C115A">
        <w:rPr>
          <w:rStyle w:val="Verwijzingopmerking"/>
          <w:rFonts w:ascii="Arial" w:hAnsi="Arial"/>
        </w:rPr>
        <w:t xml:space="preserve"> </w:t>
      </w:r>
      <w:r w:rsidRPr="00BC6175" w:rsidR="00EC5153">
        <w:rPr>
          <w:rFonts w:ascii="Verdana" w:hAnsi="Verdana"/>
          <w:sz w:val="18"/>
          <w:szCs w:val="18"/>
        </w:rPr>
        <w:t>opgenomen (conform BEPS-actie 6 en het OESO-modelverdrag)</w:t>
      </w:r>
      <w:r w:rsidRPr="00BC6175">
        <w:rPr>
          <w:rFonts w:ascii="Verdana" w:hAnsi="Verdana"/>
          <w:sz w:val="18"/>
          <w:szCs w:val="18"/>
        </w:rPr>
        <w:t>. Om</w:t>
      </w:r>
      <w:r w:rsidRPr="00BC6175" w:rsidR="00EC5153">
        <w:rPr>
          <w:rFonts w:ascii="Verdana" w:hAnsi="Verdana"/>
          <w:sz w:val="18"/>
          <w:szCs w:val="18"/>
        </w:rPr>
        <w:t xml:space="preserve"> </w:t>
      </w:r>
      <w:r w:rsidRPr="00BC6175" w:rsidR="00C81C0D">
        <w:rPr>
          <w:rFonts w:ascii="Verdana" w:hAnsi="Verdana"/>
          <w:sz w:val="18"/>
          <w:szCs w:val="18"/>
        </w:rPr>
        <w:t xml:space="preserve">een consistente toepassing op basis van de juiste feiten te bewerkstelligen is daarbij een consultatiebepaling </w:t>
      </w:r>
      <w:r w:rsidRPr="00BC6175" w:rsidR="00EC5153">
        <w:rPr>
          <w:rFonts w:ascii="Verdana" w:hAnsi="Verdana"/>
          <w:sz w:val="18"/>
          <w:szCs w:val="18"/>
        </w:rPr>
        <w:t xml:space="preserve">afgesproken. </w:t>
      </w:r>
      <w:r w:rsidRPr="00BC6175" w:rsidR="00C81C0D">
        <w:rPr>
          <w:rFonts w:ascii="Verdana" w:hAnsi="Verdana"/>
          <w:sz w:val="18"/>
          <w:szCs w:val="18"/>
        </w:rPr>
        <w:t xml:space="preserve">Daarnaast </w:t>
      </w:r>
      <w:r w:rsidR="00A918BB">
        <w:rPr>
          <w:rFonts w:ascii="Verdana" w:hAnsi="Verdana"/>
          <w:sz w:val="18"/>
          <w:szCs w:val="18"/>
        </w:rPr>
        <w:t>kunnen</w:t>
      </w:r>
      <w:r w:rsidRPr="00BC6175" w:rsidR="00C81C0D">
        <w:rPr>
          <w:rFonts w:ascii="Verdana" w:hAnsi="Verdana"/>
          <w:sz w:val="18"/>
          <w:szCs w:val="18"/>
        </w:rPr>
        <w:t xml:space="preserve"> op verzoek van een belastingplichtige in bepaalde gevallen toch verdragsvoordelen </w:t>
      </w:r>
      <w:r w:rsidR="00C73D34">
        <w:rPr>
          <w:rFonts w:ascii="Verdana" w:hAnsi="Verdana"/>
          <w:sz w:val="18"/>
          <w:szCs w:val="18"/>
        </w:rPr>
        <w:t>worden toegekend</w:t>
      </w:r>
      <w:r w:rsidRPr="00BC6175" w:rsidR="00C81C0D">
        <w:rPr>
          <w:rFonts w:ascii="Verdana" w:hAnsi="Verdana"/>
          <w:sz w:val="18"/>
          <w:szCs w:val="18"/>
        </w:rPr>
        <w:t xml:space="preserve">. </w:t>
      </w:r>
      <w:r w:rsidRPr="00916448" w:rsidR="00EC5153">
        <w:rPr>
          <w:rFonts w:ascii="Verdana" w:hAnsi="Verdana"/>
          <w:sz w:val="18"/>
          <w:szCs w:val="18"/>
        </w:rPr>
        <w:t xml:space="preserve">Ook bevat het Verdrag een bepaling </w:t>
      </w:r>
      <w:r w:rsidR="00C73D34">
        <w:rPr>
          <w:rFonts w:ascii="Verdana" w:hAnsi="Verdana"/>
          <w:sz w:val="18"/>
          <w:szCs w:val="18"/>
        </w:rPr>
        <w:t xml:space="preserve">over het niet-toekennen van </w:t>
      </w:r>
      <w:r w:rsidRPr="00916448" w:rsidR="00EC5153">
        <w:rPr>
          <w:rFonts w:ascii="Verdana" w:hAnsi="Verdana"/>
          <w:sz w:val="18"/>
          <w:szCs w:val="18"/>
        </w:rPr>
        <w:t>verdragsvoordelen</w:t>
      </w:r>
      <w:r w:rsidR="00C73D34">
        <w:rPr>
          <w:rFonts w:ascii="Verdana" w:hAnsi="Verdana"/>
          <w:sz w:val="18"/>
          <w:szCs w:val="18"/>
        </w:rPr>
        <w:t xml:space="preserve"> voor inkomen dat wordt toegerekend</w:t>
      </w:r>
      <w:r w:rsidRPr="00916448" w:rsidR="00EC5153">
        <w:rPr>
          <w:rFonts w:ascii="Verdana" w:hAnsi="Verdana"/>
          <w:sz w:val="18"/>
          <w:szCs w:val="18"/>
        </w:rPr>
        <w:t xml:space="preserve"> </w:t>
      </w:r>
      <w:r w:rsidRPr="000819E4" w:rsidR="00EC5153">
        <w:rPr>
          <w:rFonts w:ascii="Verdana" w:hAnsi="Verdana"/>
          <w:sz w:val="18"/>
          <w:szCs w:val="18"/>
        </w:rPr>
        <w:t xml:space="preserve">aan een </w:t>
      </w:r>
      <w:r w:rsidR="00C73D34">
        <w:rPr>
          <w:rFonts w:ascii="Verdana" w:hAnsi="Verdana"/>
          <w:sz w:val="18"/>
          <w:szCs w:val="18"/>
        </w:rPr>
        <w:t>laagbelaste</w:t>
      </w:r>
      <w:r w:rsidRPr="000819E4" w:rsidR="00EC5153">
        <w:rPr>
          <w:rFonts w:ascii="Verdana" w:hAnsi="Verdana"/>
          <w:sz w:val="18"/>
          <w:szCs w:val="18"/>
        </w:rPr>
        <w:t xml:space="preserve"> vaste inrichting in een derde land</w:t>
      </w:r>
      <w:r w:rsidR="00C73D34">
        <w:rPr>
          <w:rFonts w:ascii="Verdana" w:hAnsi="Verdana"/>
          <w:sz w:val="18"/>
          <w:szCs w:val="18"/>
        </w:rPr>
        <w:t xml:space="preserve"> indien dat inkomen in het woonland van de ondernemer is vrijgesteld </w:t>
      </w:r>
      <w:r w:rsidRPr="000819E4" w:rsidR="00EC5153">
        <w:rPr>
          <w:rFonts w:ascii="Verdana" w:hAnsi="Verdana"/>
          <w:sz w:val="18"/>
          <w:szCs w:val="18"/>
        </w:rPr>
        <w:t>(conform BEPS-actie 6 en het OESO-modelverdrag).</w:t>
      </w:r>
    </w:p>
    <w:p w:rsidRPr="0021450B" w:rsidR="00EC5153" w:rsidP="00EC5153" w:rsidRDefault="00C81C0D" w14:paraId="2EB415FE" w14:textId="77777777">
      <w:pPr>
        <w:pStyle w:val="Lijstalinea"/>
        <w:numPr>
          <w:ilvl w:val="0"/>
          <w:numId w:val="38"/>
        </w:numPr>
        <w:spacing w:line="360" w:lineRule="auto"/>
        <w:rPr>
          <w:rFonts w:ascii="Verdana" w:hAnsi="Verdana"/>
          <w:sz w:val="18"/>
          <w:szCs w:val="18"/>
        </w:rPr>
      </w:pPr>
      <w:r w:rsidRPr="0021450B">
        <w:rPr>
          <w:rFonts w:ascii="Verdana" w:hAnsi="Verdana"/>
          <w:sz w:val="18"/>
          <w:szCs w:val="18"/>
        </w:rPr>
        <w:t>O</w:t>
      </w:r>
      <w:r w:rsidRPr="0021450B" w:rsidR="00EC5153">
        <w:rPr>
          <w:rFonts w:ascii="Verdana" w:hAnsi="Verdana"/>
          <w:sz w:val="18"/>
          <w:szCs w:val="18"/>
        </w:rPr>
        <w:t xml:space="preserve">nderlingoverlegprocedure: het starten van een onderlingoverlegprocedure is niet alleen mogelijk in het woonland van de belastingplichtige, maar ook in de andere </w:t>
      </w:r>
      <w:r w:rsidR="0021450B">
        <w:rPr>
          <w:rFonts w:ascii="Verdana" w:hAnsi="Verdana"/>
          <w:sz w:val="18"/>
          <w:szCs w:val="18"/>
        </w:rPr>
        <w:t>verdragsluitende staat</w:t>
      </w:r>
      <w:r w:rsidRPr="0021450B" w:rsidR="00EC5153">
        <w:rPr>
          <w:rFonts w:ascii="Verdana" w:hAnsi="Verdana"/>
          <w:sz w:val="18"/>
          <w:szCs w:val="18"/>
        </w:rPr>
        <w:t xml:space="preserve"> (conform BEPS-actie 14 en het OESO-m</w:t>
      </w:r>
      <w:r w:rsidRPr="0021450B" w:rsidR="003970D4">
        <w:rPr>
          <w:rFonts w:ascii="Verdana" w:hAnsi="Verdana"/>
          <w:sz w:val="18"/>
          <w:szCs w:val="18"/>
        </w:rPr>
        <w:t>odelverdrag).</w:t>
      </w:r>
    </w:p>
    <w:p w:rsidRPr="00A4089F" w:rsidR="003970D4" w:rsidP="00EC5153" w:rsidRDefault="00C81C0D" w14:paraId="4DBC7A67" w14:textId="77777777">
      <w:pPr>
        <w:pStyle w:val="Lijstalinea"/>
        <w:numPr>
          <w:ilvl w:val="0"/>
          <w:numId w:val="38"/>
        </w:numPr>
        <w:spacing w:line="360" w:lineRule="auto"/>
        <w:rPr>
          <w:rFonts w:ascii="Verdana" w:hAnsi="Verdana"/>
          <w:sz w:val="18"/>
          <w:szCs w:val="18"/>
        </w:rPr>
      </w:pPr>
      <w:r w:rsidRPr="0021450B">
        <w:rPr>
          <w:rFonts w:ascii="Verdana" w:hAnsi="Verdana"/>
          <w:sz w:val="18"/>
          <w:szCs w:val="18"/>
        </w:rPr>
        <w:t>U</w:t>
      </w:r>
      <w:r w:rsidRPr="0021450B" w:rsidR="003970D4">
        <w:rPr>
          <w:rFonts w:ascii="Verdana" w:hAnsi="Verdana"/>
          <w:sz w:val="18"/>
          <w:szCs w:val="18"/>
        </w:rPr>
        <w:t xml:space="preserve">itwisseling </w:t>
      </w:r>
      <w:r w:rsidRPr="0021450B" w:rsidR="00B86E6A">
        <w:rPr>
          <w:rFonts w:ascii="Verdana" w:hAnsi="Verdana"/>
          <w:sz w:val="18"/>
          <w:szCs w:val="18"/>
        </w:rPr>
        <w:t xml:space="preserve">van informatie en bijstand bij invordering: </w:t>
      </w:r>
      <w:r w:rsidR="00C73D34">
        <w:rPr>
          <w:rFonts w:ascii="Verdana" w:hAnsi="Verdana"/>
          <w:sz w:val="18"/>
          <w:szCs w:val="18"/>
        </w:rPr>
        <w:t>het Verdrag bevat bepalingen over</w:t>
      </w:r>
      <w:r w:rsidRPr="0021450B" w:rsidR="00B86E6A">
        <w:rPr>
          <w:rFonts w:ascii="Verdana" w:hAnsi="Verdana"/>
          <w:sz w:val="18"/>
          <w:szCs w:val="18"/>
        </w:rPr>
        <w:t xml:space="preserve"> uitwisseling van informatie en bijstand bij invordering </w:t>
      </w:r>
      <w:r w:rsidR="00C73D34">
        <w:rPr>
          <w:rFonts w:ascii="Verdana" w:hAnsi="Verdana"/>
          <w:sz w:val="18"/>
          <w:szCs w:val="18"/>
        </w:rPr>
        <w:t>volgens de act</w:t>
      </w:r>
      <w:r w:rsidR="00F62285">
        <w:rPr>
          <w:rFonts w:ascii="Verdana" w:hAnsi="Verdana"/>
          <w:sz w:val="18"/>
          <w:szCs w:val="18"/>
        </w:rPr>
        <w:t>uele internationale standaarden. Deze bepalingen hebben</w:t>
      </w:r>
      <w:r w:rsidR="00C73D34">
        <w:rPr>
          <w:rFonts w:ascii="Verdana" w:hAnsi="Verdana"/>
          <w:sz w:val="18"/>
          <w:szCs w:val="18"/>
        </w:rPr>
        <w:t xml:space="preserve"> ook betrekking op toeslagen. </w:t>
      </w:r>
    </w:p>
    <w:p w:rsidRPr="00E01754" w:rsidR="002037C3" w:rsidP="004827B9" w:rsidRDefault="002037C3" w14:paraId="52B0A60C" w14:textId="77777777">
      <w:pPr>
        <w:ind w:firstLine="0"/>
        <w:rPr>
          <w:rFonts w:ascii="Verdana" w:hAnsi="Verdana" w:cs="Arial"/>
          <w:i/>
          <w:sz w:val="18"/>
          <w:szCs w:val="18"/>
          <w:lang w:val="nl-NL"/>
        </w:rPr>
      </w:pPr>
      <w:r w:rsidRPr="00DD3563">
        <w:rPr>
          <w:rFonts w:ascii="Verdana" w:hAnsi="Verdana" w:cs="Arial"/>
          <w:i/>
          <w:sz w:val="18"/>
          <w:szCs w:val="18"/>
          <w:lang w:val="nl-NL"/>
        </w:rPr>
        <w:t xml:space="preserve">I.3.2. Belastingstelsel </w:t>
      </w:r>
      <w:r w:rsidRPr="00BD4E1D" w:rsidR="00776F44">
        <w:rPr>
          <w:rFonts w:ascii="Verdana" w:hAnsi="Verdana" w:cs="Arial"/>
          <w:i/>
          <w:sz w:val="18"/>
          <w:szCs w:val="18"/>
          <w:lang w:val="nl-NL"/>
        </w:rPr>
        <w:t>Bulgarije</w:t>
      </w:r>
    </w:p>
    <w:p w:rsidRPr="00BC6175" w:rsidR="004827B9" w:rsidP="00B634C9" w:rsidRDefault="00D37C40" w14:paraId="5DDEF206" w14:textId="0119D14A">
      <w:pPr>
        <w:ind w:firstLine="0"/>
        <w:rPr>
          <w:rFonts w:ascii="Verdana" w:hAnsi="Verdana"/>
          <w:sz w:val="18"/>
          <w:szCs w:val="18"/>
          <w:lang w:val="nl-NL"/>
        </w:rPr>
      </w:pPr>
      <w:r w:rsidRPr="00CB4452">
        <w:rPr>
          <w:rFonts w:ascii="Verdana" w:hAnsi="Verdana"/>
          <w:sz w:val="18"/>
          <w:szCs w:val="18"/>
          <w:lang w:val="nl-NL"/>
        </w:rPr>
        <w:br/>
      </w:r>
      <w:r w:rsidRPr="007024F8" w:rsidR="0065546D">
        <w:rPr>
          <w:rFonts w:ascii="Verdana" w:hAnsi="Verdana"/>
          <w:sz w:val="18"/>
          <w:szCs w:val="18"/>
          <w:lang w:val="nl-NL"/>
        </w:rPr>
        <w:t xml:space="preserve">Inwoners van Bulgarije worden belast over hun wereldinkomen. Niet-inwoners worden alleen belast over het inkomen </w:t>
      </w:r>
      <w:r w:rsidRPr="007024F8" w:rsidR="006608D7">
        <w:rPr>
          <w:rFonts w:ascii="Verdana" w:hAnsi="Verdana"/>
          <w:sz w:val="18"/>
          <w:szCs w:val="18"/>
          <w:lang w:val="nl-NL"/>
        </w:rPr>
        <w:t xml:space="preserve">afkomstig uit </w:t>
      </w:r>
      <w:r w:rsidRPr="007024F8" w:rsidR="0065546D">
        <w:rPr>
          <w:rFonts w:ascii="Verdana" w:hAnsi="Verdana"/>
          <w:sz w:val="18"/>
          <w:szCs w:val="18"/>
          <w:lang w:val="nl-NL"/>
        </w:rPr>
        <w:t>Bulgarije. Het tarief in de inkomstenbelasting is 10% (vlaktaks). Dit tarief geldt ook voor de vennootschapsbelasting va</w:t>
      </w:r>
      <w:r w:rsidRPr="00556990" w:rsidR="0065546D">
        <w:rPr>
          <w:rFonts w:ascii="Verdana" w:hAnsi="Verdana"/>
          <w:sz w:val="18"/>
          <w:szCs w:val="18"/>
          <w:lang w:val="nl-NL"/>
        </w:rPr>
        <w:t xml:space="preserve">n Bulgarije. </w:t>
      </w:r>
      <w:r w:rsidRPr="00556990" w:rsidR="00966898">
        <w:rPr>
          <w:rFonts w:ascii="Verdana" w:hAnsi="Verdana"/>
          <w:sz w:val="18"/>
          <w:szCs w:val="18"/>
          <w:lang w:val="nl-NL"/>
        </w:rPr>
        <w:t xml:space="preserve">De belangrijkste bronbelastingen van </w:t>
      </w:r>
      <w:r w:rsidRPr="00556990" w:rsidR="0065546D">
        <w:rPr>
          <w:rFonts w:ascii="Verdana" w:hAnsi="Verdana"/>
          <w:sz w:val="18"/>
          <w:szCs w:val="18"/>
          <w:lang w:val="nl-NL"/>
        </w:rPr>
        <w:t xml:space="preserve">Bulgarije </w:t>
      </w:r>
      <w:r w:rsidRPr="00556990" w:rsidR="00966898">
        <w:rPr>
          <w:rFonts w:ascii="Verdana" w:hAnsi="Verdana"/>
          <w:sz w:val="18"/>
          <w:szCs w:val="18"/>
          <w:lang w:val="nl-NL"/>
        </w:rPr>
        <w:t xml:space="preserve">zijn de </w:t>
      </w:r>
      <w:r w:rsidRPr="00556990" w:rsidR="00E016CD">
        <w:rPr>
          <w:rFonts w:ascii="Verdana" w:hAnsi="Verdana"/>
          <w:sz w:val="18"/>
          <w:szCs w:val="18"/>
          <w:lang w:val="nl-NL"/>
        </w:rPr>
        <w:t xml:space="preserve">bronbelasting op </w:t>
      </w:r>
      <w:r w:rsidRPr="00556990" w:rsidR="00664303">
        <w:rPr>
          <w:rFonts w:ascii="Verdana" w:hAnsi="Verdana"/>
          <w:sz w:val="18"/>
          <w:szCs w:val="18"/>
          <w:lang w:val="nl-NL"/>
        </w:rPr>
        <w:t>dividenden (</w:t>
      </w:r>
      <w:r w:rsidRPr="00556990" w:rsidR="0065546D">
        <w:rPr>
          <w:rFonts w:ascii="Verdana" w:hAnsi="Verdana"/>
          <w:sz w:val="18"/>
          <w:szCs w:val="18"/>
          <w:lang w:val="nl-NL"/>
        </w:rPr>
        <w:t>5</w:t>
      </w:r>
      <w:r w:rsidRPr="00556990" w:rsidR="00F71550">
        <w:rPr>
          <w:rFonts w:ascii="Verdana" w:hAnsi="Verdana"/>
          <w:sz w:val="18"/>
          <w:szCs w:val="18"/>
          <w:lang w:val="nl-NL"/>
        </w:rPr>
        <w:t>%</w:t>
      </w:r>
      <w:r w:rsidRPr="00556990" w:rsidR="00664303">
        <w:rPr>
          <w:rFonts w:ascii="Verdana" w:hAnsi="Verdana"/>
          <w:sz w:val="18"/>
          <w:szCs w:val="18"/>
          <w:lang w:val="nl-NL"/>
        </w:rPr>
        <w:t>), interest (</w:t>
      </w:r>
      <w:r w:rsidRPr="00556990" w:rsidR="0065546D">
        <w:rPr>
          <w:rFonts w:ascii="Verdana" w:hAnsi="Verdana"/>
          <w:sz w:val="18"/>
          <w:szCs w:val="18"/>
          <w:lang w:val="nl-NL"/>
        </w:rPr>
        <w:t>10</w:t>
      </w:r>
      <w:r w:rsidRPr="00556990" w:rsidR="00180457">
        <w:rPr>
          <w:rFonts w:ascii="Verdana" w:hAnsi="Verdana"/>
          <w:sz w:val="18"/>
          <w:szCs w:val="18"/>
          <w:lang w:val="nl-NL"/>
        </w:rPr>
        <w:t>%</w:t>
      </w:r>
      <w:r w:rsidRPr="00556990" w:rsidR="0065546D">
        <w:rPr>
          <w:rFonts w:ascii="Verdana" w:hAnsi="Verdana"/>
          <w:sz w:val="18"/>
          <w:szCs w:val="18"/>
          <w:lang w:val="nl-NL"/>
        </w:rPr>
        <w:t xml:space="preserve">) en </w:t>
      </w:r>
      <w:r w:rsidRPr="00556990" w:rsidR="00E016CD">
        <w:rPr>
          <w:rFonts w:ascii="Verdana" w:hAnsi="Verdana"/>
          <w:sz w:val="18"/>
          <w:szCs w:val="18"/>
          <w:lang w:val="nl-NL"/>
        </w:rPr>
        <w:t>royalty’s (</w:t>
      </w:r>
      <w:r w:rsidRPr="00556990" w:rsidR="0065546D">
        <w:rPr>
          <w:rFonts w:ascii="Verdana" w:hAnsi="Verdana"/>
          <w:sz w:val="18"/>
          <w:szCs w:val="18"/>
          <w:lang w:val="nl-NL"/>
        </w:rPr>
        <w:t>10</w:t>
      </w:r>
      <w:r w:rsidRPr="00556990" w:rsidR="00F71550">
        <w:rPr>
          <w:rFonts w:ascii="Verdana" w:hAnsi="Verdana"/>
          <w:sz w:val="18"/>
          <w:szCs w:val="18"/>
          <w:lang w:val="nl-NL"/>
        </w:rPr>
        <w:t>%</w:t>
      </w:r>
      <w:r w:rsidRPr="00556990" w:rsidR="00E016CD">
        <w:rPr>
          <w:rFonts w:ascii="Verdana" w:hAnsi="Verdana"/>
          <w:sz w:val="18"/>
          <w:szCs w:val="18"/>
          <w:lang w:val="nl-NL"/>
        </w:rPr>
        <w:t>)</w:t>
      </w:r>
      <w:r w:rsidRPr="00556990" w:rsidR="0065546D">
        <w:rPr>
          <w:rFonts w:ascii="Verdana" w:hAnsi="Verdana"/>
          <w:sz w:val="18"/>
          <w:szCs w:val="18"/>
          <w:lang w:val="nl-NL"/>
        </w:rPr>
        <w:t>. Aangezien Bulgarije sinds 1 januari 2007 lid is van de Europese Unie</w:t>
      </w:r>
      <w:r w:rsidRPr="00556990" w:rsidR="00805997">
        <w:rPr>
          <w:rFonts w:ascii="Verdana" w:hAnsi="Verdana"/>
          <w:sz w:val="18"/>
          <w:szCs w:val="18"/>
          <w:lang w:val="nl-NL"/>
        </w:rPr>
        <w:t>,</w:t>
      </w:r>
      <w:r w:rsidRPr="00556990" w:rsidR="0065546D">
        <w:rPr>
          <w:rFonts w:ascii="Verdana" w:hAnsi="Verdana"/>
          <w:sz w:val="18"/>
          <w:szCs w:val="18"/>
          <w:lang w:val="nl-NL"/>
        </w:rPr>
        <w:t xml:space="preserve"> </w:t>
      </w:r>
      <w:r w:rsidRPr="00556990" w:rsidR="00390EE6">
        <w:rPr>
          <w:rFonts w:ascii="Verdana" w:hAnsi="Verdana"/>
          <w:sz w:val="18"/>
          <w:szCs w:val="18"/>
          <w:lang w:val="nl-NL"/>
        </w:rPr>
        <w:t xml:space="preserve">neemt Bulgarije daarbij de heffingsbeperkingen in acht die kunnen voortvloeien uit de </w:t>
      </w:r>
      <w:r w:rsidR="006C115A">
        <w:rPr>
          <w:rFonts w:ascii="Verdana" w:hAnsi="Verdana"/>
          <w:sz w:val="18"/>
          <w:szCs w:val="18"/>
          <w:lang w:val="nl-NL"/>
        </w:rPr>
        <w:t>M</w:t>
      </w:r>
      <w:r w:rsidRPr="00556990" w:rsidR="00390EE6">
        <w:rPr>
          <w:rFonts w:ascii="Verdana" w:hAnsi="Verdana"/>
          <w:sz w:val="18"/>
          <w:szCs w:val="18"/>
          <w:lang w:val="nl-NL"/>
        </w:rPr>
        <w:t>oeder-dochterrichtlijn</w:t>
      </w:r>
      <w:r w:rsidR="00B713C2">
        <w:rPr>
          <w:rStyle w:val="Voetnootmarkering"/>
          <w:rFonts w:ascii="Verdana" w:hAnsi="Verdana"/>
          <w:sz w:val="18"/>
          <w:szCs w:val="18"/>
          <w:lang w:val="nl-NL"/>
        </w:rPr>
        <w:footnoteReference w:id="3"/>
      </w:r>
      <w:r w:rsidRPr="00556990" w:rsidR="00390EE6">
        <w:rPr>
          <w:rFonts w:ascii="Verdana" w:hAnsi="Verdana"/>
          <w:sz w:val="18"/>
          <w:szCs w:val="18"/>
          <w:lang w:val="nl-NL"/>
        </w:rPr>
        <w:t xml:space="preserve"> </w:t>
      </w:r>
      <w:r w:rsidRPr="00BC6175" w:rsidR="00390EE6">
        <w:rPr>
          <w:rFonts w:ascii="Verdana" w:hAnsi="Verdana"/>
          <w:sz w:val="18"/>
          <w:szCs w:val="18"/>
          <w:lang w:val="nl-NL"/>
        </w:rPr>
        <w:t xml:space="preserve">en uit de </w:t>
      </w:r>
      <w:r w:rsidR="006C115A">
        <w:rPr>
          <w:rFonts w:ascii="Verdana" w:hAnsi="Verdana"/>
          <w:sz w:val="18"/>
          <w:szCs w:val="18"/>
          <w:lang w:val="nl-NL"/>
        </w:rPr>
        <w:t>R</w:t>
      </w:r>
      <w:r w:rsidRPr="00BC6175" w:rsidR="00390EE6">
        <w:rPr>
          <w:rFonts w:ascii="Verdana" w:hAnsi="Verdana"/>
          <w:sz w:val="18"/>
          <w:szCs w:val="18"/>
          <w:lang w:val="nl-NL"/>
        </w:rPr>
        <w:t>ente- en royaltyrichtlijn</w:t>
      </w:r>
      <w:r w:rsidRPr="00BC6175" w:rsidR="00B634C9">
        <w:rPr>
          <w:rFonts w:ascii="Verdana" w:hAnsi="Verdana"/>
          <w:sz w:val="18"/>
          <w:szCs w:val="18"/>
          <w:lang w:val="nl-NL"/>
        </w:rPr>
        <w:t>.</w:t>
      </w:r>
      <w:r w:rsidR="00B713C2">
        <w:rPr>
          <w:rStyle w:val="Voetnootmarkering"/>
          <w:rFonts w:ascii="Verdana" w:hAnsi="Verdana"/>
          <w:sz w:val="18"/>
          <w:szCs w:val="18"/>
          <w:lang w:val="nl-NL"/>
        </w:rPr>
        <w:footnoteReference w:id="4"/>
      </w:r>
    </w:p>
    <w:p w:rsidRPr="00BC6175" w:rsidR="00C73FCF" w:rsidP="004827B9" w:rsidRDefault="00B604DD" w14:paraId="4CF7BDF3" w14:textId="77777777">
      <w:pPr>
        <w:rPr>
          <w:rFonts w:ascii="Verdana" w:hAnsi="Verdana" w:cs="Arial"/>
          <w:i/>
          <w:sz w:val="18"/>
          <w:szCs w:val="18"/>
          <w:lang w:val="nl-NL"/>
        </w:rPr>
      </w:pPr>
      <w:r w:rsidRPr="00BC6175" w:rsidDel="00B604DD">
        <w:rPr>
          <w:rFonts w:ascii="Verdana" w:hAnsi="Verdana" w:cs="Arial"/>
          <w:i/>
          <w:sz w:val="18"/>
          <w:szCs w:val="18"/>
          <w:lang w:val="nl-NL"/>
        </w:rPr>
        <w:t xml:space="preserve"> </w:t>
      </w:r>
    </w:p>
    <w:p w:rsidRPr="00916448" w:rsidR="00C73FCF" w:rsidP="00CD077B" w:rsidRDefault="00C73FCF" w14:paraId="573EF116" w14:textId="77777777">
      <w:pPr>
        <w:ind w:firstLine="0"/>
        <w:rPr>
          <w:rFonts w:ascii="Verdana" w:hAnsi="Verdana" w:cs="Arial"/>
          <w:i/>
          <w:sz w:val="18"/>
          <w:szCs w:val="18"/>
          <w:lang w:val="nl-NL"/>
        </w:rPr>
      </w:pPr>
      <w:r w:rsidRPr="00916448">
        <w:rPr>
          <w:rFonts w:ascii="Verdana" w:hAnsi="Verdana" w:cs="Arial"/>
          <w:i/>
          <w:sz w:val="18"/>
          <w:szCs w:val="18"/>
          <w:lang w:val="nl-NL"/>
        </w:rPr>
        <w:t>I.4. Budgettaire aspecten</w:t>
      </w:r>
      <w:r w:rsidRPr="00916448">
        <w:rPr>
          <w:rFonts w:ascii="Verdana" w:hAnsi="Verdana" w:cs="Arial"/>
          <w:i/>
          <w:sz w:val="18"/>
          <w:szCs w:val="18"/>
          <w:lang w:val="nl-NL"/>
        </w:rPr>
        <w:br/>
      </w:r>
    </w:p>
    <w:p w:rsidRPr="0021450B" w:rsidR="00E06DFA" w:rsidP="002B64DA" w:rsidRDefault="00D4704C" w14:paraId="24B3C2B8" w14:textId="77777777">
      <w:pPr>
        <w:ind w:firstLine="0"/>
        <w:rPr>
          <w:rFonts w:ascii="Verdana" w:hAnsi="Verdana"/>
          <w:sz w:val="18"/>
          <w:szCs w:val="18"/>
          <w:lang w:val="nl-NL"/>
        </w:rPr>
      </w:pPr>
      <w:r w:rsidRPr="00916448">
        <w:rPr>
          <w:rFonts w:ascii="Verdana" w:hAnsi="Verdana"/>
          <w:sz w:val="18"/>
          <w:szCs w:val="18"/>
          <w:lang w:val="nl-NL"/>
        </w:rPr>
        <w:t>De budgettaire gevolgen van het Verdrag zullen naar verwachting per saldo neutraal zijn.</w:t>
      </w:r>
      <w:r w:rsidR="00104481">
        <w:rPr>
          <w:rFonts w:ascii="Verdana" w:hAnsi="Verdana"/>
          <w:sz w:val="18"/>
          <w:szCs w:val="18"/>
          <w:lang w:val="nl-NL"/>
        </w:rPr>
        <w:t xml:space="preserve"> </w:t>
      </w:r>
      <w:r w:rsidRPr="00780A5E" w:rsidR="00104481">
        <w:rPr>
          <w:rFonts w:ascii="Verdana" w:hAnsi="Verdana"/>
          <w:sz w:val="18"/>
          <w:szCs w:val="18"/>
          <w:lang w:val="nl-NL"/>
        </w:rPr>
        <w:t xml:space="preserve">Voor het Nederlandse bedrijfsleven zal het Verdrag bij bestaande en nieuwe activiteiten en investeringen in Bulgarije </w:t>
      </w:r>
      <w:r w:rsidRPr="000819E4" w:rsidR="00104481">
        <w:rPr>
          <w:rFonts w:ascii="Verdana" w:hAnsi="Verdana"/>
          <w:sz w:val="18"/>
          <w:szCs w:val="18"/>
          <w:lang w:val="nl-NL"/>
        </w:rPr>
        <w:t>positief uitwerken.</w:t>
      </w:r>
      <w:r w:rsidRPr="00916448">
        <w:rPr>
          <w:rFonts w:ascii="Verdana" w:hAnsi="Verdana"/>
          <w:sz w:val="18"/>
          <w:szCs w:val="18"/>
          <w:lang w:val="nl-NL"/>
        </w:rPr>
        <w:t xml:space="preserve"> </w:t>
      </w:r>
      <w:r w:rsidRPr="000819E4" w:rsidR="002D160C">
        <w:rPr>
          <w:rFonts w:ascii="Verdana" w:hAnsi="Verdana"/>
          <w:sz w:val="18"/>
          <w:szCs w:val="18"/>
          <w:lang w:val="nl-NL"/>
        </w:rPr>
        <w:t xml:space="preserve">De grenzen van de heffingsbevoegdheden van beide </w:t>
      </w:r>
      <w:r w:rsidR="003103E7">
        <w:rPr>
          <w:rFonts w:ascii="Verdana" w:hAnsi="Verdana"/>
          <w:sz w:val="18"/>
          <w:szCs w:val="18"/>
          <w:lang w:val="nl-NL"/>
        </w:rPr>
        <w:t>staten</w:t>
      </w:r>
      <w:r w:rsidRPr="000819E4" w:rsidR="00BD6703">
        <w:rPr>
          <w:rFonts w:ascii="Verdana" w:hAnsi="Verdana"/>
          <w:sz w:val="18"/>
          <w:szCs w:val="18"/>
          <w:lang w:val="nl-NL"/>
        </w:rPr>
        <w:t xml:space="preserve"> </w:t>
      </w:r>
      <w:r w:rsidRPr="000819E4" w:rsidR="002D160C">
        <w:rPr>
          <w:rFonts w:ascii="Verdana" w:hAnsi="Verdana"/>
          <w:sz w:val="18"/>
          <w:szCs w:val="18"/>
          <w:lang w:val="nl-NL"/>
        </w:rPr>
        <w:t>zijn duidelijk vastgelegd en er is een goede grondslag gel</w:t>
      </w:r>
      <w:r w:rsidRPr="0021450B" w:rsidR="002D160C">
        <w:rPr>
          <w:rFonts w:ascii="Verdana" w:hAnsi="Verdana"/>
          <w:sz w:val="18"/>
          <w:szCs w:val="18"/>
          <w:lang w:val="nl-NL"/>
        </w:rPr>
        <w:t xml:space="preserve">egd voor overleg en geschillenbeslechting in </w:t>
      </w:r>
      <w:r w:rsidRPr="0021450B" w:rsidR="002D160C">
        <w:rPr>
          <w:rFonts w:ascii="Verdana" w:hAnsi="Verdana"/>
          <w:sz w:val="18"/>
          <w:szCs w:val="18"/>
          <w:lang w:val="nl-NL"/>
        </w:rPr>
        <w:lastRenderedPageBreak/>
        <w:t xml:space="preserve">die situaties waarin toepassing van het Verdrag tot problemen </w:t>
      </w:r>
      <w:r w:rsidRPr="0021450B" w:rsidR="00C73FCF">
        <w:rPr>
          <w:rFonts w:ascii="Verdana" w:hAnsi="Verdana"/>
          <w:sz w:val="18"/>
          <w:szCs w:val="18"/>
          <w:lang w:val="nl-NL"/>
        </w:rPr>
        <w:t>leidt</w:t>
      </w:r>
      <w:r w:rsidRPr="0021450B" w:rsidR="002D160C">
        <w:rPr>
          <w:rFonts w:ascii="Verdana" w:hAnsi="Verdana"/>
          <w:sz w:val="18"/>
          <w:szCs w:val="18"/>
          <w:lang w:val="nl-NL"/>
        </w:rPr>
        <w:t>.</w:t>
      </w:r>
      <w:r w:rsidRPr="0021450B" w:rsidR="009B275E">
        <w:rPr>
          <w:rFonts w:ascii="Verdana" w:hAnsi="Verdana"/>
          <w:sz w:val="18"/>
          <w:szCs w:val="18"/>
          <w:lang w:val="nl-NL"/>
        </w:rPr>
        <w:br/>
      </w:r>
    </w:p>
    <w:p w:rsidRPr="0021450B" w:rsidR="00C73FCF" w:rsidP="009B275E" w:rsidRDefault="00C73FCF" w14:paraId="1F41CBA3" w14:textId="77777777">
      <w:pPr>
        <w:pStyle w:val="Kop2"/>
        <w:numPr>
          <w:ilvl w:val="0"/>
          <w:numId w:val="0"/>
        </w:numPr>
        <w:spacing w:before="0" w:after="0"/>
        <w:rPr>
          <w:rFonts w:ascii="Verdana" w:hAnsi="Verdana"/>
          <w:b w:val="0"/>
          <w:sz w:val="18"/>
          <w:szCs w:val="18"/>
          <w:lang w:val="nl-NL"/>
        </w:rPr>
      </w:pPr>
      <w:r w:rsidRPr="0021450B">
        <w:rPr>
          <w:rFonts w:ascii="Verdana" w:hAnsi="Verdana" w:cs="Arial"/>
          <w:b w:val="0"/>
          <w:i/>
          <w:sz w:val="18"/>
          <w:szCs w:val="18"/>
          <w:lang w:val="nl-NL"/>
        </w:rPr>
        <w:t>I.5. Inbreng van derden</w:t>
      </w:r>
    </w:p>
    <w:p w:rsidRPr="0021450B" w:rsidR="00C73FCF" w:rsidP="009B275E" w:rsidRDefault="00C73FCF" w14:paraId="3A2DE7EF" w14:textId="77777777">
      <w:pPr>
        <w:rPr>
          <w:rFonts w:ascii="Verdana" w:hAnsi="Verdana"/>
          <w:sz w:val="18"/>
          <w:szCs w:val="18"/>
          <w:lang w:val="nl-NL"/>
        </w:rPr>
      </w:pPr>
    </w:p>
    <w:p w:rsidRPr="00CB4452" w:rsidR="00E06DFA" w:rsidP="006C286E" w:rsidRDefault="00842C64" w14:paraId="0E278CC0" w14:textId="77777777">
      <w:pPr>
        <w:ind w:firstLine="0"/>
        <w:rPr>
          <w:rFonts w:ascii="Verdana" w:hAnsi="Verdana"/>
          <w:sz w:val="18"/>
          <w:szCs w:val="18"/>
          <w:lang w:val="nl-NL"/>
        </w:rPr>
      </w:pPr>
      <w:r w:rsidRPr="00BA2B89">
        <w:rPr>
          <w:rFonts w:ascii="Verdana" w:hAnsi="Verdana"/>
          <w:sz w:val="18"/>
          <w:szCs w:val="18"/>
          <w:lang w:val="nl-NL"/>
        </w:rPr>
        <w:t xml:space="preserve">Het </w:t>
      </w:r>
      <w:r w:rsidRPr="00BA2B89" w:rsidR="00B42F64">
        <w:rPr>
          <w:rFonts w:ascii="Verdana" w:hAnsi="Verdana"/>
          <w:sz w:val="18"/>
          <w:szCs w:val="18"/>
          <w:lang w:val="nl-NL"/>
        </w:rPr>
        <w:t>M</w:t>
      </w:r>
      <w:r w:rsidRPr="00A4089F">
        <w:rPr>
          <w:rFonts w:ascii="Verdana" w:hAnsi="Verdana"/>
          <w:sz w:val="18"/>
          <w:szCs w:val="18"/>
          <w:lang w:val="nl-NL"/>
        </w:rPr>
        <w:t xml:space="preserve">inisterie van Financiën heeft via </w:t>
      </w:r>
      <w:r w:rsidRPr="00A4089F" w:rsidR="0064755F">
        <w:rPr>
          <w:rFonts w:ascii="Verdana" w:hAnsi="Verdana"/>
          <w:sz w:val="18"/>
          <w:szCs w:val="18"/>
          <w:lang w:val="nl-NL"/>
        </w:rPr>
        <w:t>de gebruikelijke nieuwsberichten</w:t>
      </w:r>
      <w:r w:rsidRPr="00AA5A9F">
        <w:rPr>
          <w:rFonts w:ascii="Verdana" w:hAnsi="Verdana"/>
          <w:sz w:val="18"/>
          <w:szCs w:val="18"/>
          <w:lang w:val="nl-NL"/>
        </w:rPr>
        <w:t xml:space="preserve"> de onderhandelingen met </w:t>
      </w:r>
      <w:r w:rsidRPr="00DD3563" w:rsidR="00B604DD">
        <w:rPr>
          <w:rFonts w:ascii="Verdana" w:hAnsi="Verdana"/>
          <w:sz w:val="18"/>
          <w:szCs w:val="18"/>
          <w:lang w:val="nl-NL"/>
        </w:rPr>
        <w:t>Bulgarije o</w:t>
      </w:r>
      <w:r w:rsidRPr="00BD4E1D">
        <w:rPr>
          <w:rFonts w:ascii="Verdana" w:hAnsi="Verdana"/>
          <w:sz w:val="18"/>
          <w:szCs w:val="18"/>
          <w:lang w:val="nl-NL"/>
        </w:rPr>
        <w:t>nder de aandacht gebracht en belanghebben</w:t>
      </w:r>
      <w:r w:rsidRPr="00E01754">
        <w:rPr>
          <w:rFonts w:ascii="Verdana" w:hAnsi="Verdana"/>
          <w:sz w:val="18"/>
          <w:szCs w:val="18"/>
          <w:lang w:val="nl-NL"/>
        </w:rPr>
        <w:t xml:space="preserve">den verzocht de voor hen van belang zijnde aangelegenheden kenbaar te maken. </w:t>
      </w:r>
      <w:r w:rsidRPr="00E01754" w:rsidR="00390EE6">
        <w:rPr>
          <w:rFonts w:ascii="Verdana" w:hAnsi="Verdana"/>
          <w:sz w:val="18"/>
          <w:szCs w:val="18"/>
          <w:lang w:val="nl-NL"/>
        </w:rPr>
        <w:t xml:space="preserve">Daarop </w:t>
      </w:r>
      <w:r w:rsidR="00246290">
        <w:rPr>
          <w:rFonts w:ascii="Verdana" w:hAnsi="Verdana"/>
          <w:sz w:val="18"/>
          <w:szCs w:val="18"/>
          <w:lang w:val="nl-NL"/>
        </w:rPr>
        <w:t>zijn geen inhoudelijke reacties</w:t>
      </w:r>
      <w:r w:rsidRPr="00E01754" w:rsidR="00390EE6">
        <w:rPr>
          <w:rFonts w:ascii="Verdana" w:hAnsi="Verdana"/>
          <w:sz w:val="18"/>
          <w:szCs w:val="18"/>
          <w:lang w:val="nl-NL"/>
        </w:rPr>
        <w:t xml:space="preserve"> ontvangen</w:t>
      </w:r>
      <w:r w:rsidRPr="003103E7" w:rsidR="00152EA3">
        <w:rPr>
          <w:rFonts w:ascii="Verdana" w:hAnsi="Verdana"/>
          <w:sz w:val="18"/>
          <w:szCs w:val="18"/>
          <w:lang w:val="nl-NL"/>
        </w:rPr>
        <w:t xml:space="preserve">. </w:t>
      </w:r>
      <w:r w:rsidRPr="003103E7" w:rsidR="009B275E">
        <w:rPr>
          <w:rFonts w:ascii="Verdana" w:hAnsi="Verdana"/>
          <w:sz w:val="18"/>
          <w:szCs w:val="18"/>
          <w:lang w:val="nl-NL"/>
        </w:rPr>
        <w:br/>
      </w:r>
    </w:p>
    <w:p w:rsidRPr="007024F8" w:rsidR="00F32208" w:rsidP="009B275E" w:rsidRDefault="00F32208" w14:paraId="1E4F5BD2" w14:textId="77777777">
      <w:pPr>
        <w:pStyle w:val="Kop2"/>
        <w:numPr>
          <w:ilvl w:val="0"/>
          <w:numId w:val="0"/>
        </w:numPr>
        <w:spacing w:before="0" w:after="0"/>
        <w:rPr>
          <w:rFonts w:ascii="Verdana" w:hAnsi="Verdana" w:cs="Arial"/>
          <w:b w:val="0"/>
          <w:i/>
          <w:sz w:val="18"/>
          <w:szCs w:val="18"/>
          <w:lang w:val="nl-NL"/>
        </w:rPr>
      </w:pPr>
      <w:r w:rsidRPr="007024F8">
        <w:rPr>
          <w:rFonts w:ascii="Verdana" w:hAnsi="Verdana" w:cs="Arial"/>
          <w:b w:val="0"/>
          <w:i/>
          <w:sz w:val="18"/>
          <w:szCs w:val="18"/>
          <w:lang w:val="nl-NL"/>
        </w:rPr>
        <w:t>I.6. Koninkrijkspositie</w:t>
      </w:r>
    </w:p>
    <w:p w:rsidRPr="0021450B" w:rsidR="00CD077B" w:rsidP="009B275E" w:rsidRDefault="00CD077B" w14:paraId="6582585C" w14:textId="77777777">
      <w:pPr>
        <w:rPr>
          <w:rFonts w:ascii="Verdana" w:hAnsi="Verdana"/>
          <w:sz w:val="18"/>
          <w:szCs w:val="18"/>
          <w:lang w:val="nl-NL"/>
        </w:rPr>
      </w:pPr>
    </w:p>
    <w:p w:rsidRPr="00CB07AC" w:rsidR="00E06DFA" w:rsidP="006C286E" w:rsidRDefault="00B604DD" w14:paraId="5484AFCA" w14:textId="77777777">
      <w:pPr>
        <w:ind w:firstLine="0"/>
        <w:rPr>
          <w:rFonts w:ascii="Verdana" w:hAnsi="Verdana"/>
          <w:sz w:val="18"/>
          <w:szCs w:val="18"/>
          <w:lang w:val="nl-NL"/>
        </w:rPr>
      </w:pPr>
      <w:r w:rsidRPr="00556990">
        <w:rPr>
          <w:rFonts w:ascii="Verdana" w:hAnsi="Verdana"/>
          <w:sz w:val="18"/>
          <w:szCs w:val="18"/>
          <w:lang w:val="nl-NL"/>
        </w:rPr>
        <w:t>Het Verdrag zal</w:t>
      </w:r>
      <w:r w:rsidRPr="00556990" w:rsidR="002B64DA">
        <w:rPr>
          <w:rFonts w:ascii="Verdana" w:hAnsi="Verdana"/>
          <w:sz w:val="18"/>
          <w:szCs w:val="18"/>
          <w:lang w:val="nl-NL"/>
        </w:rPr>
        <w:t xml:space="preserve"> voor het</w:t>
      </w:r>
      <w:r w:rsidRPr="00556990">
        <w:rPr>
          <w:rFonts w:ascii="Verdana" w:hAnsi="Verdana"/>
          <w:sz w:val="18"/>
          <w:szCs w:val="18"/>
          <w:lang w:val="nl-NL"/>
        </w:rPr>
        <w:t xml:space="preserve"> Koninkrijk der Nederlanden gelden voor het Europese deel en voor het Caribische deel </w:t>
      </w:r>
      <w:r w:rsidRPr="00CB07AC">
        <w:rPr>
          <w:rFonts w:ascii="Verdana" w:hAnsi="Verdana"/>
          <w:sz w:val="18"/>
          <w:szCs w:val="18"/>
          <w:lang w:val="nl-NL"/>
        </w:rPr>
        <w:t xml:space="preserve">van </w:t>
      </w:r>
      <w:r w:rsidRPr="00CB07AC" w:rsidR="00805997">
        <w:rPr>
          <w:rFonts w:ascii="Verdana" w:hAnsi="Verdana"/>
          <w:sz w:val="18"/>
          <w:szCs w:val="18"/>
          <w:lang w:val="nl-NL"/>
        </w:rPr>
        <w:t xml:space="preserve">het </w:t>
      </w:r>
      <w:r w:rsidRPr="00CB07AC" w:rsidR="00762FD3">
        <w:rPr>
          <w:rFonts w:ascii="Verdana" w:hAnsi="Verdana"/>
          <w:sz w:val="18"/>
          <w:szCs w:val="18"/>
          <w:lang w:val="nl-NL"/>
        </w:rPr>
        <w:t>land Nederland</w:t>
      </w:r>
      <w:r w:rsidRPr="00CB07AC" w:rsidR="002F33CE">
        <w:rPr>
          <w:rFonts w:ascii="Verdana" w:hAnsi="Verdana"/>
          <w:sz w:val="18"/>
          <w:szCs w:val="18"/>
          <w:lang w:val="nl-NL"/>
        </w:rPr>
        <w:t>.</w:t>
      </w:r>
      <w:r w:rsidRPr="00CB07AC">
        <w:rPr>
          <w:rFonts w:ascii="Verdana" w:hAnsi="Verdana"/>
          <w:sz w:val="18"/>
          <w:szCs w:val="18"/>
          <w:lang w:val="nl-NL"/>
        </w:rPr>
        <w:t xml:space="preserve"> Daarmee is rekening gehouden met de op 10 oktober 2010 doorgevoerde staatkundige hervorming van het Koninkrijk, zoals ook beschreven in Bijlage III </w:t>
      </w:r>
      <w:r w:rsidRPr="00CB07AC" w:rsidR="002B64DA">
        <w:rPr>
          <w:rFonts w:ascii="Verdana" w:hAnsi="Verdana"/>
          <w:sz w:val="18"/>
          <w:szCs w:val="18"/>
          <w:lang w:val="nl-NL"/>
        </w:rPr>
        <w:t>van</w:t>
      </w:r>
      <w:r w:rsidRPr="00CB07AC">
        <w:rPr>
          <w:rFonts w:ascii="Verdana" w:hAnsi="Verdana"/>
          <w:sz w:val="18"/>
          <w:szCs w:val="18"/>
          <w:lang w:val="nl-NL"/>
        </w:rPr>
        <w:t xml:space="preserve"> de NFV 2011. </w:t>
      </w:r>
      <w:r w:rsidRPr="00CB07AC" w:rsidR="002F33CE">
        <w:rPr>
          <w:rFonts w:ascii="Verdana" w:hAnsi="Verdana"/>
          <w:sz w:val="18"/>
          <w:szCs w:val="18"/>
          <w:lang w:val="nl-NL"/>
        </w:rPr>
        <w:t xml:space="preserve">Wat betreft </w:t>
      </w:r>
      <w:r w:rsidR="00CB07AC">
        <w:rPr>
          <w:rFonts w:ascii="Verdana" w:hAnsi="Verdana"/>
          <w:sz w:val="18"/>
          <w:szCs w:val="18"/>
          <w:lang w:val="nl-NL"/>
        </w:rPr>
        <w:t>het Caribische deel van Nederland</w:t>
      </w:r>
      <w:r w:rsidRPr="00CB07AC" w:rsidR="002F33CE">
        <w:rPr>
          <w:rFonts w:ascii="Verdana" w:hAnsi="Verdana"/>
          <w:sz w:val="18"/>
          <w:szCs w:val="18"/>
          <w:lang w:val="nl-NL"/>
        </w:rPr>
        <w:t xml:space="preserve"> </w:t>
      </w:r>
      <w:r w:rsidRPr="00CB07AC" w:rsidR="007276E6">
        <w:rPr>
          <w:rFonts w:ascii="Verdana" w:hAnsi="Verdana"/>
          <w:sz w:val="18"/>
          <w:szCs w:val="18"/>
          <w:lang w:val="nl-NL"/>
        </w:rPr>
        <w:t>(de eilanden</w:t>
      </w:r>
      <w:r w:rsidR="007276E6">
        <w:rPr>
          <w:rFonts w:ascii="Verdana" w:hAnsi="Verdana"/>
          <w:sz w:val="18"/>
          <w:szCs w:val="18"/>
          <w:lang w:val="nl-NL"/>
        </w:rPr>
        <w:t xml:space="preserve"> Bonaire, Sint Eustatius en Saba</w:t>
      </w:r>
      <w:r w:rsidRPr="00CB07AC" w:rsidR="007276E6">
        <w:rPr>
          <w:rFonts w:ascii="Verdana" w:hAnsi="Verdana"/>
          <w:sz w:val="18"/>
          <w:szCs w:val="18"/>
          <w:lang w:val="nl-NL"/>
        </w:rPr>
        <w:t xml:space="preserve">) </w:t>
      </w:r>
      <w:r w:rsidRPr="00CB07AC" w:rsidR="002F33CE">
        <w:rPr>
          <w:rFonts w:ascii="Verdana" w:hAnsi="Verdana"/>
          <w:sz w:val="18"/>
          <w:szCs w:val="18"/>
          <w:lang w:val="nl-NL"/>
        </w:rPr>
        <w:t xml:space="preserve">is overeengekomen dat het </w:t>
      </w:r>
      <w:r w:rsidRPr="00CB07AC" w:rsidR="00C026F4">
        <w:rPr>
          <w:rFonts w:ascii="Verdana" w:hAnsi="Verdana"/>
          <w:sz w:val="18"/>
          <w:szCs w:val="18"/>
          <w:lang w:val="nl-NL"/>
        </w:rPr>
        <w:t>V</w:t>
      </w:r>
      <w:r w:rsidRPr="00CB07AC" w:rsidR="002F33CE">
        <w:rPr>
          <w:rFonts w:ascii="Verdana" w:hAnsi="Verdana"/>
          <w:sz w:val="18"/>
          <w:szCs w:val="18"/>
          <w:lang w:val="nl-NL"/>
        </w:rPr>
        <w:t>erdrag alleen toepassing vindt op natuurlijke personen die inwoner daarvan zijn.</w:t>
      </w:r>
      <w:r w:rsidRPr="0021450B" w:rsidR="0013779A">
        <w:rPr>
          <w:rFonts w:ascii="Verdana" w:hAnsi="Verdana"/>
          <w:sz w:val="18"/>
          <w:szCs w:val="18"/>
          <w:lang w:val="nl-NL"/>
        </w:rPr>
        <w:t xml:space="preserve"> </w:t>
      </w:r>
      <w:r w:rsidRPr="0021450B" w:rsidR="00A66C8C">
        <w:rPr>
          <w:rFonts w:ascii="Verdana" w:hAnsi="Verdana"/>
          <w:sz w:val="18"/>
          <w:szCs w:val="18"/>
          <w:lang w:val="nl-NL"/>
        </w:rPr>
        <w:t xml:space="preserve">Vanwege de onbekendheid met het afwijkende </w:t>
      </w:r>
      <w:r w:rsidRPr="00556990" w:rsidR="00A66C8C">
        <w:rPr>
          <w:rFonts w:ascii="Verdana" w:hAnsi="Verdana"/>
          <w:sz w:val="18"/>
          <w:szCs w:val="18"/>
          <w:lang w:val="nl-NL"/>
        </w:rPr>
        <w:t>fiscale stelsel voor lichamen gevestigd in dit deel van Nederland</w:t>
      </w:r>
      <w:r w:rsidRPr="00556990" w:rsidR="002B64DA">
        <w:rPr>
          <w:rFonts w:ascii="Verdana" w:hAnsi="Verdana"/>
          <w:sz w:val="18"/>
          <w:szCs w:val="18"/>
          <w:lang w:val="nl-NL"/>
        </w:rPr>
        <w:t>,</w:t>
      </w:r>
      <w:r w:rsidRPr="00556990" w:rsidR="00A66C8C">
        <w:rPr>
          <w:rFonts w:ascii="Verdana" w:hAnsi="Verdana"/>
          <w:sz w:val="18"/>
          <w:szCs w:val="18"/>
          <w:lang w:val="nl-NL"/>
        </w:rPr>
        <w:t xml:space="preserve"> was Bulgarije niet bereid het Verdrag mede van toepassing te laten zijn op </w:t>
      </w:r>
      <w:r w:rsidRPr="00CB07AC" w:rsidR="000162B4">
        <w:rPr>
          <w:rFonts w:ascii="Verdana" w:hAnsi="Verdana"/>
          <w:sz w:val="18"/>
          <w:szCs w:val="18"/>
          <w:lang w:val="nl-NL"/>
        </w:rPr>
        <w:t xml:space="preserve">lichamen die zijn gevestigd op </w:t>
      </w:r>
      <w:r w:rsidRPr="00CB07AC" w:rsidR="00A66C8C">
        <w:rPr>
          <w:rFonts w:ascii="Verdana" w:hAnsi="Verdana"/>
          <w:sz w:val="18"/>
          <w:szCs w:val="18"/>
          <w:lang w:val="nl-NL"/>
        </w:rPr>
        <w:t>Bonaire, Sint Eustatius en Saba</w:t>
      </w:r>
      <w:r w:rsidRPr="00CB07AC" w:rsidR="000162B4">
        <w:rPr>
          <w:rFonts w:ascii="Verdana" w:hAnsi="Verdana"/>
          <w:sz w:val="18"/>
          <w:szCs w:val="18"/>
          <w:lang w:val="nl-NL"/>
        </w:rPr>
        <w:t xml:space="preserve">. </w:t>
      </w:r>
      <w:r w:rsidRPr="00CB07AC" w:rsidR="00632F6E">
        <w:rPr>
          <w:rFonts w:ascii="Verdana" w:hAnsi="Verdana"/>
          <w:sz w:val="18"/>
          <w:szCs w:val="18"/>
          <w:lang w:val="nl-NL"/>
        </w:rPr>
        <w:t xml:space="preserve">Nederland heeft </w:t>
      </w:r>
      <w:r w:rsidRPr="00CB07AC" w:rsidR="008E7FDD">
        <w:rPr>
          <w:rFonts w:ascii="Verdana" w:hAnsi="Verdana"/>
          <w:sz w:val="18"/>
          <w:szCs w:val="18"/>
          <w:lang w:val="nl-NL"/>
        </w:rPr>
        <w:t xml:space="preserve">uiteindelijk ingestemd met een beperkte toepassing van het Verdrag in relatie </w:t>
      </w:r>
      <w:r w:rsidRPr="00CB07AC" w:rsidR="002B64DA">
        <w:rPr>
          <w:rFonts w:ascii="Verdana" w:hAnsi="Verdana"/>
          <w:sz w:val="18"/>
          <w:szCs w:val="18"/>
          <w:lang w:val="nl-NL"/>
        </w:rPr>
        <w:t>tot</w:t>
      </w:r>
      <w:r w:rsidRPr="00CB07AC" w:rsidR="008E7FDD">
        <w:rPr>
          <w:rFonts w:ascii="Verdana" w:hAnsi="Verdana"/>
          <w:sz w:val="18"/>
          <w:szCs w:val="18"/>
          <w:lang w:val="nl-NL"/>
        </w:rPr>
        <w:t xml:space="preserve"> </w:t>
      </w:r>
      <w:r w:rsidR="00CB07AC">
        <w:rPr>
          <w:rFonts w:ascii="Verdana" w:hAnsi="Verdana"/>
          <w:sz w:val="18"/>
          <w:szCs w:val="18"/>
          <w:lang w:val="nl-NL"/>
        </w:rPr>
        <w:t>Caribisch Nederland</w:t>
      </w:r>
      <w:r w:rsidRPr="00CB07AC" w:rsidR="008E7FDD">
        <w:rPr>
          <w:rFonts w:ascii="Verdana" w:hAnsi="Verdana"/>
          <w:sz w:val="18"/>
          <w:szCs w:val="18"/>
          <w:lang w:val="nl-NL"/>
        </w:rPr>
        <w:t xml:space="preserve">, in lijn met de in bijlage III van de NFV 2011 </w:t>
      </w:r>
      <w:r w:rsidRPr="00CB07AC" w:rsidR="00C6335C">
        <w:rPr>
          <w:rFonts w:ascii="Verdana" w:hAnsi="Verdana"/>
          <w:sz w:val="18"/>
          <w:szCs w:val="18"/>
          <w:lang w:val="nl-NL"/>
        </w:rPr>
        <w:t>opgenomen uiteenzetting hierover.</w:t>
      </w:r>
      <w:r w:rsidRPr="00CB07AC" w:rsidR="008E7FDD">
        <w:rPr>
          <w:rFonts w:ascii="Verdana" w:hAnsi="Verdana"/>
          <w:sz w:val="18"/>
          <w:szCs w:val="18"/>
          <w:lang w:val="nl-NL"/>
        </w:rPr>
        <w:t xml:space="preserve"> </w:t>
      </w:r>
      <w:r w:rsidRPr="00CB07AC" w:rsidR="000162B4">
        <w:rPr>
          <w:rFonts w:ascii="Verdana" w:hAnsi="Verdana"/>
          <w:sz w:val="18"/>
          <w:szCs w:val="18"/>
          <w:lang w:val="nl-NL"/>
        </w:rPr>
        <w:t xml:space="preserve">Een </w:t>
      </w:r>
      <w:r w:rsidR="00274587">
        <w:rPr>
          <w:rFonts w:ascii="Verdana" w:hAnsi="Verdana"/>
          <w:sz w:val="18"/>
          <w:szCs w:val="18"/>
          <w:lang w:val="nl-NL"/>
        </w:rPr>
        <w:t xml:space="preserve">dergelijke </w:t>
      </w:r>
      <w:r w:rsidRPr="00CB07AC" w:rsidR="000162B4">
        <w:rPr>
          <w:rFonts w:ascii="Verdana" w:hAnsi="Verdana"/>
          <w:sz w:val="18"/>
          <w:szCs w:val="18"/>
          <w:lang w:val="nl-NL"/>
        </w:rPr>
        <w:t xml:space="preserve">beperking van de toepassing van het Verdrag tot </w:t>
      </w:r>
      <w:r w:rsidR="00CB07AC">
        <w:rPr>
          <w:rFonts w:ascii="Verdana" w:hAnsi="Verdana"/>
          <w:sz w:val="18"/>
          <w:szCs w:val="18"/>
          <w:lang w:val="nl-NL"/>
        </w:rPr>
        <w:t>in Caribisch Nederland</w:t>
      </w:r>
      <w:r w:rsidRPr="00CB07AC" w:rsidR="000162B4">
        <w:rPr>
          <w:rFonts w:ascii="Verdana" w:hAnsi="Verdana"/>
          <w:sz w:val="18"/>
          <w:szCs w:val="18"/>
          <w:lang w:val="nl-NL"/>
        </w:rPr>
        <w:t xml:space="preserve"> wonende natuurlijke personen </w:t>
      </w:r>
      <w:r w:rsidR="00274587">
        <w:rPr>
          <w:rFonts w:ascii="Verdana" w:hAnsi="Verdana"/>
          <w:sz w:val="18"/>
          <w:szCs w:val="18"/>
          <w:lang w:val="nl-NL"/>
        </w:rPr>
        <w:t xml:space="preserve">is </w:t>
      </w:r>
      <w:r w:rsidRPr="00CB07AC" w:rsidR="000162B4">
        <w:rPr>
          <w:rFonts w:ascii="Verdana" w:hAnsi="Verdana"/>
          <w:sz w:val="18"/>
          <w:szCs w:val="18"/>
          <w:lang w:val="nl-NL"/>
        </w:rPr>
        <w:t>ook overeengekomen in het</w:t>
      </w:r>
      <w:r w:rsidR="007024F8">
        <w:rPr>
          <w:rFonts w:ascii="Verdana" w:hAnsi="Verdana"/>
          <w:sz w:val="18"/>
          <w:szCs w:val="18"/>
          <w:lang w:val="nl-NL"/>
        </w:rPr>
        <w:t xml:space="preserve"> in 2013</w:t>
      </w:r>
      <w:r w:rsidRPr="00CB07AC" w:rsidR="000162B4">
        <w:rPr>
          <w:rFonts w:ascii="Verdana" w:hAnsi="Verdana"/>
          <w:sz w:val="18"/>
          <w:szCs w:val="18"/>
          <w:lang w:val="nl-NL"/>
        </w:rPr>
        <w:t xml:space="preserve"> met China gesloten belastingverdrag </w:t>
      </w:r>
      <w:r w:rsidRPr="00CB07AC" w:rsidR="00C026F4">
        <w:rPr>
          <w:rFonts w:ascii="Verdana" w:hAnsi="Verdana"/>
          <w:sz w:val="18"/>
          <w:szCs w:val="18"/>
          <w:lang w:val="nl-NL"/>
        </w:rPr>
        <w:t>(</w:t>
      </w:r>
      <w:r w:rsidRPr="00CB07AC" w:rsidR="00C026F4">
        <w:rPr>
          <w:rFonts w:ascii="Verdana" w:hAnsi="Verdana"/>
          <w:i/>
          <w:sz w:val="18"/>
          <w:szCs w:val="18"/>
          <w:lang w:val="nl-NL"/>
        </w:rPr>
        <w:t xml:space="preserve">Trb. </w:t>
      </w:r>
      <w:r w:rsidRPr="00CB07AC" w:rsidR="00C026F4">
        <w:rPr>
          <w:rFonts w:ascii="Verdana" w:hAnsi="Verdana"/>
          <w:sz w:val="18"/>
          <w:szCs w:val="18"/>
          <w:lang w:val="nl-NL"/>
        </w:rPr>
        <w:t>2013, 104)</w:t>
      </w:r>
      <w:r w:rsidRPr="00CB07AC" w:rsidR="008D0EF1">
        <w:rPr>
          <w:rFonts w:ascii="Verdana" w:hAnsi="Verdana"/>
          <w:sz w:val="18"/>
          <w:szCs w:val="18"/>
          <w:lang w:val="nl-NL"/>
        </w:rPr>
        <w:t>.</w:t>
      </w:r>
      <w:r w:rsidRPr="00CB07AC" w:rsidR="008C113B">
        <w:rPr>
          <w:rFonts w:ascii="Verdana" w:hAnsi="Verdana"/>
          <w:sz w:val="18"/>
          <w:szCs w:val="18"/>
          <w:lang w:val="nl-NL"/>
        </w:rPr>
        <w:t xml:space="preserve"> </w:t>
      </w:r>
      <w:r w:rsidRPr="00CB07AC">
        <w:rPr>
          <w:rFonts w:ascii="Verdana" w:hAnsi="Verdana"/>
          <w:sz w:val="18"/>
          <w:szCs w:val="18"/>
          <w:lang w:val="nl-NL"/>
        </w:rPr>
        <w:t xml:space="preserve">De </w:t>
      </w:r>
      <w:r w:rsidRPr="00CB07AC" w:rsidR="002F33CE">
        <w:rPr>
          <w:rFonts w:ascii="Verdana" w:hAnsi="Verdana"/>
          <w:sz w:val="18"/>
          <w:szCs w:val="18"/>
          <w:lang w:val="nl-NL"/>
        </w:rPr>
        <w:t xml:space="preserve">andere </w:t>
      </w:r>
      <w:r w:rsidRPr="00CB07AC">
        <w:rPr>
          <w:rFonts w:ascii="Verdana" w:hAnsi="Verdana"/>
          <w:sz w:val="18"/>
          <w:szCs w:val="18"/>
          <w:lang w:val="nl-NL"/>
        </w:rPr>
        <w:t>landen</w:t>
      </w:r>
      <w:r w:rsidRPr="00CB07AC" w:rsidR="00805997">
        <w:rPr>
          <w:rFonts w:ascii="Verdana" w:hAnsi="Verdana"/>
          <w:sz w:val="18"/>
          <w:szCs w:val="18"/>
          <w:lang w:val="nl-NL"/>
        </w:rPr>
        <w:t xml:space="preserve"> </w:t>
      </w:r>
      <w:r w:rsidRPr="00CB07AC" w:rsidR="002F33CE">
        <w:rPr>
          <w:rFonts w:ascii="Verdana" w:hAnsi="Verdana"/>
          <w:sz w:val="18"/>
          <w:szCs w:val="18"/>
          <w:lang w:val="nl-NL"/>
        </w:rPr>
        <w:t>van het Koninkrijk (</w:t>
      </w:r>
      <w:r w:rsidRPr="00CB07AC" w:rsidR="00805997">
        <w:rPr>
          <w:rFonts w:ascii="Verdana" w:hAnsi="Verdana"/>
          <w:sz w:val="18"/>
          <w:szCs w:val="18"/>
          <w:lang w:val="nl-NL"/>
        </w:rPr>
        <w:t>Aruba, Curaçao en Sint Maarten</w:t>
      </w:r>
      <w:r w:rsidRPr="00CB07AC" w:rsidR="002F33CE">
        <w:rPr>
          <w:rFonts w:ascii="Verdana" w:hAnsi="Verdana"/>
          <w:sz w:val="18"/>
          <w:szCs w:val="18"/>
          <w:lang w:val="nl-NL"/>
        </w:rPr>
        <w:t>)</w:t>
      </w:r>
      <w:r w:rsidRPr="00CB07AC">
        <w:rPr>
          <w:rFonts w:ascii="Verdana" w:hAnsi="Verdana"/>
          <w:sz w:val="18"/>
          <w:szCs w:val="18"/>
          <w:lang w:val="nl-NL"/>
        </w:rPr>
        <w:t xml:space="preserve"> zijn fiscaal autonoom en kunnen zelfstandig besluiten al dan niet in onderhandeling te treden met Bulgarije</w:t>
      </w:r>
      <w:r w:rsidRPr="00CB07AC" w:rsidR="002F33CE">
        <w:rPr>
          <w:rFonts w:ascii="Verdana" w:hAnsi="Verdana"/>
          <w:sz w:val="18"/>
          <w:szCs w:val="18"/>
          <w:lang w:val="nl-NL"/>
        </w:rPr>
        <w:t xml:space="preserve"> over</w:t>
      </w:r>
      <w:r w:rsidRPr="00CB07AC">
        <w:rPr>
          <w:rFonts w:ascii="Verdana" w:hAnsi="Verdana"/>
          <w:sz w:val="18"/>
          <w:szCs w:val="18"/>
          <w:lang w:val="nl-NL"/>
        </w:rPr>
        <w:t xml:space="preserve"> een belastingverdrag. </w:t>
      </w:r>
      <w:r w:rsidRPr="00CB07AC" w:rsidR="002F33CE">
        <w:rPr>
          <w:rFonts w:ascii="Verdana" w:hAnsi="Verdana"/>
          <w:sz w:val="18"/>
          <w:szCs w:val="18"/>
          <w:lang w:val="nl-NL"/>
        </w:rPr>
        <w:t xml:space="preserve">In verband hiermee bevat het Verdrag wel een bepaling op basis waarvan het Verdrag hiervoor als uitgangspunt kan dienen (artikel </w:t>
      </w:r>
      <w:r w:rsidRPr="00CB07AC" w:rsidR="00C05B28">
        <w:rPr>
          <w:rFonts w:ascii="Verdana" w:hAnsi="Verdana"/>
          <w:sz w:val="18"/>
          <w:szCs w:val="18"/>
          <w:lang w:val="nl-NL"/>
        </w:rPr>
        <w:t>29).</w:t>
      </w:r>
    </w:p>
    <w:p w:rsidRPr="00BC6175" w:rsidR="00E06DFA" w:rsidP="006C286E" w:rsidRDefault="00B604DD" w14:paraId="0158C795" w14:textId="77777777">
      <w:pPr>
        <w:ind w:firstLine="0"/>
        <w:rPr>
          <w:rFonts w:ascii="Verdana" w:hAnsi="Verdana"/>
          <w:sz w:val="18"/>
          <w:szCs w:val="18"/>
          <w:lang w:val="nl-NL"/>
        </w:rPr>
      </w:pPr>
      <w:r w:rsidRPr="00CB07AC">
        <w:rPr>
          <w:rFonts w:ascii="Verdana" w:hAnsi="Verdana"/>
          <w:sz w:val="18"/>
          <w:szCs w:val="18"/>
          <w:lang w:val="nl-NL"/>
        </w:rPr>
        <w:t xml:space="preserve">Deze </w:t>
      </w:r>
      <w:r w:rsidR="00CB07AC">
        <w:rPr>
          <w:rFonts w:ascii="Verdana" w:hAnsi="Verdana"/>
          <w:sz w:val="18"/>
          <w:szCs w:val="18"/>
          <w:lang w:val="nl-NL"/>
        </w:rPr>
        <w:t xml:space="preserve">toelichtende nota </w:t>
      </w:r>
      <w:r w:rsidRPr="00CB07AC">
        <w:rPr>
          <w:rFonts w:ascii="Verdana" w:hAnsi="Verdana"/>
          <w:sz w:val="18"/>
          <w:szCs w:val="18"/>
          <w:lang w:val="nl-NL"/>
        </w:rPr>
        <w:t xml:space="preserve">is vooral geschreven vanuit het perspectief van het </w:t>
      </w:r>
      <w:r w:rsidRPr="00CB07AC" w:rsidR="00805997">
        <w:rPr>
          <w:rFonts w:ascii="Verdana" w:hAnsi="Verdana"/>
          <w:sz w:val="18"/>
          <w:szCs w:val="18"/>
          <w:lang w:val="nl-NL"/>
        </w:rPr>
        <w:t>Europese</w:t>
      </w:r>
      <w:r w:rsidRPr="00CB07AC">
        <w:rPr>
          <w:rFonts w:ascii="Verdana" w:hAnsi="Verdana"/>
          <w:sz w:val="18"/>
          <w:szCs w:val="18"/>
          <w:lang w:val="nl-NL"/>
        </w:rPr>
        <w:t xml:space="preserve"> deel van Nederland. D</w:t>
      </w:r>
      <w:r w:rsidR="00F578EC">
        <w:rPr>
          <w:rFonts w:ascii="Verdana" w:hAnsi="Verdana"/>
          <w:sz w:val="18"/>
          <w:szCs w:val="18"/>
          <w:lang w:val="nl-NL"/>
        </w:rPr>
        <w:t>i</w:t>
      </w:r>
      <w:r w:rsidRPr="00CB07AC">
        <w:rPr>
          <w:rFonts w:ascii="Verdana" w:hAnsi="Verdana"/>
          <w:sz w:val="18"/>
          <w:szCs w:val="18"/>
          <w:lang w:val="nl-NL"/>
        </w:rPr>
        <w:t xml:space="preserve">t laat onverlet </w:t>
      </w:r>
      <w:r w:rsidR="00F578EC">
        <w:rPr>
          <w:rFonts w:ascii="Verdana" w:hAnsi="Verdana"/>
          <w:sz w:val="18"/>
          <w:szCs w:val="18"/>
          <w:lang w:val="nl-NL"/>
        </w:rPr>
        <w:t xml:space="preserve">dat </w:t>
      </w:r>
      <w:r w:rsidRPr="00CB07AC">
        <w:rPr>
          <w:rFonts w:ascii="Verdana" w:hAnsi="Verdana"/>
          <w:sz w:val="18"/>
          <w:szCs w:val="18"/>
          <w:lang w:val="nl-NL"/>
        </w:rPr>
        <w:t xml:space="preserve">de toelichting </w:t>
      </w:r>
      <w:r w:rsidRPr="00CB07AC" w:rsidR="00036A25">
        <w:rPr>
          <w:rFonts w:ascii="Verdana" w:hAnsi="Verdana"/>
          <w:sz w:val="18"/>
          <w:szCs w:val="18"/>
          <w:lang w:val="nl-NL"/>
        </w:rPr>
        <w:t>evenzeer van belang is voor d</w:t>
      </w:r>
      <w:r w:rsidRPr="00CB07AC">
        <w:rPr>
          <w:rFonts w:ascii="Verdana" w:hAnsi="Verdana"/>
          <w:sz w:val="18"/>
          <w:szCs w:val="18"/>
          <w:lang w:val="nl-NL"/>
        </w:rPr>
        <w:t xml:space="preserve">e relatie tussen </w:t>
      </w:r>
      <w:r w:rsidRPr="00CB07AC" w:rsidR="00C05B28">
        <w:rPr>
          <w:rFonts w:ascii="Verdana" w:hAnsi="Verdana"/>
          <w:sz w:val="18"/>
          <w:szCs w:val="18"/>
          <w:lang w:val="nl-NL"/>
        </w:rPr>
        <w:t>Bulgarije</w:t>
      </w:r>
      <w:r w:rsidRPr="00CB07AC">
        <w:rPr>
          <w:rFonts w:ascii="Verdana" w:hAnsi="Verdana"/>
          <w:sz w:val="18"/>
          <w:szCs w:val="18"/>
          <w:lang w:val="nl-NL"/>
        </w:rPr>
        <w:t xml:space="preserve"> en </w:t>
      </w:r>
      <w:r w:rsidRPr="00CB07AC" w:rsidR="00805997">
        <w:rPr>
          <w:rFonts w:ascii="Verdana" w:hAnsi="Verdana"/>
          <w:sz w:val="18"/>
          <w:szCs w:val="18"/>
          <w:lang w:val="nl-NL"/>
        </w:rPr>
        <w:t xml:space="preserve">het </w:t>
      </w:r>
      <w:r w:rsidRPr="00CB07AC">
        <w:rPr>
          <w:rFonts w:ascii="Verdana" w:hAnsi="Verdana"/>
          <w:sz w:val="18"/>
          <w:szCs w:val="18"/>
          <w:lang w:val="nl-NL"/>
        </w:rPr>
        <w:t>Caribisch</w:t>
      </w:r>
      <w:r w:rsidRPr="00CB07AC" w:rsidR="00805997">
        <w:rPr>
          <w:rFonts w:ascii="Verdana" w:hAnsi="Verdana"/>
          <w:sz w:val="18"/>
          <w:szCs w:val="18"/>
          <w:lang w:val="nl-NL"/>
        </w:rPr>
        <w:t>e deel van</w:t>
      </w:r>
      <w:r w:rsidRPr="00CB07AC">
        <w:rPr>
          <w:rFonts w:ascii="Verdana" w:hAnsi="Verdana"/>
          <w:sz w:val="18"/>
          <w:szCs w:val="18"/>
          <w:lang w:val="nl-NL"/>
        </w:rPr>
        <w:t xml:space="preserve"> Nederland. Daar waar nodig is ingegaan op de positie van he</w:t>
      </w:r>
      <w:r w:rsidRPr="00CB07AC" w:rsidR="005B0835">
        <w:rPr>
          <w:rFonts w:ascii="Verdana" w:hAnsi="Verdana"/>
          <w:sz w:val="18"/>
          <w:szCs w:val="18"/>
          <w:lang w:val="nl-NL"/>
        </w:rPr>
        <w:t>t Caribische deel van Nederland</w:t>
      </w:r>
      <w:r w:rsidRPr="00F578EC">
        <w:rPr>
          <w:rFonts w:ascii="Verdana" w:hAnsi="Verdana"/>
          <w:sz w:val="18"/>
          <w:szCs w:val="18"/>
          <w:lang w:val="nl-NL"/>
        </w:rPr>
        <w:t>.</w:t>
      </w:r>
      <w:r w:rsidRPr="00F578EC" w:rsidR="009B275E">
        <w:rPr>
          <w:rFonts w:ascii="Verdana" w:hAnsi="Verdana"/>
          <w:sz w:val="18"/>
          <w:szCs w:val="18"/>
          <w:lang w:val="nl-NL"/>
        </w:rPr>
        <w:br/>
      </w:r>
    </w:p>
    <w:p w:rsidRPr="00BC6175" w:rsidR="00F32208" w:rsidP="009B275E" w:rsidRDefault="00F32208" w14:paraId="45ED4185" w14:textId="77777777">
      <w:pPr>
        <w:pStyle w:val="Kop2"/>
        <w:numPr>
          <w:ilvl w:val="0"/>
          <w:numId w:val="0"/>
        </w:numPr>
        <w:spacing w:before="0" w:after="0"/>
        <w:rPr>
          <w:rFonts w:ascii="Verdana" w:hAnsi="Verdana"/>
          <w:b w:val="0"/>
          <w:sz w:val="18"/>
          <w:szCs w:val="18"/>
          <w:lang w:val="nl-NL"/>
        </w:rPr>
      </w:pPr>
      <w:r w:rsidRPr="00BC6175">
        <w:rPr>
          <w:rFonts w:ascii="Verdana" w:hAnsi="Verdana" w:cs="Arial"/>
          <w:b w:val="0"/>
          <w:i/>
          <w:sz w:val="18"/>
          <w:szCs w:val="18"/>
          <w:lang w:val="nl-NL"/>
        </w:rPr>
        <w:t>I.7. Toetsschema Fiscaal Verdragsbeleid</w:t>
      </w:r>
    </w:p>
    <w:p w:rsidRPr="00BC6175" w:rsidR="0060329A" w:rsidP="009B275E" w:rsidRDefault="0060329A" w14:paraId="39F77378" w14:textId="77777777">
      <w:pPr>
        <w:rPr>
          <w:rFonts w:ascii="Verdana" w:hAnsi="Verdana"/>
          <w:sz w:val="18"/>
          <w:szCs w:val="18"/>
          <w:lang w:val="nl-NL"/>
        </w:rPr>
      </w:pPr>
    </w:p>
    <w:p w:rsidRPr="00916448" w:rsidR="00695DEC" w:rsidP="00CD077B" w:rsidRDefault="00F32208" w14:paraId="651593F7" w14:textId="77777777">
      <w:pPr>
        <w:rPr>
          <w:rFonts w:ascii="Verdana" w:hAnsi="Verdana"/>
          <w:sz w:val="18"/>
          <w:szCs w:val="18"/>
          <w:lang w:val="nl-NL"/>
        </w:rPr>
      </w:pPr>
      <w:r w:rsidRPr="00BC6175">
        <w:rPr>
          <w:rFonts w:ascii="Verdana" w:hAnsi="Verdana"/>
          <w:sz w:val="18"/>
          <w:szCs w:val="18"/>
          <w:lang w:val="nl-NL"/>
        </w:rPr>
        <w:t xml:space="preserve">Het Toetsschema Fiscaal Verdragsbeleid 2011 is </w:t>
      </w:r>
      <w:r w:rsidRPr="00BC6175" w:rsidR="00CD077B">
        <w:rPr>
          <w:rFonts w:ascii="Verdana" w:hAnsi="Verdana"/>
          <w:sz w:val="18"/>
          <w:szCs w:val="18"/>
          <w:lang w:val="nl-NL"/>
        </w:rPr>
        <w:t xml:space="preserve">hierna </w:t>
      </w:r>
      <w:r w:rsidRPr="00BC6175">
        <w:rPr>
          <w:rFonts w:ascii="Verdana" w:hAnsi="Verdana"/>
          <w:sz w:val="18"/>
          <w:szCs w:val="18"/>
          <w:lang w:val="nl-NL"/>
        </w:rPr>
        <w:t>opgenomen. In de rechterkolom van het toetsschema zijn de paragraafnummers uit deze toelichting opgenomen die corresponderen met de desbetreffende onderdelen va</w:t>
      </w:r>
      <w:r w:rsidRPr="00916448">
        <w:rPr>
          <w:rFonts w:ascii="Verdana" w:hAnsi="Verdana"/>
          <w:sz w:val="18"/>
          <w:szCs w:val="18"/>
          <w:lang w:val="nl-NL"/>
        </w:rPr>
        <w:t xml:space="preserve">n het schema. </w:t>
      </w:r>
      <w:r w:rsidRPr="00916448" w:rsidR="001959BC">
        <w:rPr>
          <w:rFonts w:ascii="Verdana" w:hAnsi="Verdana"/>
          <w:sz w:val="18"/>
          <w:szCs w:val="18"/>
          <w:lang w:val="nl-NL"/>
        </w:rPr>
        <w:br/>
      </w:r>
    </w:p>
    <w:tbl>
      <w:tblPr>
        <w:tblpPr w:leftFromText="141" w:rightFromText="141" w:vertAnchor="text" w:tblpY="1"/>
        <w:tblOverlap w:val="never"/>
        <w:tblW w:w="9176" w:type="dxa"/>
        <w:tblBorders>
          <w:top w:val="single" w:color="FFFFFF" w:sz="12" w:space="0"/>
          <w:left w:val="single" w:color="FFFFFF" w:sz="12" w:space="0"/>
          <w:bottom w:val="single" w:color="FFFFFF" w:sz="12" w:space="0"/>
          <w:right w:val="single" w:color="FFFFFF" w:sz="12" w:space="0"/>
          <w:insideH w:val="single" w:color="FFFFFF" w:sz="12" w:space="0"/>
          <w:insideV w:val="single" w:color="FFFFFF" w:sz="12" w:space="0"/>
        </w:tblBorders>
        <w:shd w:val="clear" w:color="auto" w:fill="EBF7FF"/>
        <w:tblLayout w:type="fixed"/>
        <w:tblCellMar>
          <w:left w:w="70" w:type="dxa"/>
          <w:right w:w="70" w:type="dxa"/>
        </w:tblCellMar>
        <w:tblLook w:val="0000" w:firstRow="0" w:lastRow="0" w:firstColumn="0" w:lastColumn="0" w:noHBand="0" w:noVBand="0"/>
      </w:tblPr>
      <w:tblGrid>
        <w:gridCol w:w="693"/>
        <w:gridCol w:w="1350"/>
        <w:gridCol w:w="5002"/>
        <w:gridCol w:w="21"/>
        <w:gridCol w:w="16"/>
        <w:gridCol w:w="142"/>
        <w:gridCol w:w="125"/>
        <w:gridCol w:w="52"/>
        <w:gridCol w:w="23"/>
        <w:gridCol w:w="65"/>
        <w:gridCol w:w="267"/>
        <w:gridCol w:w="86"/>
        <w:gridCol w:w="342"/>
        <w:gridCol w:w="80"/>
        <w:gridCol w:w="353"/>
        <w:gridCol w:w="559"/>
      </w:tblGrid>
      <w:tr w:rsidRPr="00556990" w:rsidR="00C41D7B" w:rsidTr="00E80A06" w14:paraId="4F355F27" w14:textId="77777777">
        <w:trPr>
          <w:cantSplit/>
          <w:trHeight w:val="682"/>
          <w:tblHeader/>
        </w:trPr>
        <w:tc>
          <w:tcPr>
            <w:tcW w:w="693" w:type="dxa"/>
            <w:shd w:val="clear" w:color="auto" w:fill="BFBFBF"/>
            <w:textDirection w:val="btLr"/>
            <w:vAlign w:val="center"/>
          </w:tcPr>
          <w:p w:rsidRPr="005E2511" w:rsidR="00C41D7B" w:rsidP="00E80A06" w:rsidRDefault="00C41D7B" w14:paraId="07DA4E9D" w14:textId="77777777">
            <w:pPr>
              <w:spacing w:line="276" w:lineRule="auto"/>
              <w:ind w:firstLine="0"/>
              <w:jc w:val="center"/>
              <w:rPr>
                <w:rFonts w:ascii="Verdana" w:hAnsi="Verdana" w:eastAsia="Calibri" w:cs="Arial"/>
                <w:sz w:val="18"/>
                <w:szCs w:val="18"/>
                <w:lang w:val="nl-NL" w:eastAsia="en-US"/>
              </w:rPr>
            </w:pPr>
            <w:r w:rsidRPr="005E2511">
              <w:rPr>
                <w:rFonts w:ascii="Verdana" w:hAnsi="Verdana"/>
                <w:sz w:val="18"/>
                <w:szCs w:val="18"/>
                <w:lang w:val="nl-NL"/>
              </w:rPr>
              <w:br w:type="page"/>
              <w:t xml:space="preserve"> </w:t>
            </w:r>
            <w:r w:rsidRPr="005E2511">
              <w:rPr>
                <w:rFonts w:ascii="Verdana" w:hAnsi="Verdana" w:eastAsia="Calibri" w:cs="Arial"/>
                <w:sz w:val="18"/>
                <w:szCs w:val="18"/>
                <w:lang w:val="nl-NL" w:eastAsia="en-US"/>
              </w:rPr>
              <w:t>NFV 2011</w:t>
            </w:r>
          </w:p>
        </w:tc>
        <w:tc>
          <w:tcPr>
            <w:tcW w:w="6352" w:type="dxa"/>
            <w:gridSpan w:val="2"/>
            <w:shd w:val="clear" w:color="auto" w:fill="BFBFBF"/>
            <w:vAlign w:val="center"/>
          </w:tcPr>
          <w:p w:rsidRPr="005E2511" w:rsidR="00C41D7B" w:rsidP="00E80A06" w:rsidRDefault="00C41D7B" w14:paraId="5D069561" w14:textId="77777777">
            <w:pPr>
              <w:spacing w:line="276" w:lineRule="auto"/>
              <w:ind w:firstLine="0"/>
              <w:jc w:val="center"/>
              <w:rPr>
                <w:rFonts w:ascii="Verdana" w:hAnsi="Verdana" w:eastAsia="Calibri" w:cs="Arial"/>
                <w:sz w:val="18"/>
                <w:szCs w:val="18"/>
                <w:lang w:val="nl-NL" w:eastAsia="en-US"/>
              </w:rPr>
            </w:pPr>
            <w:r w:rsidRPr="005E2511">
              <w:rPr>
                <w:rFonts w:ascii="Verdana" w:hAnsi="Verdana" w:eastAsia="Calibri" w:cs="Arial"/>
                <w:sz w:val="18"/>
                <w:szCs w:val="18"/>
                <w:lang w:val="nl-NL" w:eastAsia="en-US"/>
              </w:rPr>
              <w:t>Inzet</w:t>
            </w:r>
          </w:p>
        </w:tc>
        <w:tc>
          <w:tcPr>
            <w:tcW w:w="356" w:type="dxa"/>
            <w:gridSpan w:val="5"/>
            <w:shd w:val="clear" w:color="auto" w:fill="BFBFBF"/>
            <w:textDirection w:val="btLr"/>
            <w:vAlign w:val="bottom"/>
          </w:tcPr>
          <w:p w:rsidRPr="005E2511" w:rsidR="00C41D7B" w:rsidP="00E80A06" w:rsidRDefault="00C41D7B" w14:paraId="609D9ADB" w14:textId="77777777">
            <w:pPr>
              <w:spacing w:line="276" w:lineRule="auto"/>
              <w:ind w:left="113" w:right="113" w:firstLine="0"/>
              <w:rPr>
                <w:rFonts w:ascii="Verdana" w:hAnsi="Verdana" w:eastAsia="Calibri" w:cs="Arial"/>
                <w:sz w:val="18"/>
                <w:szCs w:val="18"/>
                <w:lang w:val="nl-NL" w:eastAsia="en-US"/>
              </w:rPr>
            </w:pPr>
            <w:r w:rsidRPr="005E2511">
              <w:rPr>
                <w:rFonts w:ascii="Verdana" w:hAnsi="Verdana" w:eastAsia="Calibri" w:cs="Arial"/>
                <w:sz w:val="18"/>
                <w:szCs w:val="18"/>
                <w:lang w:val="nl-NL" w:eastAsia="en-US"/>
              </w:rPr>
              <w:t>Ja</w:t>
            </w:r>
          </w:p>
        </w:tc>
        <w:tc>
          <w:tcPr>
            <w:tcW w:w="355" w:type="dxa"/>
            <w:gridSpan w:val="3"/>
            <w:shd w:val="clear" w:color="auto" w:fill="BFBFBF"/>
            <w:textDirection w:val="btLr"/>
            <w:vAlign w:val="bottom"/>
          </w:tcPr>
          <w:p w:rsidRPr="005E2511" w:rsidR="00C41D7B" w:rsidP="00E80A06" w:rsidRDefault="00C41D7B" w14:paraId="194A9DA0" w14:textId="77777777">
            <w:pPr>
              <w:spacing w:line="276" w:lineRule="auto"/>
              <w:ind w:left="113" w:right="113" w:firstLine="0"/>
              <w:rPr>
                <w:rFonts w:ascii="Verdana" w:hAnsi="Verdana" w:eastAsia="Calibri" w:cs="Arial"/>
                <w:sz w:val="18"/>
                <w:szCs w:val="18"/>
                <w:lang w:val="nl-NL" w:eastAsia="en-US"/>
              </w:rPr>
            </w:pPr>
            <w:r w:rsidRPr="005E2511">
              <w:rPr>
                <w:rFonts w:ascii="Verdana" w:hAnsi="Verdana" w:eastAsia="Calibri" w:cs="Arial"/>
                <w:sz w:val="18"/>
                <w:szCs w:val="18"/>
                <w:lang w:val="nl-NL" w:eastAsia="en-US"/>
              </w:rPr>
              <w:t>Deels</w:t>
            </w:r>
          </w:p>
        </w:tc>
        <w:tc>
          <w:tcPr>
            <w:tcW w:w="428" w:type="dxa"/>
            <w:gridSpan w:val="2"/>
            <w:shd w:val="clear" w:color="auto" w:fill="BFBFBF"/>
            <w:textDirection w:val="btLr"/>
            <w:vAlign w:val="bottom"/>
          </w:tcPr>
          <w:p w:rsidRPr="005E2511" w:rsidR="00C41D7B" w:rsidP="00E80A06" w:rsidRDefault="00C41D7B" w14:paraId="5E8DC356" w14:textId="77777777">
            <w:pPr>
              <w:spacing w:line="276" w:lineRule="auto"/>
              <w:ind w:left="113" w:right="113" w:firstLine="0"/>
              <w:rPr>
                <w:rFonts w:ascii="Verdana" w:hAnsi="Verdana" w:eastAsia="Calibri" w:cs="Arial"/>
                <w:sz w:val="18"/>
                <w:szCs w:val="18"/>
                <w:lang w:val="nl-NL" w:eastAsia="en-US"/>
              </w:rPr>
            </w:pPr>
            <w:r w:rsidRPr="005E2511">
              <w:rPr>
                <w:rFonts w:ascii="Verdana" w:hAnsi="Verdana" w:eastAsia="Calibri" w:cs="Arial"/>
                <w:sz w:val="18"/>
                <w:szCs w:val="18"/>
                <w:lang w:val="nl-NL" w:eastAsia="en-US"/>
              </w:rPr>
              <w:t>Nee</w:t>
            </w:r>
          </w:p>
        </w:tc>
        <w:tc>
          <w:tcPr>
            <w:tcW w:w="433" w:type="dxa"/>
            <w:gridSpan w:val="2"/>
            <w:shd w:val="clear" w:color="auto" w:fill="BFBFBF"/>
            <w:textDirection w:val="btLr"/>
            <w:vAlign w:val="bottom"/>
          </w:tcPr>
          <w:p w:rsidRPr="005E2511" w:rsidR="00C41D7B" w:rsidP="00E80A06" w:rsidRDefault="00C41D7B" w14:paraId="7F8BADA1" w14:textId="77777777">
            <w:pPr>
              <w:spacing w:line="276" w:lineRule="auto"/>
              <w:ind w:left="113" w:right="113" w:firstLine="0"/>
              <w:rPr>
                <w:rFonts w:ascii="Verdana" w:hAnsi="Verdana" w:eastAsia="Calibri" w:cs="Arial"/>
                <w:sz w:val="18"/>
                <w:szCs w:val="18"/>
                <w:lang w:val="nl-NL" w:eastAsia="en-US"/>
              </w:rPr>
            </w:pPr>
            <w:r w:rsidRPr="005E2511">
              <w:rPr>
                <w:rFonts w:ascii="Verdana" w:hAnsi="Verdana" w:eastAsia="Calibri" w:cs="Arial"/>
                <w:sz w:val="18"/>
                <w:szCs w:val="18"/>
                <w:lang w:val="nl-NL" w:eastAsia="en-US"/>
              </w:rPr>
              <w:t>N.v.t.</w:t>
            </w:r>
          </w:p>
        </w:tc>
        <w:tc>
          <w:tcPr>
            <w:tcW w:w="559" w:type="dxa"/>
            <w:shd w:val="clear" w:color="auto" w:fill="BFBFBF"/>
            <w:textDirection w:val="btLr"/>
            <w:vAlign w:val="center"/>
          </w:tcPr>
          <w:p w:rsidRPr="005E2511" w:rsidR="00C41D7B" w:rsidP="00E80A06" w:rsidRDefault="00C41D7B" w14:paraId="2C90EF34" w14:textId="77777777">
            <w:pPr>
              <w:spacing w:line="276" w:lineRule="auto"/>
              <w:ind w:left="113" w:right="113" w:firstLine="0"/>
              <w:rPr>
                <w:rFonts w:ascii="Verdana" w:hAnsi="Verdana" w:eastAsia="Calibri" w:cs="Arial"/>
                <w:sz w:val="18"/>
                <w:szCs w:val="18"/>
                <w:lang w:val="nl-NL" w:eastAsia="en-US"/>
              </w:rPr>
            </w:pPr>
            <w:r w:rsidRPr="005E2511">
              <w:rPr>
                <w:rFonts w:ascii="Verdana" w:hAnsi="Verdana" w:eastAsia="Calibri" w:cs="Arial"/>
                <w:sz w:val="18"/>
                <w:szCs w:val="18"/>
                <w:lang w:val="nl-NL" w:eastAsia="en-US"/>
              </w:rPr>
              <w:t>Zie par.</w:t>
            </w:r>
          </w:p>
        </w:tc>
      </w:tr>
      <w:tr w:rsidRPr="00556990" w:rsidR="00C41D7B" w:rsidTr="00E80A06" w14:paraId="611CE7BE" w14:textId="77777777">
        <w:trPr>
          <w:gridAfter w:val="10"/>
          <w:wAfter w:w="1952" w:type="dxa"/>
          <w:cantSplit/>
          <w:trHeight w:val="403"/>
        </w:trPr>
        <w:tc>
          <w:tcPr>
            <w:tcW w:w="693" w:type="dxa"/>
            <w:shd w:val="clear" w:color="auto" w:fill="FFFFFF"/>
            <w:vAlign w:val="center"/>
          </w:tcPr>
          <w:p w:rsidRPr="00B713C2" w:rsidR="00C41D7B" w:rsidP="00E80A06" w:rsidRDefault="00C41D7B" w14:paraId="4D903D06" w14:textId="77777777">
            <w:pPr>
              <w:spacing w:line="276" w:lineRule="auto"/>
              <w:ind w:firstLine="0"/>
              <w:jc w:val="right"/>
              <w:rPr>
                <w:rFonts w:ascii="Verdana" w:hAnsi="Verdana" w:eastAsia="Calibri" w:cs="Arial"/>
                <w:sz w:val="18"/>
                <w:szCs w:val="18"/>
                <w:lang w:val="nl-NL" w:eastAsia="en-US"/>
              </w:rPr>
            </w:pPr>
          </w:p>
        </w:tc>
        <w:tc>
          <w:tcPr>
            <w:tcW w:w="6531" w:type="dxa"/>
            <w:gridSpan w:val="5"/>
            <w:shd w:val="clear" w:color="auto" w:fill="FFFFFF"/>
            <w:vAlign w:val="center"/>
          </w:tcPr>
          <w:p w:rsidRPr="00B713C2" w:rsidR="00C41D7B" w:rsidP="00E80A06" w:rsidRDefault="00C41D7B" w14:paraId="3181F190" w14:textId="77777777">
            <w:pPr>
              <w:spacing w:line="276" w:lineRule="auto"/>
              <w:ind w:firstLine="0"/>
              <w:rPr>
                <w:rFonts w:ascii="Verdana" w:hAnsi="Verdana" w:cs="Arial"/>
                <w:b/>
                <w:sz w:val="18"/>
                <w:szCs w:val="18"/>
              </w:rPr>
            </w:pPr>
            <w:r w:rsidRPr="00B713C2">
              <w:rPr>
                <w:rFonts w:ascii="Verdana" w:hAnsi="Verdana" w:eastAsia="Calibri" w:cs="Arial"/>
                <w:b/>
                <w:sz w:val="18"/>
                <w:szCs w:val="18"/>
                <w:lang w:val="nl-NL" w:eastAsia="en-US"/>
              </w:rPr>
              <w:t>Algemeen</w:t>
            </w:r>
          </w:p>
        </w:tc>
      </w:tr>
      <w:tr w:rsidRPr="00556990" w:rsidR="00C41D7B" w:rsidTr="00E80A06" w14:paraId="47068C34" w14:textId="77777777">
        <w:trPr>
          <w:trHeight w:val="255"/>
        </w:trPr>
        <w:tc>
          <w:tcPr>
            <w:tcW w:w="693" w:type="dxa"/>
            <w:shd w:val="clear" w:color="auto" w:fill="BFBFBF"/>
            <w:vAlign w:val="center"/>
          </w:tcPr>
          <w:p w:rsidRPr="00B713C2" w:rsidR="00C41D7B" w:rsidP="00E80A06" w:rsidRDefault="00C41D7B" w14:paraId="2CF35A56" w14:textId="77777777">
            <w:pPr>
              <w:spacing w:line="276" w:lineRule="auto"/>
              <w:ind w:firstLine="0"/>
              <w:jc w:val="right"/>
              <w:rPr>
                <w:rFonts w:ascii="Verdana" w:hAnsi="Verdana" w:eastAsia="Calibri" w:cs="Arial"/>
                <w:sz w:val="18"/>
                <w:szCs w:val="18"/>
                <w:lang w:val="nl-NL" w:eastAsia="en-US"/>
              </w:rPr>
            </w:pPr>
            <w:r w:rsidRPr="00B713C2">
              <w:rPr>
                <w:rFonts w:ascii="Verdana" w:hAnsi="Verdana" w:eastAsia="Calibri" w:cs="Arial"/>
                <w:sz w:val="18"/>
                <w:szCs w:val="18"/>
                <w:lang w:val="nl-NL" w:eastAsia="en-US"/>
              </w:rPr>
              <w:t>IV</w:t>
            </w:r>
          </w:p>
        </w:tc>
        <w:tc>
          <w:tcPr>
            <w:tcW w:w="6352" w:type="dxa"/>
            <w:gridSpan w:val="2"/>
            <w:shd w:val="clear" w:color="auto" w:fill="007BC7"/>
            <w:vAlign w:val="center"/>
          </w:tcPr>
          <w:p w:rsidRPr="00B713C2" w:rsidR="00C41D7B" w:rsidP="00E80A06" w:rsidRDefault="00C41D7B" w14:paraId="0EDD67D1" w14:textId="77777777">
            <w:pPr>
              <w:spacing w:line="276" w:lineRule="auto"/>
              <w:ind w:firstLine="0"/>
              <w:rPr>
                <w:rFonts w:ascii="Verdana" w:hAnsi="Verdana" w:eastAsia="Calibri" w:cs="Arial"/>
                <w:color w:val="FFFFFF"/>
                <w:sz w:val="18"/>
                <w:szCs w:val="18"/>
                <w:lang w:val="nl-NL" w:eastAsia="en-US"/>
              </w:rPr>
            </w:pPr>
            <w:r w:rsidRPr="00B713C2">
              <w:rPr>
                <w:rFonts w:ascii="Verdana" w:hAnsi="Verdana" w:eastAsia="Calibri" w:cs="Arial"/>
                <w:color w:val="FFFFFF"/>
                <w:sz w:val="18"/>
                <w:szCs w:val="18"/>
                <w:lang w:val="nl-NL" w:eastAsia="en-US"/>
              </w:rPr>
              <w:t>Globaal beslisschema voor het aangaan van verdragsrelaties gevolgd</w:t>
            </w:r>
          </w:p>
        </w:tc>
        <w:tc>
          <w:tcPr>
            <w:tcW w:w="356" w:type="dxa"/>
            <w:gridSpan w:val="5"/>
            <w:shd w:val="clear" w:color="auto" w:fill="BFBFBF"/>
            <w:vAlign w:val="center"/>
          </w:tcPr>
          <w:p w:rsidRPr="00B713C2" w:rsidR="00C41D7B" w:rsidP="00E80A06" w:rsidRDefault="00C41D7B" w14:paraId="5EE476D8" w14:textId="77777777">
            <w:pPr>
              <w:spacing w:line="276" w:lineRule="auto"/>
              <w:ind w:firstLine="0"/>
              <w:jc w:val="center"/>
              <w:rPr>
                <w:rFonts w:ascii="Verdana" w:hAnsi="Verdana" w:eastAsia="Calibri" w:cs="Arial"/>
                <w:b/>
                <w:color w:val="007BC7"/>
                <w:sz w:val="18"/>
                <w:szCs w:val="18"/>
                <w:lang w:val="nl-NL" w:eastAsia="en-US"/>
              </w:rPr>
            </w:pPr>
            <w:r w:rsidRPr="00B713C2">
              <w:rPr>
                <w:rFonts w:ascii="Verdana" w:hAnsi="Verdana" w:eastAsia="Calibri" w:cs="Arial"/>
                <w:b/>
                <w:color w:val="007BC7"/>
                <w:sz w:val="18"/>
                <w:szCs w:val="18"/>
                <w:lang w:val="nl-NL" w:eastAsia="en-US"/>
              </w:rPr>
              <w:t>X</w:t>
            </w:r>
          </w:p>
        </w:tc>
        <w:tc>
          <w:tcPr>
            <w:tcW w:w="355" w:type="dxa"/>
            <w:gridSpan w:val="3"/>
            <w:shd w:val="clear" w:color="auto" w:fill="BFBFBF"/>
          </w:tcPr>
          <w:p w:rsidRPr="00B713C2" w:rsidR="00C41D7B" w:rsidP="00E80A06" w:rsidRDefault="00C41D7B" w14:paraId="7DB025F7" w14:textId="77777777">
            <w:pPr>
              <w:jc w:val="center"/>
              <w:rPr>
                <w:rFonts w:ascii="Verdana" w:hAnsi="Verdana" w:eastAsia="Calibri" w:cs="Arial"/>
                <w:b/>
                <w:color w:val="007BC7"/>
                <w:sz w:val="18"/>
                <w:szCs w:val="18"/>
                <w:lang w:val="nl-NL" w:eastAsia="en-US"/>
              </w:rPr>
            </w:pPr>
          </w:p>
        </w:tc>
        <w:tc>
          <w:tcPr>
            <w:tcW w:w="428" w:type="dxa"/>
            <w:gridSpan w:val="2"/>
            <w:shd w:val="clear" w:color="auto" w:fill="BFBFBF"/>
          </w:tcPr>
          <w:p w:rsidRPr="00B713C2" w:rsidR="00C41D7B" w:rsidP="00E80A06" w:rsidRDefault="00C41D7B" w14:paraId="69AD6B57" w14:textId="77777777">
            <w:pPr>
              <w:jc w:val="center"/>
              <w:rPr>
                <w:rFonts w:ascii="Verdana" w:hAnsi="Verdana" w:eastAsia="Calibri" w:cs="Arial"/>
                <w:b/>
                <w:color w:val="007BC7"/>
                <w:sz w:val="18"/>
                <w:szCs w:val="18"/>
                <w:lang w:val="nl-NL" w:eastAsia="en-US"/>
              </w:rPr>
            </w:pPr>
          </w:p>
        </w:tc>
        <w:tc>
          <w:tcPr>
            <w:tcW w:w="433" w:type="dxa"/>
            <w:gridSpan w:val="2"/>
            <w:shd w:val="clear" w:color="auto" w:fill="BFBFBF"/>
          </w:tcPr>
          <w:p w:rsidRPr="00B713C2" w:rsidR="00C41D7B" w:rsidP="00E80A06" w:rsidRDefault="00C41D7B" w14:paraId="3CFBD720" w14:textId="77777777">
            <w:pPr>
              <w:spacing w:line="276" w:lineRule="auto"/>
              <w:ind w:firstLine="0"/>
              <w:jc w:val="center"/>
              <w:rPr>
                <w:rFonts w:ascii="Verdana" w:hAnsi="Verdana" w:eastAsia="Calibri" w:cs="Arial"/>
                <w:b/>
                <w:color w:val="007BC7"/>
                <w:sz w:val="18"/>
                <w:szCs w:val="18"/>
                <w:lang w:val="nl-NL" w:eastAsia="en-US"/>
              </w:rPr>
            </w:pPr>
          </w:p>
        </w:tc>
        <w:tc>
          <w:tcPr>
            <w:tcW w:w="559" w:type="dxa"/>
            <w:shd w:val="clear" w:color="auto" w:fill="BFBFBF"/>
            <w:vAlign w:val="center"/>
          </w:tcPr>
          <w:p w:rsidRPr="00B713C2" w:rsidR="00C41D7B" w:rsidP="00E80A06" w:rsidRDefault="00C41D7B" w14:paraId="2478BD65" w14:textId="77777777">
            <w:pPr>
              <w:spacing w:line="276" w:lineRule="auto"/>
              <w:ind w:firstLine="0"/>
              <w:rPr>
                <w:rFonts w:ascii="Verdana" w:hAnsi="Verdana" w:eastAsia="Calibri" w:cs="Arial"/>
                <w:sz w:val="18"/>
                <w:szCs w:val="18"/>
                <w:lang w:val="nl-NL" w:eastAsia="en-US"/>
              </w:rPr>
            </w:pPr>
            <w:r w:rsidRPr="00B713C2">
              <w:rPr>
                <w:rFonts w:ascii="Verdana" w:hAnsi="Verdana" w:eastAsia="Calibri" w:cs="Arial"/>
                <w:sz w:val="18"/>
                <w:szCs w:val="18"/>
                <w:lang w:val="nl-NL" w:eastAsia="en-US"/>
              </w:rPr>
              <w:t>I.1</w:t>
            </w:r>
          </w:p>
        </w:tc>
      </w:tr>
      <w:tr w:rsidRPr="00556990" w:rsidR="00C41D7B" w:rsidTr="00E80A06" w14:paraId="0E87172A" w14:textId="77777777">
        <w:trPr>
          <w:trHeight w:val="532"/>
        </w:trPr>
        <w:tc>
          <w:tcPr>
            <w:tcW w:w="693" w:type="dxa"/>
            <w:shd w:val="clear" w:color="auto" w:fill="BFBFBF"/>
            <w:vAlign w:val="center"/>
          </w:tcPr>
          <w:p w:rsidRPr="00543E8B" w:rsidR="00C41D7B" w:rsidP="00E80A06" w:rsidRDefault="00C41D7B" w14:paraId="613D8FCA" w14:textId="77777777">
            <w:pPr>
              <w:spacing w:line="276" w:lineRule="auto"/>
              <w:ind w:firstLine="0"/>
              <w:jc w:val="right"/>
              <w:rPr>
                <w:rFonts w:ascii="Verdana" w:hAnsi="Verdana" w:eastAsia="Calibri" w:cs="Arial"/>
                <w:sz w:val="18"/>
                <w:szCs w:val="18"/>
                <w:lang w:val="nl-NL" w:eastAsia="en-US"/>
              </w:rPr>
            </w:pPr>
            <w:r w:rsidRPr="00543E8B">
              <w:rPr>
                <w:rFonts w:ascii="Verdana" w:hAnsi="Verdana" w:eastAsia="Calibri" w:cs="Arial"/>
                <w:sz w:val="18"/>
                <w:szCs w:val="18"/>
                <w:lang w:val="nl-NL" w:eastAsia="en-US"/>
              </w:rPr>
              <w:lastRenderedPageBreak/>
              <w:t>1.2.6</w:t>
            </w:r>
          </w:p>
        </w:tc>
        <w:tc>
          <w:tcPr>
            <w:tcW w:w="6352" w:type="dxa"/>
            <w:gridSpan w:val="2"/>
            <w:shd w:val="clear" w:color="auto" w:fill="007BC7"/>
            <w:vAlign w:val="center"/>
          </w:tcPr>
          <w:p w:rsidRPr="00543E8B" w:rsidR="00C41D7B" w:rsidP="00E80A06" w:rsidRDefault="00C41D7B" w14:paraId="11C21D9D" w14:textId="77777777">
            <w:pPr>
              <w:spacing w:line="276" w:lineRule="auto"/>
              <w:ind w:firstLine="0"/>
              <w:rPr>
                <w:rFonts w:ascii="Verdana" w:hAnsi="Verdana" w:eastAsia="Calibri" w:cs="Arial"/>
                <w:color w:val="FFFFFF"/>
                <w:sz w:val="18"/>
                <w:szCs w:val="18"/>
                <w:lang w:val="nl-NL" w:eastAsia="en-US"/>
              </w:rPr>
            </w:pPr>
            <w:r w:rsidRPr="00543E8B">
              <w:rPr>
                <w:rFonts w:ascii="Verdana" w:hAnsi="Verdana" w:eastAsia="Calibri" w:cs="Arial"/>
                <w:color w:val="FFFFFF"/>
                <w:sz w:val="18"/>
                <w:szCs w:val="18"/>
                <w:lang w:val="nl-NL" w:eastAsia="en-US"/>
              </w:rPr>
              <w:t>Bijzonder regime geheel of gedeeltelijk uitgezonderd van verdragsvoordelen in gevallen waarin het risico op verdragsmisbruik bestaat</w:t>
            </w:r>
          </w:p>
        </w:tc>
        <w:tc>
          <w:tcPr>
            <w:tcW w:w="356" w:type="dxa"/>
            <w:gridSpan w:val="5"/>
            <w:shd w:val="clear" w:color="auto" w:fill="BFBFBF"/>
            <w:vAlign w:val="center"/>
          </w:tcPr>
          <w:p w:rsidRPr="00543E8B" w:rsidR="00C41D7B" w:rsidP="00E80A06" w:rsidRDefault="00C41D7B" w14:paraId="5EF6D2B8" w14:textId="77777777">
            <w:pPr>
              <w:spacing w:line="276" w:lineRule="auto"/>
              <w:ind w:firstLine="0"/>
              <w:jc w:val="center"/>
              <w:rPr>
                <w:rFonts w:ascii="Verdana" w:hAnsi="Verdana" w:eastAsia="Calibri" w:cs="Arial"/>
                <w:b/>
                <w:color w:val="007BC7"/>
                <w:sz w:val="18"/>
                <w:szCs w:val="18"/>
                <w:lang w:val="nl-NL" w:eastAsia="en-US"/>
              </w:rPr>
            </w:pPr>
            <w:r w:rsidRPr="00543E8B">
              <w:rPr>
                <w:rFonts w:ascii="Verdana" w:hAnsi="Verdana" w:eastAsia="Calibri" w:cs="Arial"/>
                <w:b/>
                <w:color w:val="007BC7"/>
                <w:sz w:val="18"/>
                <w:szCs w:val="18"/>
                <w:lang w:val="nl-NL" w:eastAsia="en-US"/>
              </w:rPr>
              <w:t>X</w:t>
            </w:r>
          </w:p>
        </w:tc>
        <w:tc>
          <w:tcPr>
            <w:tcW w:w="355" w:type="dxa"/>
            <w:gridSpan w:val="3"/>
            <w:shd w:val="clear" w:color="auto" w:fill="BFBFBF"/>
          </w:tcPr>
          <w:p w:rsidRPr="00543E8B" w:rsidR="00C41D7B" w:rsidP="00E80A06" w:rsidRDefault="00C41D7B" w14:paraId="3DFED002" w14:textId="77777777">
            <w:pPr>
              <w:ind w:left="-548" w:right="-83" w:firstLine="533"/>
              <w:jc w:val="center"/>
              <w:rPr>
                <w:rFonts w:ascii="Verdana" w:hAnsi="Verdana" w:eastAsia="Calibri" w:cs="Arial"/>
                <w:b/>
                <w:color w:val="007BC7"/>
                <w:sz w:val="18"/>
                <w:szCs w:val="18"/>
                <w:lang w:val="nl-NL" w:eastAsia="en-US"/>
              </w:rPr>
            </w:pPr>
          </w:p>
        </w:tc>
        <w:tc>
          <w:tcPr>
            <w:tcW w:w="428" w:type="dxa"/>
            <w:gridSpan w:val="2"/>
            <w:shd w:val="clear" w:color="auto" w:fill="BFBFBF"/>
          </w:tcPr>
          <w:p w:rsidRPr="00543E8B" w:rsidR="00C41D7B" w:rsidP="00E80A06" w:rsidRDefault="00C41D7B" w14:paraId="737EBD88" w14:textId="77777777">
            <w:pPr>
              <w:jc w:val="center"/>
              <w:rPr>
                <w:rFonts w:ascii="Verdana" w:hAnsi="Verdana" w:eastAsia="Calibri" w:cs="Arial"/>
                <w:b/>
                <w:color w:val="007BC7"/>
                <w:sz w:val="18"/>
                <w:szCs w:val="18"/>
                <w:lang w:val="nl-NL" w:eastAsia="en-US"/>
              </w:rPr>
            </w:pPr>
          </w:p>
        </w:tc>
        <w:tc>
          <w:tcPr>
            <w:tcW w:w="433" w:type="dxa"/>
            <w:gridSpan w:val="2"/>
            <w:shd w:val="clear" w:color="auto" w:fill="BFBFBF"/>
          </w:tcPr>
          <w:p w:rsidRPr="00543E8B" w:rsidR="00C41D7B" w:rsidP="00E80A06" w:rsidRDefault="00C41D7B" w14:paraId="6039FE52" w14:textId="77777777">
            <w:pPr>
              <w:spacing w:line="276" w:lineRule="auto"/>
              <w:ind w:firstLine="0"/>
              <w:jc w:val="center"/>
              <w:rPr>
                <w:rFonts w:ascii="Verdana" w:hAnsi="Verdana" w:eastAsia="Calibri" w:cs="Arial"/>
                <w:b/>
                <w:color w:val="007BC7"/>
                <w:sz w:val="18"/>
                <w:szCs w:val="18"/>
                <w:lang w:val="nl-NL" w:eastAsia="en-US"/>
              </w:rPr>
            </w:pPr>
          </w:p>
        </w:tc>
        <w:tc>
          <w:tcPr>
            <w:tcW w:w="559" w:type="dxa"/>
            <w:shd w:val="clear" w:color="auto" w:fill="BFBFBF"/>
            <w:vAlign w:val="center"/>
          </w:tcPr>
          <w:p w:rsidRPr="00543E8B" w:rsidR="00C41D7B" w:rsidP="00E80A06" w:rsidRDefault="00C41D7B" w14:paraId="2BDE69A1" w14:textId="77777777">
            <w:pPr>
              <w:spacing w:line="276" w:lineRule="auto"/>
              <w:ind w:firstLine="0"/>
              <w:rPr>
                <w:rFonts w:ascii="Verdana" w:hAnsi="Verdana" w:eastAsia="Calibri" w:cs="Arial"/>
                <w:sz w:val="18"/>
                <w:szCs w:val="18"/>
                <w:lang w:val="nl-NL" w:eastAsia="en-US"/>
              </w:rPr>
            </w:pPr>
            <w:r w:rsidRPr="00543E8B">
              <w:rPr>
                <w:rFonts w:ascii="Verdana" w:hAnsi="Verdana" w:eastAsia="Calibri" w:cs="Arial"/>
                <w:sz w:val="18"/>
                <w:szCs w:val="18"/>
                <w:lang w:val="nl-NL" w:eastAsia="en-US"/>
              </w:rPr>
              <w:t>II.1</w:t>
            </w:r>
          </w:p>
        </w:tc>
      </w:tr>
      <w:tr w:rsidRPr="00556990" w:rsidR="00C41D7B" w:rsidTr="00E80A06" w14:paraId="3260EA2E" w14:textId="77777777">
        <w:trPr>
          <w:trHeight w:val="255"/>
        </w:trPr>
        <w:tc>
          <w:tcPr>
            <w:tcW w:w="693" w:type="dxa"/>
            <w:shd w:val="clear" w:color="auto" w:fill="BFBFBF"/>
            <w:vAlign w:val="center"/>
          </w:tcPr>
          <w:p w:rsidRPr="00543E8B" w:rsidR="00C41D7B" w:rsidP="00E80A06" w:rsidRDefault="00C41D7B" w14:paraId="6F905948" w14:textId="77777777">
            <w:pPr>
              <w:spacing w:line="276" w:lineRule="auto"/>
              <w:ind w:firstLine="0"/>
              <w:jc w:val="right"/>
              <w:rPr>
                <w:rFonts w:ascii="Verdana" w:hAnsi="Verdana" w:eastAsia="Calibri" w:cs="Arial"/>
                <w:sz w:val="18"/>
                <w:szCs w:val="18"/>
                <w:lang w:val="nl-NL" w:eastAsia="en-US"/>
              </w:rPr>
            </w:pPr>
            <w:r w:rsidRPr="00543E8B">
              <w:rPr>
                <w:rFonts w:ascii="Verdana" w:hAnsi="Verdana" w:eastAsia="Calibri" w:cs="Arial"/>
                <w:sz w:val="18"/>
                <w:szCs w:val="18"/>
                <w:lang w:val="nl-NL" w:eastAsia="en-US"/>
              </w:rPr>
              <w:t>1.3.5</w:t>
            </w:r>
          </w:p>
        </w:tc>
        <w:tc>
          <w:tcPr>
            <w:tcW w:w="6352" w:type="dxa"/>
            <w:gridSpan w:val="2"/>
            <w:shd w:val="clear" w:color="auto" w:fill="007BC7"/>
            <w:vAlign w:val="center"/>
          </w:tcPr>
          <w:p w:rsidRPr="00543E8B" w:rsidR="00C41D7B" w:rsidP="00E80A06" w:rsidRDefault="00C41D7B" w14:paraId="0FBE13BF" w14:textId="77777777">
            <w:pPr>
              <w:spacing w:line="276" w:lineRule="auto"/>
              <w:ind w:firstLine="0"/>
              <w:rPr>
                <w:rFonts w:ascii="Verdana" w:hAnsi="Verdana" w:eastAsia="Calibri" w:cs="Arial"/>
                <w:color w:val="FFFFFF"/>
                <w:sz w:val="18"/>
                <w:szCs w:val="18"/>
                <w:lang w:val="nl-NL" w:eastAsia="en-US"/>
              </w:rPr>
            </w:pPr>
            <w:r w:rsidRPr="00543E8B">
              <w:rPr>
                <w:rFonts w:ascii="Verdana" w:hAnsi="Verdana" w:eastAsia="Calibri" w:cs="Arial"/>
                <w:color w:val="FFFFFF"/>
                <w:sz w:val="18"/>
                <w:szCs w:val="18"/>
                <w:lang w:val="nl-NL" w:eastAsia="en-US"/>
              </w:rPr>
              <w:t>Bronstaat verleent ook verdragsvoordelen aan in Nederland gelegen vaste inrichting die zich in dezelfde situatie bevindt als inwoners van Nederland</w:t>
            </w:r>
          </w:p>
        </w:tc>
        <w:tc>
          <w:tcPr>
            <w:tcW w:w="356" w:type="dxa"/>
            <w:gridSpan w:val="5"/>
            <w:shd w:val="clear" w:color="auto" w:fill="BFBFBF"/>
            <w:vAlign w:val="center"/>
          </w:tcPr>
          <w:p w:rsidRPr="00543E8B" w:rsidR="00C41D7B" w:rsidP="00E80A06" w:rsidRDefault="00C41D7B" w14:paraId="0A085225" w14:textId="77777777">
            <w:pPr>
              <w:spacing w:line="276" w:lineRule="auto"/>
              <w:ind w:firstLine="0"/>
              <w:jc w:val="center"/>
              <w:rPr>
                <w:rFonts w:ascii="Verdana" w:hAnsi="Verdana" w:eastAsia="Calibri" w:cs="Arial"/>
                <w:b/>
                <w:color w:val="007BC7"/>
                <w:sz w:val="18"/>
                <w:szCs w:val="18"/>
                <w:lang w:val="nl-NL" w:eastAsia="en-US"/>
              </w:rPr>
            </w:pPr>
          </w:p>
        </w:tc>
        <w:tc>
          <w:tcPr>
            <w:tcW w:w="355" w:type="dxa"/>
            <w:gridSpan w:val="3"/>
            <w:shd w:val="clear" w:color="auto" w:fill="BFBFBF"/>
          </w:tcPr>
          <w:p w:rsidRPr="00543E8B" w:rsidR="00C41D7B" w:rsidP="00E80A06" w:rsidRDefault="00C41D7B" w14:paraId="7C43FB0D" w14:textId="77777777">
            <w:pPr>
              <w:spacing w:line="276" w:lineRule="auto"/>
              <w:ind w:firstLine="0"/>
              <w:rPr>
                <w:rFonts w:ascii="Verdana" w:hAnsi="Verdana" w:eastAsia="Calibri" w:cs="Arial"/>
                <w:b/>
                <w:color w:val="007BC7"/>
                <w:sz w:val="18"/>
                <w:szCs w:val="18"/>
                <w:lang w:val="nl-NL" w:eastAsia="en-US"/>
              </w:rPr>
            </w:pPr>
          </w:p>
        </w:tc>
        <w:tc>
          <w:tcPr>
            <w:tcW w:w="428" w:type="dxa"/>
            <w:gridSpan w:val="2"/>
            <w:shd w:val="clear" w:color="auto" w:fill="BFBFBF"/>
          </w:tcPr>
          <w:p w:rsidRPr="00543E8B" w:rsidR="00C41D7B" w:rsidP="001B3122" w:rsidRDefault="00C41D7B" w14:paraId="570328F8" w14:textId="77777777">
            <w:pPr>
              <w:spacing w:line="276" w:lineRule="auto"/>
              <w:ind w:firstLine="0"/>
              <w:jc w:val="center"/>
              <w:rPr>
                <w:rFonts w:ascii="Verdana" w:hAnsi="Verdana" w:eastAsia="Calibri" w:cs="Arial"/>
                <w:b/>
                <w:color w:val="007BC7"/>
                <w:sz w:val="18"/>
                <w:szCs w:val="18"/>
                <w:lang w:val="nl-NL" w:eastAsia="en-US"/>
              </w:rPr>
            </w:pPr>
            <w:r w:rsidRPr="00543E8B">
              <w:rPr>
                <w:rFonts w:ascii="Verdana" w:hAnsi="Verdana" w:eastAsia="Calibri" w:cs="Arial"/>
                <w:b/>
                <w:color w:val="007BC7"/>
                <w:sz w:val="18"/>
                <w:szCs w:val="18"/>
                <w:lang w:val="nl-NL" w:eastAsia="en-US"/>
              </w:rPr>
              <w:t>X</w:t>
            </w:r>
          </w:p>
        </w:tc>
        <w:tc>
          <w:tcPr>
            <w:tcW w:w="433" w:type="dxa"/>
            <w:gridSpan w:val="2"/>
            <w:shd w:val="clear" w:color="auto" w:fill="BFBFBF"/>
          </w:tcPr>
          <w:p w:rsidRPr="00543E8B" w:rsidR="00C41D7B" w:rsidP="00E80A06" w:rsidRDefault="00C41D7B" w14:paraId="2F4786B0" w14:textId="77777777">
            <w:pPr>
              <w:spacing w:line="276" w:lineRule="auto"/>
              <w:ind w:firstLine="0"/>
              <w:rPr>
                <w:rFonts w:ascii="Verdana" w:hAnsi="Verdana" w:eastAsia="Calibri" w:cs="Arial"/>
                <w:b/>
                <w:color w:val="007BC7"/>
                <w:sz w:val="18"/>
                <w:szCs w:val="18"/>
                <w:lang w:val="nl-NL" w:eastAsia="en-US"/>
              </w:rPr>
            </w:pPr>
          </w:p>
        </w:tc>
        <w:tc>
          <w:tcPr>
            <w:tcW w:w="559" w:type="dxa"/>
            <w:shd w:val="clear" w:color="auto" w:fill="BFBFBF"/>
            <w:vAlign w:val="center"/>
          </w:tcPr>
          <w:p w:rsidRPr="00543E8B" w:rsidR="00C41D7B" w:rsidP="00E80A06" w:rsidRDefault="00C41D7B" w14:paraId="6606EA8C" w14:textId="77777777">
            <w:pPr>
              <w:spacing w:line="276" w:lineRule="auto"/>
              <w:ind w:firstLine="0"/>
              <w:rPr>
                <w:rFonts w:ascii="Verdana" w:hAnsi="Verdana" w:eastAsia="Calibri" w:cs="Arial"/>
                <w:sz w:val="18"/>
                <w:szCs w:val="18"/>
                <w:lang w:val="nl-NL" w:eastAsia="en-US"/>
              </w:rPr>
            </w:pPr>
          </w:p>
        </w:tc>
      </w:tr>
      <w:tr w:rsidRPr="00556990" w:rsidR="00BF75B4" w:rsidTr="00E80A06" w14:paraId="3E3A0A5E" w14:textId="77777777">
        <w:trPr>
          <w:trHeight w:val="255"/>
        </w:trPr>
        <w:tc>
          <w:tcPr>
            <w:tcW w:w="693" w:type="dxa"/>
            <w:shd w:val="clear" w:color="auto" w:fill="BFBFBF"/>
            <w:vAlign w:val="center"/>
          </w:tcPr>
          <w:p w:rsidRPr="00543E8B" w:rsidR="00BF75B4" w:rsidP="00BF75B4" w:rsidRDefault="00BF75B4" w14:paraId="4B04C113" w14:textId="77777777">
            <w:pPr>
              <w:spacing w:line="276" w:lineRule="auto"/>
              <w:ind w:firstLine="0"/>
              <w:jc w:val="right"/>
              <w:rPr>
                <w:rFonts w:ascii="Verdana" w:hAnsi="Verdana" w:eastAsia="Calibri" w:cs="Arial"/>
                <w:sz w:val="18"/>
                <w:szCs w:val="18"/>
                <w:lang w:val="nl-NL" w:eastAsia="en-US"/>
              </w:rPr>
            </w:pPr>
            <w:r w:rsidRPr="00543E8B">
              <w:rPr>
                <w:rFonts w:ascii="Verdana" w:hAnsi="Verdana" w:eastAsia="Calibri" w:cs="Arial"/>
                <w:sz w:val="18"/>
                <w:szCs w:val="18"/>
                <w:lang w:val="nl-NL" w:eastAsia="en-US"/>
              </w:rPr>
              <w:t>III</w:t>
            </w:r>
          </w:p>
        </w:tc>
        <w:tc>
          <w:tcPr>
            <w:tcW w:w="6352" w:type="dxa"/>
            <w:gridSpan w:val="2"/>
            <w:shd w:val="clear" w:color="auto" w:fill="007BC7"/>
            <w:vAlign w:val="center"/>
          </w:tcPr>
          <w:p w:rsidRPr="00543E8B" w:rsidR="00BF75B4" w:rsidP="00BF75B4" w:rsidRDefault="00BF75B4" w14:paraId="106FD1FE" w14:textId="77777777">
            <w:pPr>
              <w:spacing w:line="276" w:lineRule="auto"/>
              <w:ind w:firstLine="0"/>
              <w:rPr>
                <w:rFonts w:ascii="Verdana" w:hAnsi="Verdana" w:eastAsia="Calibri" w:cs="Arial"/>
                <w:color w:val="FFFFFF"/>
                <w:sz w:val="18"/>
                <w:szCs w:val="18"/>
                <w:lang w:val="nl-NL" w:eastAsia="en-US"/>
              </w:rPr>
            </w:pPr>
            <w:r w:rsidRPr="00543E8B">
              <w:rPr>
                <w:rFonts w:ascii="Verdana" w:hAnsi="Verdana" w:eastAsia="Calibri" w:cs="Arial"/>
                <w:color w:val="FFFFFF"/>
                <w:sz w:val="18"/>
                <w:szCs w:val="18"/>
                <w:lang w:val="nl-NL" w:eastAsia="en-US"/>
              </w:rPr>
              <w:t xml:space="preserve">Dubbele belastingheffing in relatie tot BES eilanden geadresseerd </w:t>
            </w:r>
          </w:p>
        </w:tc>
        <w:tc>
          <w:tcPr>
            <w:tcW w:w="356" w:type="dxa"/>
            <w:gridSpan w:val="5"/>
            <w:shd w:val="clear" w:color="auto" w:fill="BFBFBF"/>
            <w:vAlign w:val="center"/>
          </w:tcPr>
          <w:p w:rsidRPr="00543E8B" w:rsidR="00BF75B4" w:rsidP="00BF75B4" w:rsidRDefault="00BF75B4" w14:paraId="2CD7B9D1" w14:textId="77777777">
            <w:pPr>
              <w:spacing w:line="276" w:lineRule="auto"/>
              <w:ind w:firstLine="0"/>
              <w:jc w:val="center"/>
              <w:rPr>
                <w:rFonts w:ascii="Verdana" w:hAnsi="Verdana" w:eastAsia="Calibri" w:cs="Arial"/>
                <w:b/>
                <w:color w:val="007BC7"/>
                <w:sz w:val="18"/>
                <w:szCs w:val="18"/>
                <w:lang w:val="nl-NL" w:eastAsia="en-US"/>
              </w:rPr>
            </w:pPr>
            <w:r w:rsidRPr="00543E8B">
              <w:rPr>
                <w:rFonts w:ascii="Verdana" w:hAnsi="Verdana" w:eastAsia="Calibri" w:cs="Arial"/>
                <w:b/>
                <w:color w:val="007BC7"/>
                <w:sz w:val="18"/>
                <w:szCs w:val="18"/>
                <w:lang w:val="nl-NL" w:eastAsia="en-US"/>
              </w:rPr>
              <w:t>X</w:t>
            </w:r>
          </w:p>
        </w:tc>
        <w:tc>
          <w:tcPr>
            <w:tcW w:w="355" w:type="dxa"/>
            <w:gridSpan w:val="3"/>
            <w:shd w:val="clear" w:color="auto" w:fill="BFBFBF"/>
          </w:tcPr>
          <w:p w:rsidRPr="00543E8B" w:rsidR="00BF75B4" w:rsidP="00BF75B4" w:rsidRDefault="00BF75B4" w14:paraId="6B0057C5" w14:textId="77777777">
            <w:pPr>
              <w:spacing w:line="276" w:lineRule="auto"/>
              <w:ind w:firstLine="0"/>
              <w:rPr>
                <w:rFonts w:ascii="Verdana" w:hAnsi="Verdana" w:eastAsia="Calibri" w:cs="Arial"/>
                <w:b/>
                <w:color w:val="007BC7"/>
                <w:sz w:val="18"/>
                <w:szCs w:val="18"/>
                <w:lang w:val="nl-NL" w:eastAsia="en-US"/>
              </w:rPr>
            </w:pPr>
          </w:p>
        </w:tc>
        <w:tc>
          <w:tcPr>
            <w:tcW w:w="428" w:type="dxa"/>
            <w:gridSpan w:val="2"/>
            <w:shd w:val="clear" w:color="auto" w:fill="BFBFBF"/>
          </w:tcPr>
          <w:p w:rsidRPr="00543E8B" w:rsidR="00BF75B4" w:rsidP="00BF75B4" w:rsidRDefault="00BF75B4" w14:paraId="07342066" w14:textId="77777777">
            <w:pPr>
              <w:spacing w:line="276" w:lineRule="auto"/>
              <w:ind w:firstLine="0"/>
              <w:jc w:val="center"/>
              <w:rPr>
                <w:rFonts w:ascii="Verdana" w:hAnsi="Verdana" w:eastAsia="Calibri" w:cs="Arial"/>
                <w:b/>
                <w:color w:val="007BC7"/>
                <w:sz w:val="18"/>
                <w:szCs w:val="18"/>
                <w:lang w:val="nl-NL" w:eastAsia="en-US"/>
              </w:rPr>
            </w:pPr>
          </w:p>
        </w:tc>
        <w:tc>
          <w:tcPr>
            <w:tcW w:w="433" w:type="dxa"/>
            <w:gridSpan w:val="2"/>
            <w:shd w:val="clear" w:color="auto" w:fill="BFBFBF"/>
          </w:tcPr>
          <w:p w:rsidRPr="00543E8B" w:rsidR="00BF75B4" w:rsidP="00BF75B4" w:rsidRDefault="00BF75B4" w14:paraId="75CB9808" w14:textId="77777777">
            <w:pPr>
              <w:spacing w:line="276" w:lineRule="auto"/>
              <w:ind w:firstLine="0"/>
              <w:rPr>
                <w:rFonts w:ascii="Verdana" w:hAnsi="Verdana" w:eastAsia="Calibri" w:cs="Arial"/>
                <w:b/>
                <w:color w:val="007BC7"/>
                <w:sz w:val="18"/>
                <w:szCs w:val="18"/>
                <w:lang w:val="nl-NL" w:eastAsia="en-US"/>
              </w:rPr>
            </w:pPr>
          </w:p>
        </w:tc>
        <w:tc>
          <w:tcPr>
            <w:tcW w:w="559" w:type="dxa"/>
            <w:shd w:val="clear" w:color="auto" w:fill="BFBFBF"/>
            <w:vAlign w:val="center"/>
          </w:tcPr>
          <w:p w:rsidRPr="00543E8B" w:rsidR="00BF75B4" w:rsidP="00BF75B4" w:rsidRDefault="00BF75B4" w14:paraId="1E9466D7" w14:textId="77777777">
            <w:pPr>
              <w:spacing w:line="276" w:lineRule="auto"/>
              <w:ind w:firstLine="0"/>
              <w:rPr>
                <w:rFonts w:ascii="Verdana" w:hAnsi="Verdana" w:eastAsia="Calibri" w:cs="Arial"/>
                <w:sz w:val="18"/>
                <w:szCs w:val="18"/>
                <w:lang w:val="nl-NL" w:eastAsia="en-US"/>
              </w:rPr>
            </w:pPr>
            <w:r w:rsidRPr="00543E8B">
              <w:rPr>
                <w:rFonts w:ascii="Verdana" w:hAnsi="Verdana" w:eastAsia="Calibri" w:cs="Arial"/>
                <w:sz w:val="18"/>
                <w:szCs w:val="18"/>
                <w:lang w:val="nl-NL" w:eastAsia="en-US"/>
              </w:rPr>
              <w:t>I.6</w:t>
            </w:r>
          </w:p>
        </w:tc>
      </w:tr>
      <w:tr w:rsidRPr="00F74C97" w:rsidR="00BF75B4" w:rsidTr="00E80A06" w14:paraId="6CE0B0ED" w14:textId="77777777">
        <w:trPr>
          <w:gridAfter w:val="10"/>
          <w:wAfter w:w="1952" w:type="dxa"/>
          <w:cantSplit/>
          <w:trHeight w:val="403"/>
        </w:trPr>
        <w:tc>
          <w:tcPr>
            <w:tcW w:w="693" w:type="dxa"/>
            <w:shd w:val="clear" w:color="auto" w:fill="FFFFFF"/>
            <w:vAlign w:val="center"/>
          </w:tcPr>
          <w:p w:rsidRPr="00543E8B" w:rsidR="00BF75B4" w:rsidP="00BF75B4" w:rsidRDefault="00BF75B4" w14:paraId="53AC7DD5" w14:textId="77777777">
            <w:pPr>
              <w:spacing w:line="276" w:lineRule="auto"/>
              <w:ind w:firstLine="0"/>
              <w:jc w:val="right"/>
              <w:rPr>
                <w:rFonts w:ascii="Verdana" w:hAnsi="Verdana" w:eastAsia="Calibri" w:cs="Arial"/>
                <w:sz w:val="18"/>
                <w:szCs w:val="18"/>
                <w:lang w:val="nl-NL" w:eastAsia="en-US"/>
              </w:rPr>
            </w:pPr>
          </w:p>
        </w:tc>
        <w:tc>
          <w:tcPr>
            <w:tcW w:w="6531" w:type="dxa"/>
            <w:gridSpan w:val="5"/>
            <w:shd w:val="clear" w:color="auto" w:fill="FFFFFF"/>
            <w:vAlign w:val="center"/>
          </w:tcPr>
          <w:p w:rsidRPr="00543E8B" w:rsidR="00BF75B4" w:rsidP="00BF75B4" w:rsidRDefault="00BF75B4" w14:paraId="1B642B60" w14:textId="77777777">
            <w:pPr>
              <w:ind w:firstLine="0"/>
              <w:rPr>
                <w:rFonts w:ascii="Verdana" w:hAnsi="Verdana" w:cs="Arial"/>
                <w:b/>
                <w:sz w:val="18"/>
                <w:szCs w:val="18"/>
                <w:lang w:val="nl-NL"/>
              </w:rPr>
            </w:pPr>
            <w:r w:rsidRPr="00543E8B">
              <w:rPr>
                <w:rFonts w:ascii="Verdana" w:hAnsi="Verdana" w:eastAsia="Calibri" w:cs="Arial"/>
                <w:b/>
                <w:sz w:val="18"/>
                <w:szCs w:val="18"/>
                <w:lang w:val="nl-NL" w:eastAsia="en-US"/>
              </w:rPr>
              <w:t>Specifieke elementen</w:t>
            </w:r>
            <w:r w:rsidRPr="00543E8B">
              <w:rPr>
                <w:rFonts w:ascii="Verdana" w:hAnsi="Verdana" w:cs="Arial"/>
                <w:b/>
                <w:sz w:val="18"/>
                <w:szCs w:val="18"/>
                <w:lang w:val="nl-NL"/>
              </w:rPr>
              <w:br/>
            </w:r>
            <w:r w:rsidRPr="00543E8B">
              <w:rPr>
                <w:rFonts w:ascii="Verdana" w:hAnsi="Verdana" w:eastAsia="Calibri" w:cs="Arial"/>
                <w:i/>
                <w:sz w:val="18"/>
                <w:szCs w:val="18"/>
                <w:lang w:val="nl-NL" w:eastAsia="en-US"/>
              </w:rPr>
              <w:t>Verdragstoegang en –voordelen</w:t>
            </w:r>
          </w:p>
        </w:tc>
      </w:tr>
      <w:tr w:rsidRPr="00DE4A5E" w:rsidR="00BF75B4" w:rsidTr="00E80A06" w14:paraId="4338D264" w14:textId="77777777">
        <w:trPr>
          <w:trHeight w:val="255"/>
        </w:trPr>
        <w:tc>
          <w:tcPr>
            <w:tcW w:w="693" w:type="dxa"/>
            <w:shd w:val="clear" w:color="auto" w:fill="BFBFBF"/>
            <w:vAlign w:val="center"/>
          </w:tcPr>
          <w:p w:rsidRPr="00DE4A5E" w:rsidR="00BF75B4" w:rsidP="00BF75B4" w:rsidRDefault="00BF75B4" w14:paraId="02F07700" w14:textId="77777777">
            <w:pPr>
              <w:spacing w:line="276" w:lineRule="auto"/>
              <w:ind w:firstLine="0"/>
              <w:jc w:val="right"/>
              <w:rPr>
                <w:rFonts w:ascii="Verdana" w:hAnsi="Verdana" w:eastAsia="Calibri" w:cs="Arial"/>
                <w:sz w:val="18"/>
                <w:szCs w:val="18"/>
                <w:lang w:val="nl-NL" w:eastAsia="en-US"/>
              </w:rPr>
            </w:pPr>
            <w:r w:rsidRPr="00DE4A5E">
              <w:rPr>
                <w:rFonts w:ascii="Verdana" w:hAnsi="Verdana" w:eastAsia="Calibri" w:cs="Arial"/>
                <w:sz w:val="18"/>
                <w:szCs w:val="18"/>
                <w:lang w:val="nl-NL" w:eastAsia="en-US"/>
              </w:rPr>
              <w:t>2.2.1</w:t>
            </w:r>
          </w:p>
        </w:tc>
        <w:tc>
          <w:tcPr>
            <w:tcW w:w="6352" w:type="dxa"/>
            <w:gridSpan w:val="2"/>
            <w:shd w:val="clear" w:color="auto" w:fill="007BC7"/>
            <w:vAlign w:val="center"/>
          </w:tcPr>
          <w:p w:rsidRPr="00DE4A5E" w:rsidR="00BF75B4" w:rsidP="00BF75B4" w:rsidRDefault="00BF75B4" w14:paraId="5E11FB10" w14:textId="77777777">
            <w:pPr>
              <w:spacing w:line="276" w:lineRule="auto"/>
              <w:ind w:firstLine="0"/>
              <w:rPr>
                <w:rFonts w:ascii="Verdana" w:hAnsi="Verdana" w:eastAsia="Calibri" w:cs="Arial"/>
                <w:color w:val="FFFFFF"/>
                <w:sz w:val="18"/>
                <w:szCs w:val="18"/>
                <w:lang w:val="nl-NL" w:eastAsia="en-US"/>
              </w:rPr>
            </w:pPr>
            <w:r w:rsidRPr="00DE4A5E">
              <w:rPr>
                <w:rFonts w:ascii="Verdana" w:hAnsi="Verdana" w:eastAsia="Calibri" w:cs="Arial"/>
                <w:color w:val="FFFFFF"/>
                <w:sz w:val="18"/>
                <w:szCs w:val="18"/>
                <w:lang w:val="nl-NL" w:eastAsia="en-US"/>
              </w:rPr>
              <w:t xml:space="preserve">Vastgelegd is dat een lichaam wordt geacht aan belasting in een </w:t>
            </w:r>
            <w:r w:rsidR="0021450B">
              <w:rPr>
                <w:rFonts w:ascii="Verdana" w:hAnsi="Verdana" w:eastAsia="Calibri" w:cs="Arial"/>
                <w:color w:val="FFFFFF"/>
                <w:sz w:val="18"/>
                <w:szCs w:val="18"/>
                <w:lang w:val="nl-NL" w:eastAsia="en-US"/>
              </w:rPr>
              <w:t>verdragsluitende staat</w:t>
            </w:r>
            <w:r w:rsidRPr="00DE4A5E">
              <w:rPr>
                <w:rFonts w:ascii="Verdana" w:hAnsi="Verdana" w:eastAsia="Calibri" w:cs="Arial"/>
                <w:color w:val="FFFFFF"/>
                <w:sz w:val="18"/>
                <w:szCs w:val="18"/>
                <w:lang w:val="nl-NL" w:eastAsia="en-US"/>
              </w:rPr>
              <w:t xml:space="preserve"> onderworpen te zijn, indien dat lichaam wordt beheerst door de wetten van die staat of zijn plaats van leiding in die staat heeft</w:t>
            </w:r>
          </w:p>
        </w:tc>
        <w:tc>
          <w:tcPr>
            <w:tcW w:w="356" w:type="dxa"/>
            <w:gridSpan w:val="5"/>
            <w:shd w:val="clear" w:color="auto" w:fill="BFBFBF"/>
            <w:vAlign w:val="center"/>
          </w:tcPr>
          <w:p w:rsidRPr="00DE4A5E" w:rsidR="00BF75B4" w:rsidP="00BF75B4" w:rsidRDefault="00BF75B4" w14:paraId="72D97A44" w14:textId="77777777">
            <w:pPr>
              <w:spacing w:line="276" w:lineRule="auto"/>
              <w:ind w:firstLine="0"/>
              <w:jc w:val="center"/>
              <w:rPr>
                <w:rFonts w:ascii="Verdana" w:hAnsi="Verdana" w:eastAsia="Calibri" w:cs="Arial"/>
                <w:b/>
                <w:color w:val="007BC7"/>
                <w:sz w:val="18"/>
                <w:szCs w:val="18"/>
                <w:lang w:val="nl-NL" w:eastAsia="en-US"/>
              </w:rPr>
            </w:pPr>
            <w:r w:rsidRPr="00DE4A5E">
              <w:rPr>
                <w:rFonts w:ascii="Verdana" w:hAnsi="Verdana" w:eastAsia="Calibri" w:cs="Arial"/>
                <w:b/>
                <w:color w:val="007BC7"/>
                <w:sz w:val="18"/>
                <w:szCs w:val="18"/>
                <w:lang w:val="nl-NL" w:eastAsia="en-US"/>
              </w:rPr>
              <w:t>X</w:t>
            </w:r>
          </w:p>
        </w:tc>
        <w:tc>
          <w:tcPr>
            <w:tcW w:w="355" w:type="dxa"/>
            <w:gridSpan w:val="3"/>
            <w:shd w:val="clear" w:color="auto" w:fill="BFBFBF"/>
            <w:vAlign w:val="center"/>
          </w:tcPr>
          <w:p w:rsidRPr="00DE4A5E" w:rsidR="00BF75B4" w:rsidP="00BF75B4" w:rsidRDefault="00BF75B4" w14:paraId="1C34714D" w14:textId="77777777">
            <w:pPr>
              <w:spacing w:line="276" w:lineRule="auto"/>
              <w:ind w:firstLine="0"/>
              <w:jc w:val="center"/>
              <w:rPr>
                <w:rFonts w:ascii="Verdana" w:hAnsi="Verdana" w:eastAsia="Calibri" w:cs="Arial"/>
                <w:b/>
                <w:color w:val="007BC7"/>
                <w:sz w:val="18"/>
                <w:szCs w:val="18"/>
                <w:lang w:val="nl-NL" w:eastAsia="en-US"/>
              </w:rPr>
            </w:pPr>
          </w:p>
        </w:tc>
        <w:tc>
          <w:tcPr>
            <w:tcW w:w="428" w:type="dxa"/>
            <w:gridSpan w:val="2"/>
            <w:shd w:val="clear" w:color="auto" w:fill="BFBFBF"/>
            <w:vAlign w:val="center"/>
          </w:tcPr>
          <w:p w:rsidRPr="00DE4A5E" w:rsidR="00BF75B4" w:rsidP="00BF75B4" w:rsidRDefault="00BF75B4" w14:paraId="22EB4E59" w14:textId="77777777">
            <w:pPr>
              <w:spacing w:line="276" w:lineRule="auto"/>
              <w:ind w:firstLine="0"/>
              <w:jc w:val="center"/>
              <w:rPr>
                <w:rFonts w:ascii="Verdana" w:hAnsi="Verdana" w:eastAsia="Calibri" w:cs="Arial"/>
                <w:b/>
                <w:color w:val="007BC7"/>
                <w:sz w:val="18"/>
                <w:szCs w:val="18"/>
                <w:lang w:val="nl-NL" w:eastAsia="en-US"/>
              </w:rPr>
            </w:pPr>
          </w:p>
        </w:tc>
        <w:tc>
          <w:tcPr>
            <w:tcW w:w="433" w:type="dxa"/>
            <w:gridSpan w:val="2"/>
            <w:shd w:val="clear" w:color="auto" w:fill="BFBFBF"/>
            <w:vAlign w:val="center"/>
          </w:tcPr>
          <w:p w:rsidRPr="00DE4A5E" w:rsidR="00BF75B4" w:rsidP="00BF75B4" w:rsidRDefault="00BF75B4" w14:paraId="382968BA" w14:textId="77777777">
            <w:pPr>
              <w:spacing w:line="276" w:lineRule="auto"/>
              <w:ind w:firstLine="0"/>
              <w:jc w:val="center"/>
              <w:rPr>
                <w:rFonts w:ascii="Verdana" w:hAnsi="Verdana" w:eastAsia="Calibri" w:cs="Arial"/>
                <w:b/>
                <w:color w:val="007BC7"/>
                <w:sz w:val="18"/>
                <w:szCs w:val="18"/>
                <w:lang w:val="nl-NL" w:eastAsia="en-US"/>
              </w:rPr>
            </w:pPr>
          </w:p>
        </w:tc>
        <w:tc>
          <w:tcPr>
            <w:tcW w:w="559" w:type="dxa"/>
            <w:shd w:val="clear" w:color="auto" w:fill="BFBFBF"/>
            <w:vAlign w:val="center"/>
          </w:tcPr>
          <w:p w:rsidRPr="00DE4A5E" w:rsidR="00BF75B4" w:rsidP="00BF75B4" w:rsidRDefault="00BF75B4" w14:paraId="27A36A7C" w14:textId="77777777">
            <w:pPr>
              <w:spacing w:line="276" w:lineRule="auto"/>
              <w:ind w:firstLine="0"/>
              <w:rPr>
                <w:rFonts w:ascii="Verdana" w:hAnsi="Verdana" w:eastAsia="Calibri" w:cs="Arial"/>
                <w:sz w:val="18"/>
                <w:szCs w:val="18"/>
                <w:lang w:val="nl-NL" w:eastAsia="en-US"/>
              </w:rPr>
            </w:pPr>
            <w:r w:rsidRPr="00DE4A5E">
              <w:rPr>
                <w:rFonts w:ascii="Verdana" w:hAnsi="Verdana" w:eastAsia="Calibri" w:cs="Arial"/>
                <w:sz w:val="18"/>
                <w:szCs w:val="18"/>
                <w:lang w:val="nl-NL" w:eastAsia="en-US"/>
              </w:rPr>
              <w:t>II.4</w:t>
            </w:r>
          </w:p>
        </w:tc>
      </w:tr>
      <w:tr w:rsidRPr="00DE4A5E" w:rsidR="00BF75B4" w:rsidTr="00E80A06" w14:paraId="57C0D0A7" w14:textId="77777777">
        <w:trPr>
          <w:trHeight w:val="255"/>
        </w:trPr>
        <w:tc>
          <w:tcPr>
            <w:tcW w:w="693" w:type="dxa"/>
            <w:shd w:val="clear" w:color="auto" w:fill="BFBFBF"/>
            <w:vAlign w:val="center"/>
          </w:tcPr>
          <w:p w:rsidRPr="00DE4A5E" w:rsidR="00BF75B4" w:rsidP="00BF75B4" w:rsidRDefault="00BF75B4" w14:paraId="75EC1AC5" w14:textId="77777777">
            <w:pPr>
              <w:spacing w:line="276" w:lineRule="auto"/>
              <w:ind w:firstLine="0"/>
              <w:jc w:val="right"/>
              <w:rPr>
                <w:rFonts w:ascii="Verdana" w:hAnsi="Verdana" w:eastAsia="Calibri" w:cs="Arial"/>
                <w:sz w:val="18"/>
                <w:szCs w:val="18"/>
                <w:lang w:val="nl-NL" w:eastAsia="en-US"/>
              </w:rPr>
            </w:pPr>
            <w:r w:rsidRPr="00DE4A5E">
              <w:rPr>
                <w:rFonts w:ascii="Verdana" w:hAnsi="Verdana" w:eastAsia="Calibri" w:cs="Arial"/>
                <w:sz w:val="18"/>
                <w:szCs w:val="18"/>
                <w:lang w:val="nl-NL" w:eastAsia="en-US"/>
              </w:rPr>
              <w:t>2.2.1</w:t>
            </w:r>
          </w:p>
        </w:tc>
        <w:tc>
          <w:tcPr>
            <w:tcW w:w="6352" w:type="dxa"/>
            <w:gridSpan w:val="2"/>
            <w:shd w:val="clear" w:color="auto" w:fill="007BC7"/>
            <w:vAlign w:val="center"/>
          </w:tcPr>
          <w:p w:rsidRPr="00DE4A5E" w:rsidR="00BF75B4" w:rsidP="000E3957" w:rsidRDefault="00BF75B4" w14:paraId="7DCBEC9A" w14:textId="77777777">
            <w:pPr>
              <w:spacing w:line="276" w:lineRule="auto"/>
              <w:ind w:firstLine="0"/>
              <w:rPr>
                <w:rFonts w:ascii="Verdana" w:hAnsi="Verdana" w:eastAsia="Calibri" w:cs="Arial"/>
                <w:color w:val="FFFFFF"/>
                <w:sz w:val="18"/>
                <w:szCs w:val="18"/>
                <w:lang w:val="nl-NL" w:eastAsia="en-US"/>
              </w:rPr>
            </w:pPr>
            <w:r w:rsidRPr="00DE4A5E">
              <w:rPr>
                <w:rFonts w:ascii="Verdana" w:hAnsi="Verdana" w:eastAsia="Calibri" w:cs="Arial"/>
                <w:color w:val="FFFFFF"/>
                <w:sz w:val="18"/>
                <w:szCs w:val="18"/>
                <w:lang w:val="nl-NL" w:eastAsia="en-US"/>
              </w:rPr>
              <w:t>De vbi komt voor sommige verdragsvoordelen niet in aanmerking</w:t>
            </w:r>
            <w:r w:rsidRPr="00DE4A5E">
              <w:rPr>
                <w:rStyle w:val="Voetnootmarkering"/>
                <w:rFonts w:ascii="Verdana" w:hAnsi="Verdana" w:eastAsia="Calibri" w:cs="Arial"/>
                <w:color w:val="FFFFFF"/>
                <w:sz w:val="18"/>
                <w:szCs w:val="18"/>
                <w:lang w:val="nl-NL" w:eastAsia="en-US"/>
              </w:rPr>
              <w:footnoteReference w:id="5"/>
            </w:r>
          </w:p>
        </w:tc>
        <w:tc>
          <w:tcPr>
            <w:tcW w:w="356" w:type="dxa"/>
            <w:gridSpan w:val="5"/>
            <w:shd w:val="clear" w:color="auto" w:fill="BFBFBF"/>
            <w:vAlign w:val="center"/>
          </w:tcPr>
          <w:p w:rsidRPr="00DE4A5E" w:rsidR="00BF75B4" w:rsidP="00BF75B4" w:rsidRDefault="00BF75B4" w14:paraId="1340C5A9" w14:textId="77777777">
            <w:pPr>
              <w:spacing w:line="276" w:lineRule="auto"/>
              <w:ind w:firstLine="0"/>
              <w:jc w:val="center"/>
              <w:rPr>
                <w:rFonts w:ascii="Verdana" w:hAnsi="Verdana" w:eastAsia="Calibri" w:cs="Arial"/>
                <w:b/>
                <w:color w:val="007BC7"/>
                <w:sz w:val="18"/>
                <w:szCs w:val="18"/>
                <w:lang w:val="nl-NL" w:eastAsia="en-US"/>
              </w:rPr>
            </w:pPr>
            <w:r w:rsidRPr="00DE4A5E">
              <w:rPr>
                <w:rFonts w:ascii="Verdana" w:hAnsi="Verdana" w:eastAsia="Calibri" w:cs="Arial"/>
                <w:b/>
                <w:color w:val="007BC7"/>
                <w:sz w:val="18"/>
                <w:szCs w:val="18"/>
                <w:lang w:val="nl-NL" w:eastAsia="en-US"/>
              </w:rPr>
              <w:t>X</w:t>
            </w:r>
          </w:p>
        </w:tc>
        <w:tc>
          <w:tcPr>
            <w:tcW w:w="355" w:type="dxa"/>
            <w:gridSpan w:val="3"/>
            <w:shd w:val="clear" w:color="auto" w:fill="BFBFBF"/>
            <w:vAlign w:val="center"/>
          </w:tcPr>
          <w:p w:rsidRPr="00DE4A5E" w:rsidR="00BF75B4" w:rsidP="00BF75B4" w:rsidRDefault="00BF75B4" w14:paraId="36EBA5A8" w14:textId="77777777">
            <w:pPr>
              <w:spacing w:line="276" w:lineRule="auto"/>
              <w:ind w:firstLine="0"/>
              <w:jc w:val="center"/>
              <w:rPr>
                <w:rFonts w:ascii="Verdana" w:hAnsi="Verdana" w:eastAsia="Calibri" w:cs="Arial"/>
                <w:b/>
                <w:color w:val="007BC7"/>
                <w:sz w:val="18"/>
                <w:szCs w:val="18"/>
                <w:lang w:val="nl-NL" w:eastAsia="en-US"/>
              </w:rPr>
            </w:pPr>
          </w:p>
        </w:tc>
        <w:tc>
          <w:tcPr>
            <w:tcW w:w="428" w:type="dxa"/>
            <w:gridSpan w:val="2"/>
            <w:shd w:val="clear" w:color="auto" w:fill="BFBFBF"/>
            <w:vAlign w:val="center"/>
          </w:tcPr>
          <w:p w:rsidRPr="00DE4A5E" w:rsidR="00BF75B4" w:rsidP="00BF75B4" w:rsidRDefault="00BF75B4" w14:paraId="093EFFE4" w14:textId="77777777">
            <w:pPr>
              <w:spacing w:line="276" w:lineRule="auto"/>
              <w:ind w:firstLine="0"/>
              <w:jc w:val="center"/>
              <w:rPr>
                <w:rFonts w:ascii="Verdana" w:hAnsi="Verdana" w:eastAsia="Calibri" w:cs="Arial"/>
                <w:b/>
                <w:color w:val="007BC7"/>
                <w:sz w:val="18"/>
                <w:szCs w:val="18"/>
                <w:lang w:val="nl-NL" w:eastAsia="en-US"/>
              </w:rPr>
            </w:pPr>
          </w:p>
        </w:tc>
        <w:tc>
          <w:tcPr>
            <w:tcW w:w="433" w:type="dxa"/>
            <w:gridSpan w:val="2"/>
            <w:shd w:val="clear" w:color="auto" w:fill="BFBFBF"/>
            <w:vAlign w:val="center"/>
          </w:tcPr>
          <w:p w:rsidRPr="00DE4A5E" w:rsidR="00BF75B4" w:rsidP="00BF75B4" w:rsidRDefault="00BF75B4" w14:paraId="50EB89D8" w14:textId="77777777">
            <w:pPr>
              <w:spacing w:line="276" w:lineRule="auto"/>
              <w:ind w:firstLine="0"/>
              <w:jc w:val="center"/>
              <w:rPr>
                <w:rFonts w:ascii="Verdana" w:hAnsi="Verdana" w:eastAsia="Calibri" w:cs="Arial"/>
                <w:b/>
                <w:color w:val="007BC7"/>
                <w:sz w:val="18"/>
                <w:szCs w:val="18"/>
                <w:lang w:val="nl-NL" w:eastAsia="en-US"/>
              </w:rPr>
            </w:pPr>
          </w:p>
        </w:tc>
        <w:tc>
          <w:tcPr>
            <w:tcW w:w="559" w:type="dxa"/>
            <w:shd w:val="clear" w:color="auto" w:fill="BFBFBF"/>
            <w:vAlign w:val="center"/>
          </w:tcPr>
          <w:p w:rsidRPr="00DE4A5E" w:rsidR="00BF75B4" w:rsidP="00BF75B4" w:rsidRDefault="00BF75B4" w14:paraId="77141043" w14:textId="77777777">
            <w:pPr>
              <w:spacing w:line="276" w:lineRule="auto"/>
              <w:ind w:firstLine="0"/>
              <w:rPr>
                <w:rFonts w:ascii="Verdana" w:hAnsi="Verdana" w:eastAsia="Calibri" w:cs="Arial"/>
                <w:sz w:val="18"/>
                <w:szCs w:val="18"/>
                <w:lang w:val="nl-NL" w:eastAsia="en-US"/>
              </w:rPr>
            </w:pPr>
            <w:r w:rsidRPr="00DE4A5E">
              <w:rPr>
                <w:rFonts w:ascii="Verdana" w:hAnsi="Verdana" w:eastAsia="Calibri" w:cs="Arial"/>
                <w:sz w:val="18"/>
                <w:szCs w:val="18"/>
                <w:lang w:val="nl-NL" w:eastAsia="en-US"/>
              </w:rPr>
              <w:t>II.1</w:t>
            </w:r>
          </w:p>
        </w:tc>
      </w:tr>
      <w:tr w:rsidRPr="00DE4A5E" w:rsidR="00BF75B4" w:rsidTr="00E80A06" w14:paraId="6135AD73" w14:textId="77777777">
        <w:trPr>
          <w:trHeight w:val="255"/>
        </w:trPr>
        <w:tc>
          <w:tcPr>
            <w:tcW w:w="693" w:type="dxa"/>
            <w:shd w:val="clear" w:color="auto" w:fill="BFBFBF"/>
            <w:vAlign w:val="center"/>
          </w:tcPr>
          <w:p w:rsidRPr="00DE4A5E" w:rsidR="00BF75B4" w:rsidP="00BF75B4" w:rsidRDefault="00BF75B4" w14:paraId="1B116951" w14:textId="77777777">
            <w:pPr>
              <w:spacing w:line="276" w:lineRule="auto"/>
              <w:ind w:firstLine="0"/>
              <w:jc w:val="right"/>
              <w:rPr>
                <w:rFonts w:ascii="Verdana" w:hAnsi="Verdana" w:eastAsia="Calibri" w:cs="Arial"/>
                <w:sz w:val="18"/>
                <w:szCs w:val="18"/>
                <w:lang w:val="nl-NL" w:eastAsia="en-US"/>
              </w:rPr>
            </w:pPr>
            <w:r w:rsidRPr="00DE4A5E">
              <w:rPr>
                <w:rFonts w:ascii="Verdana" w:hAnsi="Verdana" w:eastAsia="Calibri" w:cs="Arial"/>
                <w:sz w:val="18"/>
                <w:szCs w:val="18"/>
                <w:lang w:val="nl-NL" w:eastAsia="en-US"/>
              </w:rPr>
              <w:t>2.2.1</w:t>
            </w:r>
            <w:r w:rsidRPr="00DE4A5E">
              <w:rPr>
                <w:rFonts w:ascii="Verdana" w:hAnsi="Verdana" w:eastAsia="Calibri" w:cs="Arial"/>
                <w:sz w:val="18"/>
                <w:szCs w:val="18"/>
                <w:lang w:val="nl-NL" w:eastAsia="en-US"/>
              </w:rPr>
              <w:br/>
              <w:t>/II.2</w:t>
            </w:r>
          </w:p>
        </w:tc>
        <w:tc>
          <w:tcPr>
            <w:tcW w:w="6352" w:type="dxa"/>
            <w:gridSpan w:val="2"/>
            <w:shd w:val="clear" w:color="auto" w:fill="007BC7"/>
            <w:vAlign w:val="center"/>
          </w:tcPr>
          <w:p w:rsidRPr="00DE4A5E" w:rsidR="00BF75B4" w:rsidP="00BF75B4" w:rsidRDefault="00BF75B4" w14:paraId="06020951" w14:textId="77777777">
            <w:pPr>
              <w:spacing w:line="276" w:lineRule="auto"/>
              <w:ind w:firstLine="0"/>
              <w:rPr>
                <w:rFonts w:ascii="Verdana" w:hAnsi="Verdana" w:eastAsia="Calibri" w:cs="Arial"/>
                <w:color w:val="FFFFFF"/>
                <w:sz w:val="18"/>
                <w:szCs w:val="18"/>
                <w:lang w:val="nl-NL" w:eastAsia="en-US"/>
              </w:rPr>
            </w:pPr>
            <w:r w:rsidRPr="00DE4A5E">
              <w:rPr>
                <w:rFonts w:ascii="Verdana" w:hAnsi="Verdana" w:eastAsia="Calibri" w:cs="Arial"/>
                <w:color w:val="FFFFFF"/>
                <w:sz w:val="18"/>
                <w:szCs w:val="18"/>
                <w:lang w:val="nl-NL" w:eastAsia="en-US"/>
              </w:rPr>
              <w:t>Duidelijkheid is gegeven over de verdragstoegang van en aanspraak op verdragsvoordelen door pensioen- en overheidsfondsen</w:t>
            </w:r>
          </w:p>
        </w:tc>
        <w:tc>
          <w:tcPr>
            <w:tcW w:w="356" w:type="dxa"/>
            <w:gridSpan w:val="5"/>
            <w:shd w:val="clear" w:color="auto" w:fill="BFBFBF"/>
            <w:vAlign w:val="center"/>
          </w:tcPr>
          <w:p w:rsidRPr="00DE4A5E" w:rsidR="00BF75B4" w:rsidP="00BF75B4" w:rsidRDefault="00BF75B4" w14:paraId="172C2771" w14:textId="77777777">
            <w:pPr>
              <w:spacing w:line="276" w:lineRule="auto"/>
              <w:ind w:firstLine="0"/>
              <w:jc w:val="center"/>
              <w:rPr>
                <w:rFonts w:ascii="Verdana" w:hAnsi="Verdana" w:eastAsia="Calibri" w:cs="Arial"/>
                <w:b/>
                <w:color w:val="007BC7"/>
                <w:sz w:val="18"/>
                <w:szCs w:val="18"/>
                <w:lang w:val="nl-NL" w:eastAsia="en-US"/>
              </w:rPr>
            </w:pPr>
            <w:r w:rsidRPr="00DE4A5E">
              <w:rPr>
                <w:rFonts w:ascii="Verdana" w:hAnsi="Verdana" w:eastAsia="Calibri" w:cs="Arial"/>
                <w:b/>
                <w:color w:val="007BC7"/>
                <w:sz w:val="18"/>
                <w:szCs w:val="18"/>
                <w:lang w:val="nl-NL" w:eastAsia="en-US"/>
              </w:rPr>
              <w:t>X</w:t>
            </w:r>
          </w:p>
        </w:tc>
        <w:tc>
          <w:tcPr>
            <w:tcW w:w="355" w:type="dxa"/>
            <w:gridSpan w:val="3"/>
            <w:shd w:val="clear" w:color="auto" w:fill="BFBFBF"/>
            <w:vAlign w:val="center"/>
          </w:tcPr>
          <w:p w:rsidRPr="00DE4A5E" w:rsidR="00BF75B4" w:rsidP="00BF75B4" w:rsidRDefault="00BF75B4" w14:paraId="13F1EAAD" w14:textId="77777777">
            <w:pPr>
              <w:spacing w:line="276" w:lineRule="auto"/>
              <w:ind w:firstLine="0"/>
              <w:jc w:val="center"/>
              <w:rPr>
                <w:rFonts w:ascii="Verdana" w:hAnsi="Verdana" w:eastAsia="Calibri" w:cs="Arial"/>
                <w:b/>
                <w:color w:val="007BC7"/>
                <w:sz w:val="18"/>
                <w:szCs w:val="18"/>
                <w:lang w:val="nl-NL" w:eastAsia="en-US"/>
              </w:rPr>
            </w:pPr>
          </w:p>
        </w:tc>
        <w:tc>
          <w:tcPr>
            <w:tcW w:w="428" w:type="dxa"/>
            <w:gridSpan w:val="2"/>
            <w:shd w:val="clear" w:color="auto" w:fill="BFBFBF"/>
            <w:vAlign w:val="center"/>
          </w:tcPr>
          <w:p w:rsidRPr="00DE4A5E" w:rsidR="00BF75B4" w:rsidP="00BF75B4" w:rsidRDefault="00BF75B4" w14:paraId="42C4B368" w14:textId="77777777">
            <w:pPr>
              <w:spacing w:line="276" w:lineRule="auto"/>
              <w:ind w:firstLine="0"/>
              <w:jc w:val="center"/>
              <w:rPr>
                <w:rFonts w:ascii="Verdana" w:hAnsi="Verdana" w:eastAsia="Calibri" w:cs="Arial"/>
                <w:b/>
                <w:color w:val="007BC7"/>
                <w:sz w:val="18"/>
                <w:szCs w:val="18"/>
                <w:lang w:val="nl-NL" w:eastAsia="en-US"/>
              </w:rPr>
            </w:pPr>
          </w:p>
        </w:tc>
        <w:tc>
          <w:tcPr>
            <w:tcW w:w="433" w:type="dxa"/>
            <w:gridSpan w:val="2"/>
            <w:shd w:val="clear" w:color="auto" w:fill="BFBFBF"/>
            <w:vAlign w:val="center"/>
          </w:tcPr>
          <w:p w:rsidRPr="00DE4A5E" w:rsidR="00BF75B4" w:rsidP="00BF75B4" w:rsidRDefault="00BF75B4" w14:paraId="0F237E57" w14:textId="77777777">
            <w:pPr>
              <w:spacing w:line="276" w:lineRule="auto"/>
              <w:ind w:firstLine="0"/>
              <w:jc w:val="center"/>
              <w:rPr>
                <w:rFonts w:ascii="Verdana" w:hAnsi="Verdana" w:eastAsia="Calibri" w:cs="Arial"/>
                <w:b/>
                <w:color w:val="007BC7"/>
                <w:sz w:val="18"/>
                <w:szCs w:val="18"/>
                <w:lang w:val="nl-NL" w:eastAsia="en-US"/>
              </w:rPr>
            </w:pPr>
          </w:p>
        </w:tc>
        <w:tc>
          <w:tcPr>
            <w:tcW w:w="559" w:type="dxa"/>
            <w:shd w:val="clear" w:color="auto" w:fill="BFBFBF"/>
            <w:vAlign w:val="center"/>
          </w:tcPr>
          <w:p w:rsidRPr="00DE4A5E" w:rsidR="00BF75B4" w:rsidP="00BF75B4" w:rsidRDefault="00BF75B4" w14:paraId="5FB2961D" w14:textId="77777777">
            <w:pPr>
              <w:spacing w:line="276" w:lineRule="auto"/>
              <w:ind w:firstLine="0"/>
              <w:rPr>
                <w:rFonts w:ascii="Verdana" w:hAnsi="Verdana" w:eastAsia="Calibri" w:cs="Arial"/>
                <w:sz w:val="18"/>
                <w:szCs w:val="18"/>
                <w:lang w:val="nl-NL" w:eastAsia="en-US"/>
              </w:rPr>
            </w:pPr>
            <w:r w:rsidRPr="00DE4A5E">
              <w:rPr>
                <w:rFonts w:ascii="Verdana" w:hAnsi="Verdana" w:eastAsia="Calibri" w:cs="Arial"/>
                <w:sz w:val="18"/>
                <w:szCs w:val="18"/>
                <w:lang w:val="nl-NL" w:eastAsia="en-US"/>
              </w:rPr>
              <w:t>II.4</w:t>
            </w:r>
          </w:p>
        </w:tc>
      </w:tr>
      <w:tr w:rsidRPr="00DE4A5E" w:rsidR="00BF75B4" w:rsidTr="00E80A06" w14:paraId="1F799D0F" w14:textId="77777777">
        <w:trPr>
          <w:trHeight w:val="255"/>
        </w:trPr>
        <w:tc>
          <w:tcPr>
            <w:tcW w:w="693" w:type="dxa"/>
            <w:shd w:val="clear" w:color="auto" w:fill="BFBFBF"/>
            <w:vAlign w:val="center"/>
          </w:tcPr>
          <w:p w:rsidRPr="00DE4A5E" w:rsidR="00BF75B4" w:rsidP="00BF75B4" w:rsidRDefault="00BF75B4" w14:paraId="634C0997" w14:textId="77777777">
            <w:pPr>
              <w:spacing w:line="276" w:lineRule="auto"/>
              <w:ind w:firstLine="0"/>
              <w:jc w:val="right"/>
              <w:rPr>
                <w:rFonts w:ascii="Verdana" w:hAnsi="Verdana" w:eastAsia="Calibri" w:cs="Arial"/>
                <w:sz w:val="18"/>
                <w:szCs w:val="18"/>
                <w:lang w:val="nl-NL" w:eastAsia="en-US"/>
              </w:rPr>
            </w:pPr>
            <w:r w:rsidRPr="00DE4A5E">
              <w:rPr>
                <w:rFonts w:ascii="Verdana" w:hAnsi="Verdana" w:eastAsia="Calibri" w:cs="Arial"/>
                <w:sz w:val="18"/>
                <w:szCs w:val="18"/>
                <w:lang w:val="nl-NL" w:eastAsia="en-US"/>
              </w:rPr>
              <w:t>2.2.2</w:t>
            </w:r>
          </w:p>
        </w:tc>
        <w:tc>
          <w:tcPr>
            <w:tcW w:w="6352" w:type="dxa"/>
            <w:gridSpan w:val="2"/>
            <w:shd w:val="clear" w:color="auto" w:fill="007BC7"/>
            <w:vAlign w:val="center"/>
          </w:tcPr>
          <w:p w:rsidRPr="00DE4A5E" w:rsidR="00BF75B4" w:rsidP="00BF75B4" w:rsidRDefault="00BF75B4" w14:paraId="7718C683" w14:textId="77777777">
            <w:pPr>
              <w:spacing w:line="276" w:lineRule="auto"/>
              <w:ind w:firstLine="0"/>
              <w:rPr>
                <w:rFonts w:ascii="Verdana" w:hAnsi="Verdana" w:eastAsia="Calibri" w:cs="Arial"/>
                <w:color w:val="FFFFFF"/>
                <w:sz w:val="18"/>
                <w:szCs w:val="18"/>
                <w:lang w:val="nl-NL" w:eastAsia="en-US"/>
              </w:rPr>
            </w:pPr>
            <w:r w:rsidRPr="00DE4A5E">
              <w:rPr>
                <w:rFonts w:ascii="Verdana" w:hAnsi="Verdana" w:eastAsia="Calibri" w:cs="Arial"/>
                <w:color w:val="FFFFFF"/>
                <w:sz w:val="18"/>
                <w:szCs w:val="18"/>
                <w:lang w:val="nl-NL" w:eastAsia="en-US"/>
              </w:rPr>
              <w:t>Corporate tiebreaker op basis van plaats van werkelijke leiding opgenomen</w:t>
            </w:r>
          </w:p>
        </w:tc>
        <w:tc>
          <w:tcPr>
            <w:tcW w:w="356" w:type="dxa"/>
            <w:gridSpan w:val="5"/>
            <w:shd w:val="clear" w:color="auto" w:fill="BFBFBF"/>
            <w:vAlign w:val="center"/>
          </w:tcPr>
          <w:p w:rsidRPr="00DE4A5E" w:rsidR="00BF75B4" w:rsidP="00BF75B4" w:rsidRDefault="00BF75B4" w14:paraId="0C847592" w14:textId="77777777">
            <w:pPr>
              <w:spacing w:line="276" w:lineRule="auto"/>
              <w:ind w:firstLine="0"/>
              <w:jc w:val="center"/>
              <w:rPr>
                <w:rFonts w:ascii="Verdana" w:hAnsi="Verdana" w:eastAsia="Calibri" w:cs="Arial"/>
                <w:b/>
                <w:color w:val="007BC7"/>
                <w:sz w:val="18"/>
                <w:szCs w:val="18"/>
                <w:lang w:val="nl-NL" w:eastAsia="en-US"/>
              </w:rPr>
            </w:pPr>
          </w:p>
        </w:tc>
        <w:tc>
          <w:tcPr>
            <w:tcW w:w="355" w:type="dxa"/>
            <w:gridSpan w:val="3"/>
            <w:shd w:val="clear" w:color="auto" w:fill="BFBFBF"/>
            <w:vAlign w:val="center"/>
          </w:tcPr>
          <w:p w:rsidRPr="00DE4A5E" w:rsidR="00BF75B4" w:rsidP="00BF75B4" w:rsidRDefault="000E3957" w14:paraId="509F1DC2" w14:textId="77777777">
            <w:pPr>
              <w:spacing w:line="276" w:lineRule="auto"/>
              <w:ind w:firstLine="0"/>
              <w:jc w:val="center"/>
              <w:rPr>
                <w:rFonts w:ascii="Verdana" w:hAnsi="Verdana" w:eastAsia="Calibri" w:cs="Arial"/>
                <w:b/>
                <w:color w:val="007BC7"/>
                <w:sz w:val="18"/>
                <w:szCs w:val="18"/>
                <w:lang w:val="nl-NL" w:eastAsia="en-US"/>
              </w:rPr>
            </w:pPr>
            <w:r w:rsidRPr="00DE4A5E">
              <w:rPr>
                <w:rFonts w:ascii="Verdana" w:hAnsi="Verdana" w:eastAsia="Calibri" w:cs="Arial"/>
                <w:b/>
                <w:color w:val="007BC7"/>
                <w:sz w:val="18"/>
                <w:szCs w:val="18"/>
                <w:lang w:val="nl-NL" w:eastAsia="en-US"/>
              </w:rPr>
              <w:t>X</w:t>
            </w:r>
          </w:p>
        </w:tc>
        <w:tc>
          <w:tcPr>
            <w:tcW w:w="428" w:type="dxa"/>
            <w:gridSpan w:val="2"/>
            <w:shd w:val="clear" w:color="auto" w:fill="BFBFBF"/>
            <w:vAlign w:val="center"/>
          </w:tcPr>
          <w:p w:rsidRPr="00DE4A5E" w:rsidR="00BF75B4" w:rsidP="00BF75B4" w:rsidRDefault="00BF75B4" w14:paraId="03456C67" w14:textId="77777777">
            <w:pPr>
              <w:spacing w:line="276" w:lineRule="auto"/>
              <w:ind w:firstLine="0"/>
              <w:jc w:val="center"/>
              <w:rPr>
                <w:rFonts w:ascii="Verdana" w:hAnsi="Verdana" w:eastAsia="Calibri" w:cs="Arial"/>
                <w:b/>
                <w:color w:val="007BC7"/>
                <w:sz w:val="18"/>
                <w:szCs w:val="18"/>
                <w:lang w:val="nl-NL" w:eastAsia="en-US"/>
              </w:rPr>
            </w:pPr>
          </w:p>
        </w:tc>
        <w:tc>
          <w:tcPr>
            <w:tcW w:w="433" w:type="dxa"/>
            <w:gridSpan w:val="2"/>
            <w:shd w:val="clear" w:color="auto" w:fill="BFBFBF"/>
            <w:vAlign w:val="center"/>
          </w:tcPr>
          <w:p w:rsidRPr="00DE4A5E" w:rsidR="00BF75B4" w:rsidP="00BF75B4" w:rsidRDefault="00BF75B4" w14:paraId="195C657D" w14:textId="77777777">
            <w:pPr>
              <w:spacing w:line="276" w:lineRule="auto"/>
              <w:ind w:firstLine="0"/>
              <w:jc w:val="center"/>
              <w:rPr>
                <w:rFonts w:ascii="Verdana" w:hAnsi="Verdana" w:eastAsia="Calibri" w:cs="Arial"/>
                <w:b/>
                <w:color w:val="007BC7"/>
                <w:sz w:val="18"/>
                <w:szCs w:val="18"/>
                <w:lang w:val="nl-NL" w:eastAsia="en-US"/>
              </w:rPr>
            </w:pPr>
          </w:p>
        </w:tc>
        <w:tc>
          <w:tcPr>
            <w:tcW w:w="559" w:type="dxa"/>
            <w:shd w:val="clear" w:color="auto" w:fill="BFBFBF"/>
            <w:vAlign w:val="center"/>
          </w:tcPr>
          <w:p w:rsidRPr="00DE4A5E" w:rsidR="00BF75B4" w:rsidP="00BF75B4" w:rsidRDefault="00BF75B4" w14:paraId="08AE3D7D" w14:textId="77777777">
            <w:pPr>
              <w:spacing w:line="276" w:lineRule="auto"/>
              <w:ind w:firstLine="0"/>
              <w:rPr>
                <w:rFonts w:ascii="Verdana" w:hAnsi="Verdana" w:eastAsia="Calibri" w:cs="Arial"/>
                <w:sz w:val="18"/>
                <w:szCs w:val="18"/>
                <w:lang w:val="nl-NL" w:eastAsia="en-US"/>
              </w:rPr>
            </w:pPr>
            <w:r w:rsidRPr="00DE4A5E">
              <w:rPr>
                <w:rFonts w:ascii="Verdana" w:hAnsi="Verdana" w:eastAsia="Calibri" w:cs="Arial"/>
                <w:sz w:val="18"/>
                <w:szCs w:val="18"/>
                <w:lang w:val="nl-NL" w:eastAsia="en-US"/>
              </w:rPr>
              <w:t>II.4</w:t>
            </w:r>
          </w:p>
        </w:tc>
      </w:tr>
      <w:tr w:rsidRPr="00DE4A5E" w:rsidR="00BF75B4" w:rsidTr="00E80A06" w14:paraId="2D9FC23D" w14:textId="77777777">
        <w:trPr>
          <w:trHeight w:val="255"/>
        </w:trPr>
        <w:tc>
          <w:tcPr>
            <w:tcW w:w="693" w:type="dxa"/>
            <w:shd w:val="clear" w:color="auto" w:fill="BFBFBF"/>
            <w:vAlign w:val="center"/>
          </w:tcPr>
          <w:p w:rsidRPr="00DE4A5E" w:rsidR="00BF75B4" w:rsidP="00BF75B4" w:rsidRDefault="00BF75B4" w14:paraId="178B0837" w14:textId="77777777">
            <w:pPr>
              <w:spacing w:line="276" w:lineRule="auto"/>
              <w:ind w:firstLine="0"/>
              <w:jc w:val="right"/>
              <w:rPr>
                <w:rFonts w:ascii="Verdana" w:hAnsi="Verdana" w:eastAsia="Calibri" w:cs="Arial"/>
                <w:sz w:val="18"/>
                <w:szCs w:val="18"/>
                <w:lang w:val="nl-NL" w:eastAsia="en-US"/>
              </w:rPr>
            </w:pPr>
            <w:r w:rsidRPr="00DE4A5E">
              <w:rPr>
                <w:rFonts w:ascii="Verdana" w:hAnsi="Verdana" w:eastAsia="Calibri" w:cs="Arial"/>
                <w:sz w:val="18"/>
                <w:szCs w:val="18"/>
                <w:lang w:val="nl-NL" w:eastAsia="en-US"/>
              </w:rPr>
              <w:t>2.3</w:t>
            </w:r>
          </w:p>
        </w:tc>
        <w:tc>
          <w:tcPr>
            <w:tcW w:w="6352" w:type="dxa"/>
            <w:gridSpan w:val="2"/>
            <w:shd w:val="clear" w:color="auto" w:fill="007BC7"/>
            <w:vAlign w:val="center"/>
          </w:tcPr>
          <w:p w:rsidRPr="00DE4A5E" w:rsidR="00BF75B4" w:rsidP="00BF75B4" w:rsidRDefault="00BF75B4" w14:paraId="4BC6EF8F" w14:textId="77777777">
            <w:pPr>
              <w:spacing w:line="276" w:lineRule="auto"/>
              <w:ind w:firstLine="0"/>
              <w:rPr>
                <w:rFonts w:ascii="Verdana" w:hAnsi="Verdana" w:eastAsia="Calibri" w:cs="Arial"/>
                <w:color w:val="FFFFFF"/>
                <w:sz w:val="18"/>
                <w:szCs w:val="18"/>
                <w:lang w:val="nl-NL" w:eastAsia="en-US"/>
              </w:rPr>
            </w:pPr>
            <w:r w:rsidRPr="00DE4A5E">
              <w:rPr>
                <w:rFonts w:ascii="Verdana" w:hAnsi="Verdana" w:eastAsia="Calibri" w:cs="Arial"/>
                <w:color w:val="FFFFFF"/>
                <w:sz w:val="18"/>
                <w:szCs w:val="18"/>
                <w:lang w:val="nl-NL" w:eastAsia="en-US"/>
              </w:rPr>
              <w:t xml:space="preserve">Regeling voor oplossing dubbele heffing en vrijstelling ten aanzien van hybride (rechts)vormen opgenomen </w:t>
            </w:r>
          </w:p>
        </w:tc>
        <w:tc>
          <w:tcPr>
            <w:tcW w:w="356" w:type="dxa"/>
            <w:gridSpan w:val="5"/>
            <w:shd w:val="clear" w:color="auto" w:fill="BFBFBF"/>
            <w:vAlign w:val="center"/>
          </w:tcPr>
          <w:p w:rsidRPr="00DE4A5E" w:rsidR="00BF75B4" w:rsidP="00BF75B4" w:rsidRDefault="00BF75B4" w14:paraId="29E12907" w14:textId="77777777">
            <w:pPr>
              <w:spacing w:line="276" w:lineRule="auto"/>
              <w:ind w:firstLine="0"/>
              <w:jc w:val="center"/>
              <w:rPr>
                <w:rFonts w:ascii="Verdana" w:hAnsi="Verdana" w:eastAsia="Calibri" w:cs="Arial"/>
                <w:b/>
                <w:color w:val="007BC7"/>
                <w:sz w:val="18"/>
                <w:szCs w:val="18"/>
                <w:lang w:val="nl-NL" w:eastAsia="en-US"/>
              </w:rPr>
            </w:pPr>
            <w:r w:rsidRPr="00DE4A5E">
              <w:rPr>
                <w:rFonts w:ascii="Verdana" w:hAnsi="Verdana" w:eastAsia="Calibri" w:cs="Arial"/>
                <w:b/>
                <w:color w:val="007BC7"/>
                <w:sz w:val="18"/>
                <w:szCs w:val="18"/>
                <w:lang w:val="nl-NL" w:eastAsia="en-US"/>
              </w:rPr>
              <w:t>X</w:t>
            </w:r>
          </w:p>
        </w:tc>
        <w:tc>
          <w:tcPr>
            <w:tcW w:w="355" w:type="dxa"/>
            <w:gridSpan w:val="3"/>
            <w:shd w:val="clear" w:color="auto" w:fill="BFBFBF"/>
            <w:vAlign w:val="center"/>
          </w:tcPr>
          <w:p w:rsidRPr="00DE4A5E" w:rsidR="00BF75B4" w:rsidP="00BF75B4" w:rsidRDefault="00BF75B4" w14:paraId="3DEFB07C" w14:textId="77777777">
            <w:pPr>
              <w:spacing w:line="276" w:lineRule="auto"/>
              <w:ind w:firstLine="0"/>
              <w:jc w:val="center"/>
              <w:rPr>
                <w:rFonts w:ascii="Verdana" w:hAnsi="Verdana" w:eastAsia="Calibri" w:cs="Arial"/>
                <w:b/>
                <w:color w:val="007BC7"/>
                <w:sz w:val="18"/>
                <w:szCs w:val="18"/>
                <w:lang w:val="nl-NL" w:eastAsia="en-US"/>
              </w:rPr>
            </w:pPr>
          </w:p>
        </w:tc>
        <w:tc>
          <w:tcPr>
            <w:tcW w:w="428" w:type="dxa"/>
            <w:gridSpan w:val="2"/>
            <w:shd w:val="clear" w:color="auto" w:fill="BFBFBF"/>
            <w:vAlign w:val="center"/>
          </w:tcPr>
          <w:p w:rsidRPr="00DE4A5E" w:rsidR="00BF75B4" w:rsidP="00BF75B4" w:rsidRDefault="00BF75B4" w14:paraId="2F524EB4" w14:textId="77777777">
            <w:pPr>
              <w:spacing w:line="276" w:lineRule="auto"/>
              <w:ind w:firstLine="0"/>
              <w:jc w:val="center"/>
              <w:rPr>
                <w:rFonts w:ascii="Verdana" w:hAnsi="Verdana" w:eastAsia="Calibri" w:cs="Arial"/>
                <w:b/>
                <w:color w:val="007BC7"/>
                <w:sz w:val="18"/>
                <w:szCs w:val="18"/>
                <w:lang w:val="nl-NL" w:eastAsia="en-US"/>
              </w:rPr>
            </w:pPr>
          </w:p>
        </w:tc>
        <w:tc>
          <w:tcPr>
            <w:tcW w:w="433" w:type="dxa"/>
            <w:gridSpan w:val="2"/>
            <w:shd w:val="clear" w:color="auto" w:fill="BFBFBF"/>
            <w:vAlign w:val="center"/>
          </w:tcPr>
          <w:p w:rsidRPr="00DE4A5E" w:rsidR="00BF75B4" w:rsidP="00BF75B4" w:rsidRDefault="00BF75B4" w14:paraId="03A21813" w14:textId="77777777">
            <w:pPr>
              <w:spacing w:line="276" w:lineRule="auto"/>
              <w:ind w:firstLine="0"/>
              <w:jc w:val="center"/>
              <w:rPr>
                <w:rFonts w:ascii="Verdana" w:hAnsi="Verdana" w:eastAsia="Calibri" w:cs="Arial"/>
                <w:b/>
                <w:color w:val="007BC7"/>
                <w:sz w:val="18"/>
                <w:szCs w:val="18"/>
                <w:lang w:val="nl-NL" w:eastAsia="en-US"/>
              </w:rPr>
            </w:pPr>
          </w:p>
        </w:tc>
        <w:tc>
          <w:tcPr>
            <w:tcW w:w="559" w:type="dxa"/>
            <w:shd w:val="clear" w:color="auto" w:fill="BFBFBF"/>
            <w:vAlign w:val="center"/>
          </w:tcPr>
          <w:p w:rsidRPr="00DE4A5E" w:rsidR="00BF75B4" w:rsidP="00BF75B4" w:rsidRDefault="00351CF7" w14:paraId="7C824BB8" w14:textId="77777777">
            <w:pPr>
              <w:spacing w:line="276" w:lineRule="auto"/>
              <w:ind w:firstLine="0"/>
              <w:rPr>
                <w:rFonts w:ascii="Verdana" w:hAnsi="Verdana" w:eastAsia="Calibri" w:cs="Arial"/>
                <w:sz w:val="18"/>
                <w:szCs w:val="18"/>
                <w:lang w:val="nl-NL" w:eastAsia="en-US"/>
              </w:rPr>
            </w:pPr>
            <w:r w:rsidRPr="00DE4A5E">
              <w:rPr>
                <w:rFonts w:ascii="Verdana" w:hAnsi="Verdana" w:eastAsia="Calibri" w:cs="Arial"/>
                <w:sz w:val="18"/>
                <w:szCs w:val="18"/>
                <w:lang w:val="nl-NL" w:eastAsia="en-US"/>
              </w:rPr>
              <w:t>II.</w:t>
            </w:r>
            <w:r w:rsidRPr="00DE4A5E" w:rsidR="00B039C7">
              <w:rPr>
                <w:rFonts w:ascii="Verdana" w:hAnsi="Verdana" w:eastAsia="Calibri" w:cs="Arial"/>
                <w:sz w:val="18"/>
                <w:szCs w:val="18"/>
                <w:lang w:val="nl-NL" w:eastAsia="en-US"/>
              </w:rPr>
              <w:t>1</w:t>
            </w:r>
          </w:p>
        </w:tc>
      </w:tr>
      <w:tr w:rsidRPr="00DE4A5E" w:rsidR="00BF75B4" w:rsidTr="00E80A06" w14:paraId="5E6296A1" w14:textId="77777777">
        <w:trPr>
          <w:trHeight w:val="255"/>
        </w:trPr>
        <w:tc>
          <w:tcPr>
            <w:tcW w:w="693" w:type="dxa"/>
            <w:shd w:val="clear" w:color="auto" w:fill="BFBFBF"/>
            <w:vAlign w:val="center"/>
          </w:tcPr>
          <w:p w:rsidRPr="00DE4A5E" w:rsidR="00BF75B4" w:rsidP="00BF75B4" w:rsidRDefault="00BF75B4" w14:paraId="64EB6351" w14:textId="77777777">
            <w:pPr>
              <w:spacing w:line="276" w:lineRule="auto"/>
              <w:ind w:firstLine="0"/>
              <w:jc w:val="right"/>
              <w:rPr>
                <w:rFonts w:ascii="Verdana" w:hAnsi="Verdana" w:eastAsia="Calibri" w:cs="Arial"/>
                <w:sz w:val="18"/>
                <w:szCs w:val="18"/>
                <w:lang w:val="nl-NL" w:eastAsia="en-US"/>
              </w:rPr>
            </w:pPr>
            <w:r w:rsidRPr="00DE4A5E">
              <w:rPr>
                <w:rFonts w:ascii="Verdana" w:hAnsi="Verdana" w:eastAsia="Calibri" w:cs="Arial"/>
                <w:sz w:val="18"/>
                <w:szCs w:val="18"/>
                <w:lang w:val="nl-NL" w:eastAsia="en-US"/>
              </w:rPr>
              <w:t>2.4</w:t>
            </w:r>
          </w:p>
        </w:tc>
        <w:tc>
          <w:tcPr>
            <w:tcW w:w="6352" w:type="dxa"/>
            <w:gridSpan w:val="2"/>
            <w:shd w:val="clear" w:color="auto" w:fill="007BC7"/>
            <w:vAlign w:val="center"/>
          </w:tcPr>
          <w:p w:rsidRPr="00DE4A5E" w:rsidR="00BF75B4" w:rsidP="00BF75B4" w:rsidRDefault="00BF75B4" w14:paraId="354E0D5E" w14:textId="77777777">
            <w:pPr>
              <w:spacing w:line="276" w:lineRule="auto"/>
              <w:ind w:firstLine="0"/>
              <w:rPr>
                <w:rFonts w:ascii="Verdana" w:hAnsi="Verdana" w:eastAsia="Calibri" w:cs="Arial"/>
                <w:color w:val="FFFFFF"/>
                <w:sz w:val="18"/>
                <w:szCs w:val="18"/>
                <w:lang w:val="nl-NL" w:eastAsia="en-US"/>
              </w:rPr>
            </w:pPr>
            <w:r w:rsidRPr="00DE4A5E">
              <w:rPr>
                <w:rFonts w:ascii="Verdana" w:hAnsi="Verdana" w:eastAsia="Calibri" w:cs="Arial"/>
                <w:color w:val="FFFFFF"/>
                <w:sz w:val="18"/>
                <w:szCs w:val="18"/>
                <w:lang w:val="nl-NL" w:eastAsia="en-US"/>
              </w:rPr>
              <w:t>Overeenstemming over fiscale behandeling besloten FGR’s als asset poolinginstrument</w:t>
            </w:r>
          </w:p>
        </w:tc>
        <w:tc>
          <w:tcPr>
            <w:tcW w:w="356" w:type="dxa"/>
            <w:gridSpan w:val="5"/>
            <w:shd w:val="clear" w:color="auto" w:fill="BFBFBF"/>
            <w:vAlign w:val="center"/>
          </w:tcPr>
          <w:p w:rsidRPr="00DE4A5E" w:rsidR="00BF75B4" w:rsidP="00BF75B4" w:rsidRDefault="00351CF7" w14:paraId="0E639B0E" w14:textId="77777777">
            <w:pPr>
              <w:spacing w:line="276" w:lineRule="auto"/>
              <w:ind w:firstLine="0"/>
              <w:jc w:val="center"/>
              <w:rPr>
                <w:rFonts w:ascii="Verdana" w:hAnsi="Verdana" w:eastAsia="Calibri" w:cs="Arial"/>
                <w:b/>
                <w:color w:val="007BC7"/>
                <w:sz w:val="18"/>
                <w:szCs w:val="18"/>
                <w:lang w:val="nl-NL" w:eastAsia="en-US"/>
              </w:rPr>
            </w:pPr>
            <w:r w:rsidRPr="00DE4A5E">
              <w:rPr>
                <w:rFonts w:ascii="Verdana" w:hAnsi="Verdana" w:eastAsia="Calibri" w:cs="Arial"/>
                <w:b/>
                <w:color w:val="007BC7"/>
                <w:sz w:val="18"/>
                <w:szCs w:val="18"/>
                <w:lang w:val="nl-NL" w:eastAsia="en-US"/>
              </w:rPr>
              <w:t>X</w:t>
            </w:r>
          </w:p>
        </w:tc>
        <w:tc>
          <w:tcPr>
            <w:tcW w:w="355" w:type="dxa"/>
            <w:gridSpan w:val="3"/>
            <w:shd w:val="clear" w:color="auto" w:fill="BFBFBF"/>
            <w:vAlign w:val="center"/>
          </w:tcPr>
          <w:p w:rsidRPr="00DE4A5E" w:rsidR="00BF75B4" w:rsidP="00BF75B4" w:rsidRDefault="00BF75B4" w14:paraId="1E401BA4" w14:textId="77777777">
            <w:pPr>
              <w:spacing w:line="276" w:lineRule="auto"/>
              <w:ind w:firstLine="0"/>
              <w:jc w:val="center"/>
              <w:rPr>
                <w:rFonts w:ascii="Verdana" w:hAnsi="Verdana" w:eastAsia="Calibri" w:cs="Arial"/>
                <w:b/>
                <w:color w:val="007BC7"/>
                <w:sz w:val="18"/>
                <w:szCs w:val="18"/>
                <w:lang w:val="nl-NL" w:eastAsia="en-US"/>
              </w:rPr>
            </w:pPr>
          </w:p>
        </w:tc>
        <w:tc>
          <w:tcPr>
            <w:tcW w:w="428" w:type="dxa"/>
            <w:gridSpan w:val="2"/>
            <w:shd w:val="clear" w:color="auto" w:fill="BFBFBF"/>
            <w:vAlign w:val="center"/>
          </w:tcPr>
          <w:p w:rsidRPr="00DE4A5E" w:rsidR="00BF75B4" w:rsidP="00BF75B4" w:rsidRDefault="00BF75B4" w14:paraId="1C7114DC" w14:textId="77777777">
            <w:pPr>
              <w:spacing w:line="276" w:lineRule="auto"/>
              <w:ind w:firstLine="0"/>
              <w:jc w:val="center"/>
              <w:rPr>
                <w:rFonts w:ascii="Verdana" w:hAnsi="Verdana" w:eastAsia="Calibri" w:cs="Arial"/>
                <w:b/>
                <w:color w:val="007BC7"/>
                <w:sz w:val="18"/>
                <w:szCs w:val="18"/>
                <w:lang w:val="nl-NL" w:eastAsia="en-US"/>
              </w:rPr>
            </w:pPr>
          </w:p>
        </w:tc>
        <w:tc>
          <w:tcPr>
            <w:tcW w:w="433" w:type="dxa"/>
            <w:gridSpan w:val="2"/>
            <w:shd w:val="clear" w:color="auto" w:fill="BFBFBF"/>
            <w:vAlign w:val="center"/>
          </w:tcPr>
          <w:p w:rsidRPr="00DE4A5E" w:rsidR="00BF75B4" w:rsidP="00BF75B4" w:rsidRDefault="00BF75B4" w14:paraId="3939EAD4" w14:textId="77777777">
            <w:pPr>
              <w:spacing w:line="276" w:lineRule="auto"/>
              <w:ind w:firstLine="0"/>
              <w:jc w:val="center"/>
              <w:rPr>
                <w:rFonts w:ascii="Verdana" w:hAnsi="Verdana" w:eastAsia="Calibri" w:cs="Arial"/>
                <w:b/>
                <w:color w:val="007BC7"/>
                <w:sz w:val="18"/>
                <w:szCs w:val="18"/>
                <w:lang w:val="nl-NL" w:eastAsia="en-US"/>
              </w:rPr>
            </w:pPr>
          </w:p>
        </w:tc>
        <w:tc>
          <w:tcPr>
            <w:tcW w:w="559" w:type="dxa"/>
            <w:shd w:val="clear" w:color="auto" w:fill="BFBFBF"/>
            <w:vAlign w:val="center"/>
          </w:tcPr>
          <w:p w:rsidRPr="00DE4A5E" w:rsidR="00BF75B4" w:rsidP="00BF75B4" w:rsidRDefault="00351CF7" w14:paraId="7DF2959D" w14:textId="77777777">
            <w:pPr>
              <w:spacing w:line="276" w:lineRule="auto"/>
              <w:ind w:firstLine="0"/>
              <w:rPr>
                <w:rFonts w:ascii="Verdana" w:hAnsi="Verdana" w:eastAsia="Calibri" w:cs="Arial"/>
                <w:sz w:val="18"/>
                <w:szCs w:val="18"/>
                <w:lang w:val="nl-NL" w:eastAsia="en-US"/>
              </w:rPr>
            </w:pPr>
            <w:r w:rsidRPr="00DE4A5E">
              <w:rPr>
                <w:rFonts w:ascii="Verdana" w:hAnsi="Verdana" w:eastAsia="Calibri" w:cs="Arial"/>
                <w:sz w:val="18"/>
                <w:szCs w:val="18"/>
                <w:lang w:val="nl-NL" w:eastAsia="en-US"/>
              </w:rPr>
              <w:t>II.10</w:t>
            </w:r>
          </w:p>
        </w:tc>
      </w:tr>
      <w:tr w:rsidRPr="00DE4A5E" w:rsidR="00BF75B4" w:rsidTr="00E80A06" w14:paraId="0AF8184D" w14:textId="77777777">
        <w:trPr>
          <w:trHeight w:val="255"/>
        </w:trPr>
        <w:tc>
          <w:tcPr>
            <w:tcW w:w="693" w:type="dxa"/>
            <w:shd w:val="clear" w:color="auto" w:fill="BFBFBF"/>
            <w:vAlign w:val="center"/>
          </w:tcPr>
          <w:p w:rsidRPr="00DE4A5E" w:rsidR="00BF75B4" w:rsidP="00BF75B4" w:rsidRDefault="00BF75B4" w14:paraId="07397C3A" w14:textId="77777777">
            <w:pPr>
              <w:spacing w:line="276" w:lineRule="auto"/>
              <w:ind w:firstLine="0"/>
              <w:jc w:val="right"/>
              <w:rPr>
                <w:rFonts w:ascii="Verdana" w:hAnsi="Verdana" w:eastAsia="Calibri" w:cs="Arial"/>
                <w:sz w:val="18"/>
                <w:szCs w:val="18"/>
                <w:lang w:val="nl-NL" w:eastAsia="en-US"/>
              </w:rPr>
            </w:pPr>
            <w:r w:rsidRPr="00DE4A5E">
              <w:rPr>
                <w:rFonts w:ascii="Verdana" w:hAnsi="Verdana" w:eastAsia="Calibri" w:cs="Arial"/>
                <w:sz w:val="18"/>
                <w:szCs w:val="18"/>
                <w:lang w:val="nl-NL" w:eastAsia="en-US"/>
              </w:rPr>
              <w:t>2.5</w:t>
            </w:r>
          </w:p>
        </w:tc>
        <w:tc>
          <w:tcPr>
            <w:tcW w:w="6352" w:type="dxa"/>
            <w:gridSpan w:val="2"/>
            <w:shd w:val="clear" w:color="auto" w:fill="007BC7"/>
            <w:vAlign w:val="center"/>
          </w:tcPr>
          <w:p w:rsidRPr="00DE4A5E" w:rsidR="00BF75B4" w:rsidP="00BF75B4" w:rsidRDefault="00BF75B4" w14:paraId="435F7976" w14:textId="77777777">
            <w:pPr>
              <w:spacing w:line="276" w:lineRule="auto"/>
              <w:ind w:firstLine="0"/>
              <w:rPr>
                <w:rFonts w:ascii="Verdana" w:hAnsi="Verdana" w:eastAsia="Calibri" w:cs="Arial"/>
                <w:color w:val="FFFFFF"/>
                <w:sz w:val="18"/>
                <w:szCs w:val="18"/>
                <w:lang w:val="nl-NL" w:eastAsia="en-US"/>
              </w:rPr>
            </w:pPr>
            <w:r w:rsidRPr="00DE4A5E">
              <w:rPr>
                <w:rFonts w:ascii="Verdana" w:hAnsi="Verdana" w:eastAsia="Calibri" w:cs="Arial"/>
                <w:color w:val="FFFFFF"/>
                <w:sz w:val="18"/>
                <w:szCs w:val="18"/>
                <w:lang w:val="nl-NL" w:eastAsia="en-US"/>
              </w:rPr>
              <w:t>Afgezonderde Particuliere Vermogens tijdens onderhandelingen besproken en zo nodig geadresseerd in het verdrag</w:t>
            </w:r>
          </w:p>
        </w:tc>
        <w:tc>
          <w:tcPr>
            <w:tcW w:w="356" w:type="dxa"/>
            <w:gridSpan w:val="5"/>
            <w:shd w:val="clear" w:color="auto" w:fill="BFBFBF"/>
            <w:vAlign w:val="center"/>
          </w:tcPr>
          <w:p w:rsidRPr="00DE4A5E" w:rsidR="00BF75B4" w:rsidP="00BF75B4" w:rsidRDefault="00DA3028" w14:paraId="40C38D24" w14:textId="77777777">
            <w:pPr>
              <w:spacing w:line="276" w:lineRule="auto"/>
              <w:ind w:firstLine="0"/>
              <w:jc w:val="center"/>
              <w:rPr>
                <w:rFonts w:ascii="Verdana" w:hAnsi="Verdana" w:eastAsia="Calibri" w:cs="Arial"/>
                <w:b/>
                <w:color w:val="007BC7"/>
                <w:sz w:val="18"/>
                <w:szCs w:val="18"/>
                <w:lang w:val="nl-NL" w:eastAsia="en-US"/>
              </w:rPr>
            </w:pPr>
            <w:r w:rsidRPr="00DE4A5E">
              <w:rPr>
                <w:rFonts w:ascii="Verdana" w:hAnsi="Verdana" w:eastAsia="Calibri" w:cs="Arial"/>
                <w:b/>
                <w:color w:val="007BC7"/>
                <w:sz w:val="18"/>
                <w:szCs w:val="18"/>
                <w:lang w:val="nl-NL" w:eastAsia="en-US"/>
              </w:rPr>
              <w:t>X</w:t>
            </w:r>
          </w:p>
        </w:tc>
        <w:tc>
          <w:tcPr>
            <w:tcW w:w="355" w:type="dxa"/>
            <w:gridSpan w:val="3"/>
            <w:shd w:val="clear" w:color="auto" w:fill="BFBFBF"/>
            <w:vAlign w:val="center"/>
          </w:tcPr>
          <w:p w:rsidRPr="00DE4A5E" w:rsidR="00BF75B4" w:rsidP="00BF75B4" w:rsidRDefault="00BF75B4" w14:paraId="290A7FC9" w14:textId="77777777">
            <w:pPr>
              <w:spacing w:line="276" w:lineRule="auto"/>
              <w:ind w:firstLine="0"/>
              <w:jc w:val="center"/>
              <w:rPr>
                <w:rFonts w:ascii="Verdana" w:hAnsi="Verdana" w:eastAsia="Calibri" w:cs="Arial"/>
                <w:b/>
                <w:color w:val="007BC7"/>
                <w:sz w:val="18"/>
                <w:szCs w:val="18"/>
                <w:lang w:val="nl-NL" w:eastAsia="en-US"/>
              </w:rPr>
            </w:pPr>
          </w:p>
        </w:tc>
        <w:tc>
          <w:tcPr>
            <w:tcW w:w="428" w:type="dxa"/>
            <w:gridSpan w:val="2"/>
            <w:shd w:val="clear" w:color="auto" w:fill="BFBFBF"/>
            <w:vAlign w:val="center"/>
          </w:tcPr>
          <w:p w:rsidRPr="00DE4A5E" w:rsidR="00BF75B4" w:rsidP="00BF75B4" w:rsidRDefault="00BF75B4" w14:paraId="12D51678" w14:textId="77777777">
            <w:pPr>
              <w:spacing w:line="276" w:lineRule="auto"/>
              <w:ind w:firstLine="0"/>
              <w:jc w:val="center"/>
              <w:rPr>
                <w:rFonts w:ascii="Verdana" w:hAnsi="Verdana" w:eastAsia="Calibri" w:cs="Arial"/>
                <w:b/>
                <w:color w:val="007BC7"/>
                <w:sz w:val="18"/>
                <w:szCs w:val="18"/>
                <w:lang w:val="nl-NL" w:eastAsia="en-US"/>
              </w:rPr>
            </w:pPr>
          </w:p>
        </w:tc>
        <w:tc>
          <w:tcPr>
            <w:tcW w:w="433" w:type="dxa"/>
            <w:gridSpan w:val="2"/>
            <w:shd w:val="clear" w:color="auto" w:fill="BFBFBF"/>
            <w:vAlign w:val="center"/>
          </w:tcPr>
          <w:p w:rsidRPr="00DE4A5E" w:rsidR="00BF75B4" w:rsidP="00BF75B4" w:rsidRDefault="00BF75B4" w14:paraId="13CBA1E8" w14:textId="77777777">
            <w:pPr>
              <w:spacing w:line="276" w:lineRule="auto"/>
              <w:ind w:firstLine="0"/>
              <w:jc w:val="center"/>
              <w:rPr>
                <w:rFonts w:ascii="Verdana" w:hAnsi="Verdana" w:eastAsia="Calibri" w:cs="Arial"/>
                <w:b/>
                <w:color w:val="007BC7"/>
                <w:sz w:val="18"/>
                <w:szCs w:val="18"/>
                <w:lang w:val="nl-NL" w:eastAsia="en-US"/>
              </w:rPr>
            </w:pPr>
          </w:p>
        </w:tc>
        <w:tc>
          <w:tcPr>
            <w:tcW w:w="559" w:type="dxa"/>
            <w:shd w:val="clear" w:color="auto" w:fill="BFBFBF"/>
            <w:vAlign w:val="center"/>
          </w:tcPr>
          <w:p w:rsidRPr="00DE4A5E" w:rsidR="00BF75B4" w:rsidP="00BF75B4" w:rsidRDefault="00BF75B4" w14:paraId="060F107C" w14:textId="77777777">
            <w:pPr>
              <w:spacing w:line="276" w:lineRule="auto"/>
              <w:ind w:firstLine="0"/>
              <w:rPr>
                <w:rFonts w:ascii="Verdana" w:hAnsi="Verdana" w:eastAsia="Calibri" w:cs="Arial"/>
                <w:sz w:val="18"/>
                <w:szCs w:val="18"/>
                <w:lang w:val="nl-NL" w:eastAsia="en-US"/>
              </w:rPr>
            </w:pPr>
          </w:p>
        </w:tc>
      </w:tr>
      <w:tr w:rsidRPr="00DE4A5E" w:rsidR="00BF75B4" w:rsidTr="00E80A06" w14:paraId="54BB75C2" w14:textId="77777777">
        <w:trPr>
          <w:gridAfter w:val="10"/>
          <w:wAfter w:w="1952" w:type="dxa"/>
          <w:cantSplit/>
          <w:trHeight w:val="403"/>
        </w:trPr>
        <w:tc>
          <w:tcPr>
            <w:tcW w:w="693" w:type="dxa"/>
            <w:shd w:val="clear" w:color="auto" w:fill="FFFFFF"/>
            <w:vAlign w:val="center"/>
          </w:tcPr>
          <w:p w:rsidRPr="00DE4A5E" w:rsidR="00BF75B4" w:rsidP="00BF75B4" w:rsidRDefault="00BF75B4" w14:paraId="6AC8FEBD" w14:textId="77777777">
            <w:pPr>
              <w:spacing w:line="276" w:lineRule="auto"/>
              <w:ind w:firstLine="0"/>
              <w:jc w:val="right"/>
              <w:rPr>
                <w:rFonts w:ascii="Verdana" w:hAnsi="Verdana" w:eastAsia="Calibri" w:cs="Arial"/>
                <w:i/>
                <w:sz w:val="18"/>
                <w:szCs w:val="18"/>
                <w:lang w:val="nl-NL" w:eastAsia="en-US"/>
              </w:rPr>
            </w:pPr>
          </w:p>
        </w:tc>
        <w:tc>
          <w:tcPr>
            <w:tcW w:w="6531" w:type="dxa"/>
            <w:gridSpan w:val="5"/>
            <w:shd w:val="clear" w:color="auto" w:fill="FFFFFF"/>
            <w:vAlign w:val="center"/>
          </w:tcPr>
          <w:p w:rsidRPr="00DE4A5E" w:rsidR="00BF75B4" w:rsidP="00BF75B4" w:rsidRDefault="00BF75B4" w14:paraId="3BE17E6A" w14:textId="77777777">
            <w:pPr>
              <w:ind w:firstLine="0"/>
              <w:rPr>
                <w:rFonts w:ascii="Verdana" w:hAnsi="Verdana" w:eastAsia="Calibri" w:cs="Arial"/>
                <w:i/>
                <w:sz w:val="18"/>
                <w:szCs w:val="18"/>
                <w:lang w:val="nl-NL" w:eastAsia="en-US"/>
              </w:rPr>
            </w:pPr>
            <w:r w:rsidRPr="00DE4A5E">
              <w:rPr>
                <w:rFonts w:ascii="Verdana" w:hAnsi="Verdana" w:eastAsia="Calibri" w:cs="Arial"/>
                <w:i/>
                <w:sz w:val="18"/>
                <w:szCs w:val="18"/>
                <w:lang w:val="nl-NL" w:eastAsia="en-US"/>
              </w:rPr>
              <w:t>Ondernemingswinsten</w:t>
            </w:r>
          </w:p>
        </w:tc>
      </w:tr>
      <w:tr w:rsidRPr="00DE4A5E" w:rsidR="00BF75B4" w:rsidTr="00E80A06" w14:paraId="0C395891" w14:textId="77777777">
        <w:trPr>
          <w:trHeight w:val="255"/>
        </w:trPr>
        <w:tc>
          <w:tcPr>
            <w:tcW w:w="693" w:type="dxa"/>
            <w:shd w:val="clear" w:color="auto" w:fill="BFBFBF"/>
            <w:vAlign w:val="center"/>
          </w:tcPr>
          <w:p w:rsidRPr="00DE4A5E" w:rsidR="00BF75B4" w:rsidP="00BF75B4" w:rsidRDefault="00BF75B4" w14:paraId="36A177BB" w14:textId="77777777">
            <w:pPr>
              <w:spacing w:line="276" w:lineRule="auto"/>
              <w:ind w:firstLine="0"/>
              <w:jc w:val="right"/>
              <w:rPr>
                <w:rFonts w:ascii="Verdana" w:hAnsi="Verdana" w:eastAsia="Calibri" w:cs="Arial"/>
                <w:sz w:val="18"/>
                <w:szCs w:val="18"/>
                <w:lang w:val="nl-NL" w:eastAsia="en-US"/>
              </w:rPr>
            </w:pPr>
            <w:r w:rsidRPr="00DE4A5E">
              <w:rPr>
                <w:rFonts w:ascii="Verdana" w:hAnsi="Verdana" w:eastAsia="Calibri" w:cs="Arial"/>
                <w:sz w:val="18"/>
                <w:szCs w:val="18"/>
                <w:lang w:val="nl-NL" w:eastAsia="en-US"/>
              </w:rPr>
              <w:t>2.6.2</w:t>
            </w:r>
          </w:p>
        </w:tc>
        <w:tc>
          <w:tcPr>
            <w:tcW w:w="6352" w:type="dxa"/>
            <w:gridSpan w:val="2"/>
            <w:shd w:val="clear" w:color="auto" w:fill="007BC7"/>
            <w:vAlign w:val="center"/>
          </w:tcPr>
          <w:p w:rsidRPr="00DE4A5E" w:rsidR="00BF75B4" w:rsidP="00BF75B4" w:rsidRDefault="00BF75B4" w14:paraId="6B7B1C1E" w14:textId="77777777">
            <w:pPr>
              <w:spacing w:line="276" w:lineRule="auto"/>
              <w:ind w:firstLine="0"/>
              <w:rPr>
                <w:rFonts w:ascii="Verdana" w:hAnsi="Verdana" w:eastAsia="Calibri" w:cs="Arial"/>
                <w:color w:val="FFFFFF"/>
                <w:sz w:val="18"/>
                <w:szCs w:val="18"/>
                <w:lang w:val="nl-NL" w:eastAsia="en-US"/>
              </w:rPr>
            </w:pPr>
            <w:r w:rsidRPr="00DE4A5E">
              <w:rPr>
                <w:rFonts w:ascii="Verdana" w:hAnsi="Verdana" w:eastAsia="Calibri" w:cs="Arial"/>
                <w:color w:val="FFFFFF"/>
                <w:sz w:val="18"/>
                <w:szCs w:val="18"/>
                <w:lang w:val="nl-NL" w:eastAsia="en-US"/>
              </w:rPr>
              <w:t>Definitie ‘vaste inrichting’ in overeenstemming met OESO-beginselen</w:t>
            </w:r>
          </w:p>
        </w:tc>
        <w:tc>
          <w:tcPr>
            <w:tcW w:w="356" w:type="dxa"/>
            <w:gridSpan w:val="5"/>
            <w:shd w:val="clear" w:color="auto" w:fill="BFBFBF"/>
            <w:vAlign w:val="center"/>
          </w:tcPr>
          <w:p w:rsidRPr="00DE4A5E" w:rsidR="00BF75B4" w:rsidP="00BF75B4" w:rsidRDefault="00BF75B4" w14:paraId="6CF2AD45" w14:textId="77777777">
            <w:pPr>
              <w:spacing w:line="276" w:lineRule="auto"/>
              <w:ind w:firstLine="0"/>
              <w:jc w:val="center"/>
              <w:rPr>
                <w:rFonts w:ascii="Verdana" w:hAnsi="Verdana" w:eastAsia="Calibri" w:cs="Arial"/>
                <w:b/>
                <w:color w:val="007BC7"/>
                <w:sz w:val="18"/>
                <w:szCs w:val="18"/>
                <w:lang w:val="nl-NL" w:eastAsia="en-US"/>
              </w:rPr>
            </w:pPr>
          </w:p>
        </w:tc>
        <w:tc>
          <w:tcPr>
            <w:tcW w:w="355" w:type="dxa"/>
            <w:gridSpan w:val="3"/>
            <w:shd w:val="clear" w:color="auto" w:fill="BFBFBF"/>
            <w:vAlign w:val="center"/>
          </w:tcPr>
          <w:p w:rsidRPr="00DE4A5E" w:rsidR="00BF75B4" w:rsidP="00BF75B4" w:rsidRDefault="00BF75B4" w14:paraId="34EE325E" w14:textId="77777777">
            <w:pPr>
              <w:spacing w:line="276" w:lineRule="auto"/>
              <w:ind w:firstLine="0"/>
              <w:jc w:val="center"/>
              <w:rPr>
                <w:rFonts w:ascii="Verdana" w:hAnsi="Verdana" w:eastAsia="Calibri" w:cs="Arial"/>
                <w:b/>
                <w:color w:val="007BC7"/>
                <w:sz w:val="18"/>
                <w:szCs w:val="18"/>
                <w:lang w:val="nl-NL" w:eastAsia="en-US"/>
              </w:rPr>
            </w:pPr>
            <w:r w:rsidRPr="00DE4A5E">
              <w:rPr>
                <w:rFonts w:ascii="Verdana" w:hAnsi="Verdana" w:eastAsia="Calibri" w:cs="Arial"/>
                <w:b/>
                <w:color w:val="007BC7"/>
                <w:sz w:val="18"/>
                <w:szCs w:val="18"/>
                <w:lang w:val="nl-NL" w:eastAsia="en-US"/>
              </w:rPr>
              <w:t>X</w:t>
            </w:r>
          </w:p>
        </w:tc>
        <w:tc>
          <w:tcPr>
            <w:tcW w:w="428" w:type="dxa"/>
            <w:gridSpan w:val="2"/>
            <w:shd w:val="clear" w:color="auto" w:fill="BFBFBF"/>
            <w:vAlign w:val="center"/>
          </w:tcPr>
          <w:p w:rsidRPr="00DE4A5E" w:rsidR="00BF75B4" w:rsidP="00BF75B4" w:rsidRDefault="00BF75B4" w14:paraId="310F1531" w14:textId="77777777">
            <w:pPr>
              <w:spacing w:line="276" w:lineRule="auto"/>
              <w:ind w:firstLine="0"/>
              <w:jc w:val="center"/>
              <w:rPr>
                <w:rFonts w:ascii="Verdana" w:hAnsi="Verdana" w:eastAsia="Calibri" w:cs="Arial"/>
                <w:b/>
                <w:color w:val="007BC7"/>
                <w:sz w:val="18"/>
                <w:szCs w:val="18"/>
                <w:lang w:val="nl-NL" w:eastAsia="en-US"/>
              </w:rPr>
            </w:pPr>
          </w:p>
        </w:tc>
        <w:tc>
          <w:tcPr>
            <w:tcW w:w="433" w:type="dxa"/>
            <w:gridSpan w:val="2"/>
            <w:shd w:val="clear" w:color="auto" w:fill="BFBFBF"/>
            <w:vAlign w:val="center"/>
          </w:tcPr>
          <w:p w:rsidRPr="00DE4A5E" w:rsidR="00BF75B4" w:rsidP="00BF75B4" w:rsidRDefault="00BF75B4" w14:paraId="2AACD8DC" w14:textId="77777777">
            <w:pPr>
              <w:spacing w:line="276" w:lineRule="auto"/>
              <w:ind w:firstLine="0"/>
              <w:jc w:val="center"/>
              <w:rPr>
                <w:rFonts w:ascii="Verdana" w:hAnsi="Verdana" w:eastAsia="Calibri" w:cs="Arial"/>
                <w:b/>
                <w:color w:val="007BC7"/>
                <w:sz w:val="18"/>
                <w:szCs w:val="18"/>
                <w:lang w:val="nl-NL" w:eastAsia="en-US"/>
              </w:rPr>
            </w:pPr>
          </w:p>
        </w:tc>
        <w:tc>
          <w:tcPr>
            <w:tcW w:w="559" w:type="dxa"/>
            <w:shd w:val="clear" w:color="auto" w:fill="BFBFBF"/>
            <w:vAlign w:val="center"/>
          </w:tcPr>
          <w:p w:rsidRPr="00DE4A5E" w:rsidR="00BF75B4" w:rsidP="00BF75B4" w:rsidRDefault="00BF75B4" w14:paraId="44084484" w14:textId="77777777">
            <w:pPr>
              <w:spacing w:line="276" w:lineRule="auto"/>
              <w:ind w:firstLine="0"/>
              <w:rPr>
                <w:rFonts w:ascii="Verdana" w:hAnsi="Verdana" w:eastAsia="Calibri" w:cs="Arial"/>
                <w:sz w:val="18"/>
                <w:szCs w:val="18"/>
                <w:lang w:val="nl-NL" w:eastAsia="en-US"/>
              </w:rPr>
            </w:pPr>
            <w:r w:rsidRPr="00DE4A5E">
              <w:rPr>
                <w:rFonts w:ascii="Verdana" w:hAnsi="Verdana" w:eastAsia="Calibri" w:cs="Arial"/>
                <w:sz w:val="18"/>
                <w:szCs w:val="18"/>
                <w:lang w:val="nl-NL" w:eastAsia="en-US"/>
              </w:rPr>
              <w:t>II.5</w:t>
            </w:r>
          </w:p>
        </w:tc>
      </w:tr>
      <w:tr w:rsidRPr="00DE4A5E" w:rsidR="00BF75B4" w:rsidTr="00E80A06" w14:paraId="6C7D379C" w14:textId="77777777">
        <w:trPr>
          <w:trHeight w:val="255"/>
        </w:trPr>
        <w:tc>
          <w:tcPr>
            <w:tcW w:w="693" w:type="dxa"/>
            <w:shd w:val="clear" w:color="auto" w:fill="BFBFBF"/>
            <w:vAlign w:val="center"/>
          </w:tcPr>
          <w:p w:rsidRPr="00DE4A5E" w:rsidR="00BF75B4" w:rsidP="00BF75B4" w:rsidRDefault="00BF75B4" w14:paraId="0F0779A3" w14:textId="77777777">
            <w:pPr>
              <w:spacing w:line="276" w:lineRule="auto"/>
              <w:ind w:firstLine="0"/>
              <w:jc w:val="right"/>
              <w:rPr>
                <w:rFonts w:ascii="Verdana" w:hAnsi="Verdana" w:eastAsia="Calibri" w:cs="Arial"/>
                <w:sz w:val="18"/>
                <w:szCs w:val="18"/>
                <w:lang w:val="nl-NL" w:eastAsia="en-US"/>
              </w:rPr>
            </w:pPr>
            <w:r w:rsidRPr="00DE4A5E">
              <w:rPr>
                <w:rFonts w:ascii="Verdana" w:hAnsi="Verdana" w:eastAsia="Calibri" w:cs="Arial"/>
                <w:sz w:val="18"/>
                <w:szCs w:val="18"/>
                <w:lang w:val="nl-NL" w:eastAsia="en-US"/>
              </w:rPr>
              <w:t>2.6.3</w:t>
            </w:r>
          </w:p>
        </w:tc>
        <w:tc>
          <w:tcPr>
            <w:tcW w:w="6352" w:type="dxa"/>
            <w:gridSpan w:val="2"/>
            <w:shd w:val="clear" w:color="auto" w:fill="007BC7"/>
            <w:vAlign w:val="center"/>
          </w:tcPr>
          <w:p w:rsidRPr="00DE4A5E" w:rsidR="00BF75B4" w:rsidP="00BF75B4" w:rsidRDefault="00BF75B4" w14:paraId="2CD21637" w14:textId="77777777">
            <w:pPr>
              <w:spacing w:line="276" w:lineRule="auto"/>
              <w:ind w:firstLine="0"/>
              <w:rPr>
                <w:rFonts w:ascii="Verdana" w:hAnsi="Verdana" w:eastAsia="Calibri" w:cs="Arial"/>
                <w:color w:val="FFFFFF"/>
                <w:sz w:val="18"/>
                <w:szCs w:val="18"/>
                <w:lang w:val="nl-NL" w:eastAsia="en-US"/>
              </w:rPr>
            </w:pPr>
            <w:r w:rsidRPr="00DE4A5E">
              <w:rPr>
                <w:rFonts w:ascii="Verdana" w:hAnsi="Verdana" w:eastAsia="Calibri" w:cs="Arial"/>
                <w:color w:val="FFFFFF"/>
                <w:sz w:val="18"/>
                <w:szCs w:val="18"/>
                <w:lang w:val="nl-NL" w:eastAsia="en-US"/>
              </w:rPr>
              <w:t>Specifieke bepaling in artikel inzake ‘vaste inrichting’ ter behoud van heffingsrecht over winsten behaald met werkzaamheden buitengaats opgenomen</w:t>
            </w:r>
          </w:p>
        </w:tc>
        <w:tc>
          <w:tcPr>
            <w:tcW w:w="356" w:type="dxa"/>
            <w:gridSpan w:val="5"/>
            <w:shd w:val="clear" w:color="auto" w:fill="BFBFBF"/>
            <w:vAlign w:val="center"/>
          </w:tcPr>
          <w:p w:rsidRPr="00DE4A5E" w:rsidR="00BF75B4" w:rsidP="00BF75B4" w:rsidRDefault="00351CF7" w14:paraId="12AB1812" w14:textId="77777777">
            <w:pPr>
              <w:spacing w:line="276" w:lineRule="auto"/>
              <w:ind w:firstLine="0"/>
              <w:jc w:val="center"/>
              <w:rPr>
                <w:rFonts w:ascii="Verdana" w:hAnsi="Verdana" w:eastAsia="Calibri" w:cs="Arial"/>
                <w:b/>
                <w:color w:val="007BC7"/>
                <w:sz w:val="18"/>
                <w:szCs w:val="18"/>
                <w:lang w:val="nl-NL" w:eastAsia="en-US"/>
              </w:rPr>
            </w:pPr>
            <w:r w:rsidRPr="00DE4A5E">
              <w:rPr>
                <w:rFonts w:ascii="Verdana" w:hAnsi="Verdana" w:eastAsia="Calibri" w:cs="Arial"/>
                <w:b/>
                <w:color w:val="007BC7"/>
                <w:sz w:val="18"/>
                <w:szCs w:val="18"/>
                <w:lang w:val="nl-NL" w:eastAsia="en-US"/>
              </w:rPr>
              <w:t>X</w:t>
            </w:r>
          </w:p>
        </w:tc>
        <w:tc>
          <w:tcPr>
            <w:tcW w:w="355" w:type="dxa"/>
            <w:gridSpan w:val="3"/>
            <w:shd w:val="clear" w:color="auto" w:fill="BFBFBF"/>
            <w:vAlign w:val="center"/>
          </w:tcPr>
          <w:p w:rsidRPr="00DE4A5E" w:rsidR="00BF75B4" w:rsidP="00BF75B4" w:rsidRDefault="00BF75B4" w14:paraId="48C72715" w14:textId="77777777">
            <w:pPr>
              <w:spacing w:line="276" w:lineRule="auto"/>
              <w:ind w:firstLine="0"/>
              <w:jc w:val="center"/>
              <w:rPr>
                <w:rFonts w:ascii="Verdana" w:hAnsi="Verdana" w:eastAsia="Calibri" w:cs="Arial"/>
                <w:b/>
                <w:color w:val="007BC7"/>
                <w:sz w:val="18"/>
                <w:szCs w:val="18"/>
                <w:lang w:val="nl-NL" w:eastAsia="en-US"/>
              </w:rPr>
            </w:pPr>
          </w:p>
        </w:tc>
        <w:tc>
          <w:tcPr>
            <w:tcW w:w="428" w:type="dxa"/>
            <w:gridSpan w:val="2"/>
            <w:shd w:val="clear" w:color="auto" w:fill="BFBFBF"/>
            <w:vAlign w:val="center"/>
          </w:tcPr>
          <w:p w:rsidRPr="00DE4A5E" w:rsidR="00BF75B4" w:rsidP="00BF75B4" w:rsidRDefault="00BF75B4" w14:paraId="1B33217B" w14:textId="77777777">
            <w:pPr>
              <w:spacing w:line="276" w:lineRule="auto"/>
              <w:ind w:firstLine="0"/>
              <w:jc w:val="center"/>
              <w:rPr>
                <w:rFonts w:ascii="Verdana" w:hAnsi="Verdana" w:eastAsia="Calibri" w:cs="Arial"/>
                <w:b/>
                <w:color w:val="007BC7"/>
                <w:sz w:val="18"/>
                <w:szCs w:val="18"/>
                <w:lang w:val="nl-NL" w:eastAsia="en-US"/>
              </w:rPr>
            </w:pPr>
          </w:p>
        </w:tc>
        <w:tc>
          <w:tcPr>
            <w:tcW w:w="433" w:type="dxa"/>
            <w:gridSpan w:val="2"/>
            <w:shd w:val="clear" w:color="auto" w:fill="BFBFBF"/>
            <w:vAlign w:val="center"/>
          </w:tcPr>
          <w:p w:rsidRPr="00DE4A5E" w:rsidR="00BF75B4" w:rsidP="00BF75B4" w:rsidRDefault="00BF75B4" w14:paraId="13981ECA" w14:textId="77777777">
            <w:pPr>
              <w:spacing w:line="276" w:lineRule="auto"/>
              <w:ind w:firstLine="0"/>
              <w:jc w:val="center"/>
              <w:rPr>
                <w:rFonts w:ascii="Verdana" w:hAnsi="Verdana" w:eastAsia="Calibri" w:cs="Arial"/>
                <w:b/>
                <w:color w:val="007BC7"/>
                <w:sz w:val="18"/>
                <w:szCs w:val="18"/>
                <w:lang w:val="nl-NL" w:eastAsia="en-US"/>
              </w:rPr>
            </w:pPr>
          </w:p>
        </w:tc>
        <w:tc>
          <w:tcPr>
            <w:tcW w:w="559" w:type="dxa"/>
            <w:shd w:val="clear" w:color="auto" w:fill="BFBFBF"/>
            <w:vAlign w:val="center"/>
          </w:tcPr>
          <w:p w:rsidRPr="00DE4A5E" w:rsidR="00BF75B4" w:rsidP="00BF75B4" w:rsidRDefault="00BF75B4" w14:paraId="4DE1DA36" w14:textId="77777777">
            <w:pPr>
              <w:spacing w:line="276" w:lineRule="auto"/>
              <w:ind w:firstLine="0"/>
              <w:rPr>
                <w:rFonts w:ascii="Verdana" w:hAnsi="Verdana" w:eastAsia="Calibri" w:cs="Arial"/>
                <w:sz w:val="18"/>
                <w:szCs w:val="18"/>
                <w:lang w:val="nl-NL" w:eastAsia="en-US"/>
              </w:rPr>
            </w:pPr>
            <w:r w:rsidRPr="00DE4A5E">
              <w:rPr>
                <w:rFonts w:ascii="Verdana" w:hAnsi="Verdana" w:eastAsia="Calibri" w:cs="Arial"/>
                <w:sz w:val="18"/>
                <w:szCs w:val="18"/>
                <w:lang w:val="nl-NL" w:eastAsia="en-US"/>
              </w:rPr>
              <w:t>II.5</w:t>
            </w:r>
          </w:p>
        </w:tc>
      </w:tr>
      <w:tr w:rsidRPr="00DE4A5E" w:rsidR="00BF75B4" w:rsidTr="00E80A06" w14:paraId="520800ED" w14:textId="77777777">
        <w:trPr>
          <w:trHeight w:val="255"/>
        </w:trPr>
        <w:tc>
          <w:tcPr>
            <w:tcW w:w="693" w:type="dxa"/>
            <w:shd w:val="clear" w:color="auto" w:fill="BFBFBF"/>
            <w:vAlign w:val="center"/>
          </w:tcPr>
          <w:p w:rsidRPr="00DE4A5E" w:rsidR="00BF75B4" w:rsidP="00BF75B4" w:rsidRDefault="00BF75B4" w14:paraId="1ACB4E64" w14:textId="77777777">
            <w:pPr>
              <w:spacing w:line="276" w:lineRule="auto"/>
              <w:ind w:firstLine="0"/>
              <w:jc w:val="right"/>
              <w:rPr>
                <w:rFonts w:ascii="Verdana" w:hAnsi="Verdana" w:eastAsia="Calibri" w:cs="Arial"/>
                <w:sz w:val="18"/>
                <w:szCs w:val="18"/>
                <w:lang w:val="nl-NL" w:eastAsia="en-US"/>
              </w:rPr>
            </w:pPr>
            <w:r w:rsidRPr="00DE4A5E">
              <w:rPr>
                <w:rFonts w:ascii="Verdana" w:hAnsi="Verdana" w:eastAsia="Calibri" w:cs="Arial"/>
                <w:sz w:val="18"/>
                <w:szCs w:val="18"/>
                <w:lang w:val="nl-NL" w:eastAsia="en-US"/>
              </w:rPr>
              <w:t>2.6.4</w:t>
            </w:r>
          </w:p>
        </w:tc>
        <w:tc>
          <w:tcPr>
            <w:tcW w:w="6352" w:type="dxa"/>
            <w:gridSpan w:val="2"/>
            <w:shd w:val="clear" w:color="auto" w:fill="007BC7"/>
            <w:vAlign w:val="center"/>
          </w:tcPr>
          <w:p w:rsidRPr="00DE4A5E" w:rsidR="00BF75B4" w:rsidP="00BF75B4" w:rsidRDefault="00BF75B4" w14:paraId="048B0968" w14:textId="77777777">
            <w:pPr>
              <w:spacing w:line="276" w:lineRule="auto"/>
              <w:ind w:firstLine="0"/>
              <w:rPr>
                <w:rFonts w:ascii="Verdana" w:hAnsi="Verdana" w:eastAsia="Calibri" w:cs="Arial"/>
                <w:color w:val="FFFFFF"/>
                <w:sz w:val="18"/>
                <w:szCs w:val="18"/>
                <w:lang w:val="nl-NL" w:eastAsia="en-US"/>
              </w:rPr>
            </w:pPr>
            <w:r w:rsidRPr="00DE4A5E">
              <w:rPr>
                <w:rFonts w:ascii="Verdana" w:hAnsi="Verdana" w:eastAsia="Calibri" w:cs="Arial"/>
                <w:color w:val="FFFFFF"/>
                <w:sz w:val="18"/>
                <w:szCs w:val="18"/>
                <w:lang w:val="nl-NL" w:eastAsia="en-US"/>
              </w:rPr>
              <w:t>Winsttoerekening vaste inrichtingen conform artikel 7 OESO-modelverdrag</w:t>
            </w:r>
          </w:p>
        </w:tc>
        <w:tc>
          <w:tcPr>
            <w:tcW w:w="356" w:type="dxa"/>
            <w:gridSpan w:val="5"/>
            <w:shd w:val="clear" w:color="auto" w:fill="BFBFBF"/>
            <w:vAlign w:val="center"/>
          </w:tcPr>
          <w:p w:rsidRPr="00DE4A5E" w:rsidR="00BF75B4" w:rsidP="00BF75B4" w:rsidRDefault="00BF75B4" w14:paraId="64F47B4C" w14:textId="77777777">
            <w:pPr>
              <w:spacing w:line="276" w:lineRule="auto"/>
              <w:ind w:firstLine="0"/>
              <w:jc w:val="center"/>
              <w:rPr>
                <w:rFonts w:ascii="Verdana" w:hAnsi="Verdana" w:eastAsia="Calibri" w:cs="Arial"/>
                <w:b/>
                <w:color w:val="007BC7"/>
                <w:sz w:val="18"/>
                <w:szCs w:val="18"/>
                <w:lang w:val="nl-NL" w:eastAsia="en-US"/>
              </w:rPr>
            </w:pPr>
          </w:p>
        </w:tc>
        <w:tc>
          <w:tcPr>
            <w:tcW w:w="355" w:type="dxa"/>
            <w:gridSpan w:val="3"/>
            <w:shd w:val="clear" w:color="auto" w:fill="BFBFBF"/>
            <w:vAlign w:val="center"/>
          </w:tcPr>
          <w:p w:rsidRPr="00DE4A5E" w:rsidR="00BF75B4" w:rsidP="00BF75B4" w:rsidRDefault="00BF75B4" w14:paraId="122B0C5F" w14:textId="77777777">
            <w:pPr>
              <w:spacing w:line="276" w:lineRule="auto"/>
              <w:ind w:firstLine="0"/>
              <w:jc w:val="center"/>
              <w:rPr>
                <w:rFonts w:ascii="Verdana" w:hAnsi="Verdana" w:eastAsia="Calibri" w:cs="Arial"/>
                <w:b/>
                <w:color w:val="007BC7"/>
                <w:sz w:val="18"/>
                <w:szCs w:val="18"/>
                <w:lang w:val="nl-NL" w:eastAsia="en-US"/>
              </w:rPr>
            </w:pPr>
            <w:r w:rsidRPr="00DE4A5E">
              <w:rPr>
                <w:rFonts w:ascii="Verdana" w:hAnsi="Verdana" w:eastAsia="Calibri" w:cs="Arial"/>
                <w:b/>
                <w:color w:val="007BC7"/>
                <w:sz w:val="18"/>
                <w:szCs w:val="18"/>
                <w:lang w:val="nl-NL" w:eastAsia="en-US"/>
              </w:rPr>
              <w:t>X</w:t>
            </w:r>
          </w:p>
        </w:tc>
        <w:tc>
          <w:tcPr>
            <w:tcW w:w="428" w:type="dxa"/>
            <w:gridSpan w:val="2"/>
            <w:shd w:val="clear" w:color="auto" w:fill="BFBFBF"/>
            <w:vAlign w:val="center"/>
          </w:tcPr>
          <w:p w:rsidRPr="00DE4A5E" w:rsidR="00BF75B4" w:rsidP="00BF75B4" w:rsidRDefault="00BF75B4" w14:paraId="1886525C" w14:textId="77777777">
            <w:pPr>
              <w:spacing w:line="276" w:lineRule="auto"/>
              <w:ind w:firstLine="0"/>
              <w:rPr>
                <w:rFonts w:ascii="Verdana" w:hAnsi="Verdana" w:eastAsia="Calibri" w:cs="Arial"/>
                <w:b/>
                <w:color w:val="007BC7"/>
                <w:sz w:val="18"/>
                <w:szCs w:val="18"/>
                <w:lang w:val="nl-NL" w:eastAsia="en-US"/>
              </w:rPr>
            </w:pPr>
          </w:p>
        </w:tc>
        <w:tc>
          <w:tcPr>
            <w:tcW w:w="433" w:type="dxa"/>
            <w:gridSpan w:val="2"/>
            <w:shd w:val="clear" w:color="auto" w:fill="BFBFBF"/>
            <w:vAlign w:val="center"/>
          </w:tcPr>
          <w:p w:rsidRPr="00DE4A5E" w:rsidR="00BF75B4" w:rsidP="00BF75B4" w:rsidRDefault="00BF75B4" w14:paraId="74124F96" w14:textId="77777777">
            <w:pPr>
              <w:spacing w:line="276" w:lineRule="auto"/>
              <w:ind w:firstLine="0"/>
              <w:jc w:val="center"/>
              <w:rPr>
                <w:rFonts w:ascii="Verdana" w:hAnsi="Verdana" w:eastAsia="Calibri" w:cs="Arial"/>
                <w:b/>
                <w:color w:val="007BC7"/>
                <w:sz w:val="18"/>
                <w:szCs w:val="18"/>
                <w:lang w:val="nl-NL" w:eastAsia="en-US"/>
              </w:rPr>
            </w:pPr>
          </w:p>
        </w:tc>
        <w:tc>
          <w:tcPr>
            <w:tcW w:w="559" w:type="dxa"/>
            <w:shd w:val="clear" w:color="auto" w:fill="BFBFBF"/>
            <w:vAlign w:val="center"/>
          </w:tcPr>
          <w:p w:rsidRPr="00DE4A5E" w:rsidR="00BF75B4" w:rsidP="00BF75B4" w:rsidRDefault="00BF75B4" w14:paraId="7D842839" w14:textId="77777777">
            <w:pPr>
              <w:spacing w:line="276" w:lineRule="auto"/>
              <w:ind w:firstLine="0"/>
              <w:rPr>
                <w:rFonts w:ascii="Verdana" w:hAnsi="Verdana" w:eastAsia="Calibri" w:cs="Arial"/>
                <w:sz w:val="18"/>
                <w:szCs w:val="18"/>
                <w:lang w:val="nl-NL" w:eastAsia="en-US"/>
              </w:rPr>
            </w:pPr>
            <w:r w:rsidRPr="00DE4A5E">
              <w:rPr>
                <w:rFonts w:ascii="Verdana" w:hAnsi="Verdana" w:eastAsia="Calibri" w:cs="Arial"/>
                <w:sz w:val="18"/>
                <w:szCs w:val="18"/>
                <w:lang w:val="nl-NL" w:eastAsia="en-US"/>
              </w:rPr>
              <w:t>II.7</w:t>
            </w:r>
          </w:p>
        </w:tc>
      </w:tr>
      <w:tr w:rsidRPr="00DE4A5E" w:rsidR="00BF75B4" w:rsidTr="00E80A06" w14:paraId="19AD55C6" w14:textId="77777777">
        <w:trPr>
          <w:trHeight w:val="255"/>
        </w:trPr>
        <w:tc>
          <w:tcPr>
            <w:tcW w:w="693" w:type="dxa"/>
            <w:shd w:val="clear" w:color="auto" w:fill="BFBFBF"/>
            <w:vAlign w:val="center"/>
          </w:tcPr>
          <w:p w:rsidRPr="00DE4A5E" w:rsidR="00BF75B4" w:rsidP="00BF75B4" w:rsidRDefault="00BF75B4" w14:paraId="1818656F" w14:textId="77777777">
            <w:pPr>
              <w:spacing w:line="276" w:lineRule="auto"/>
              <w:ind w:firstLine="0"/>
              <w:jc w:val="right"/>
              <w:rPr>
                <w:rFonts w:ascii="Verdana" w:hAnsi="Verdana" w:eastAsia="Calibri" w:cs="Arial"/>
                <w:sz w:val="18"/>
                <w:szCs w:val="18"/>
                <w:lang w:val="nl-NL" w:eastAsia="en-US"/>
              </w:rPr>
            </w:pPr>
            <w:r w:rsidRPr="00DE4A5E">
              <w:rPr>
                <w:rFonts w:ascii="Verdana" w:hAnsi="Verdana" w:eastAsia="Calibri" w:cs="Arial"/>
                <w:sz w:val="18"/>
                <w:szCs w:val="18"/>
                <w:lang w:val="nl-NL" w:eastAsia="en-US"/>
              </w:rPr>
              <w:t>2.6.4</w:t>
            </w:r>
          </w:p>
        </w:tc>
        <w:tc>
          <w:tcPr>
            <w:tcW w:w="6352" w:type="dxa"/>
            <w:gridSpan w:val="2"/>
            <w:shd w:val="clear" w:color="auto" w:fill="007BC7"/>
            <w:vAlign w:val="center"/>
          </w:tcPr>
          <w:p w:rsidRPr="00DE4A5E" w:rsidR="00BF75B4" w:rsidP="00BF75B4" w:rsidRDefault="00BF75B4" w14:paraId="7AF804EC" w14:textId="77777777">
            <w:pPr>
              <w:spacing w:line="276" w:lineRule="auto"/>
              <w:ind w:firstLine="0"/>
              <w:rPr>
                <w:rFonts w:ascii="Verdana" w:hAnsi="Verdana" w:eastAsia="Calibri" w:cs="Arial"/>
                <w:color w:val="FFFFFF"/>
                <w:sz w:val="18"/>
                <w:szCs w:val="18"/>
                <w:lang w:val="nl-NL" w:eastAsia="en-US"/>
              </w:rPr>
            </w:pPr>
            <w:r w:rsidRPr="00DE4A5E">
              <w:rPr>
                <w:rFonts w:ascii="Verdana" w:hAnsi="Verdana" w:eastAsia="Calibri" w:cs="Arial"/>
                <w:color w:val="FFFFFF"/>
                <w:sz w:val="18"/>
                <w:szCs w:val="18"/>
                <w:lang w:val="nl-NL" w:eastAsia="en-US"/>
              </w:rPr>
              <w:t>Toegang tot onderlingoverlegprocedure en arbitrage in kwesties over winsttoerekening en verrekenprijzen</w:t>
            </w:r>
          </w:p>
        </w:tc>
        <w:tc>
          <w:tcPr>
            <w:tcW w:w="356" w:type="dxa"/>
            <w:gridSpan w:val="5"/>
            <w:shd w:val="clear" w:color="auto" w:fill="BFBFBF"/>
            <w:vAlign w:val="center"/>
          </w:tcPr>
          <w:p w:rsidRPr="00DE4A5E" w:rsidR="00BF75B4" w:rsidP="00BF75B4" w:rsidRDefault="00BF75B4" w14:paraId="17E1DB61" w14:textId="77777777">
            <w:pPr>
              <w:spacing w:line="276" w:lineRule="auto"/>
              <w:ind w:firstLine="0"/>
              <w:jc w:val="center"/>
              <w:rPr>
                <w:rFonts w:ascii="Verdana" w:hAnsi="Verdana" w:eastAsia="Calibri" w:cs="Arial"/>
                <w:b/>
                <w:color w:val="007BC7"/>
                <w:sz w:val="18"/>
                <w:szCs w:val="18"/>
                <w:lang w:val="nl-NL" w:eastAsia="en-US"/>
              </w:rPr>
            </w:pPr>
          </w:p>
        </w:tc>
        <w:tc>
          <w:tcPr>
            <w:tcW w:w="355" w:type="dxa"/>
            <w:gridSpan w:val="3"/>
            <w:shd w:val="clear" w:color="auto" w:fill="BFBFBF"/>
            <w:vAlign w:val="center"/>
          </w:tcPr>
          <w:p w:rsidRPr="00DE4A5E" w:rsidR="00BF75B4" w:rsidP="00BF75B4" w:rsidRDefault="00351CF7" w14:paraId="4EA9E5A3" w14:textId="77777777">
            <w:pPr>
              <w:spacing w:line="276" w:lineRule="auto"/>
              <w:ind w:firstLine="0"/>
              <w:jc w:val="center"/>
              <w:rPr>
                <w:rFonts w:ascii="Verdana" w:hAnsi="Verdana" w:eastAsia="Calibri" w:cs="Arial"/>
                <w:b/>
                <w:color w:val="007BC7"/>
                <w:sz w:val="18"/>
                <w:szCs w:val="18"/>
                <w:lang w:val="nl-NL" w:eastAsia="en-US"/>
              </w:rPr>
            </w:pPr>
            <w:r w:rsidRPr="00DE4A5E">
              <w:rPr>
                <w:rFonts w:ascii="Verdana" w:hAnsi="Verdana" w:eastAsia="Calibri" w:cs="Arial"/>
                <w:b/>
                <w:color w:val="007BC7"/>
                <w:sz w:val="18"/>
                <w:szCs w:val="18"/>
                <w:lang w:val="nl-NL" w:eastAsia="en-US"/>
              </w:rPr>
              <w:t>X</w:t>
            </w:r>
          </w:p>
        </w:tc>
        <w:tc>
          <w:tcPr>
            <w:tcW w:w="428" w:type="dxa"/>
            <w:gridSpan w:val="2"/>
            <w:shd w:val="clear" w:color="auto" w:fill="BFBFBF"/>
            <w:vAlign w:val="center"/>
          </w:tcPr>
          <w:p w:rsidRPr="00DE4A5E" w:rsidR="00BF75B4" w:rsidP="00BF75B4" w:rsidRDefault="00BF75B4" w14:paraId="66DB9067" w14:textId="77777777">
            <w:pPr>
              <w:spacing w:line="276" w:lineRule="auto"/>
              <w:ind w:firstLine="0"/>
              <w:jc w:val="center"/>
              <w:rPr>
                <w:rFonts w:ascii="Verdana" w:hAnsi="Verdana" w:eastAsia="Calibri" w:cs="Arial"/>
                <w:b/>
                <w:color w:val="007BC7"/>
                <w:sz w:val="18"/>
                <w:szCs w:val="18"/>
                <w:lang w:val="nl-NL" w:eastAsia="en-US"/>
              </w:rPr>
            </w:pPr>
          </w:p>
        </w:tc>
        <w:tc>
          <w:tcPr>
            <w:tcW w:w="433" w:type="dxa"/>
            <w:gridSpan w:val="2"/>
            <w:shd w:val="clear" w:color="auto" w:fill="BFBFBF"/>
            <w:vAlign w:val="center"/>
          </w:tcPr>
          <w:p w:rsidRPr="00DE4A5E" w:rsidR="00BF75B4" w:rsidP="00BF75B4" w:rsidRDefault="00BF75B4" w14:paraId="103FB8BB" w14:textId="77777777">
            <w:pPr>
              <w:spacing w:line="276" w:lineRule="auto"/>
              <w:ind w:firstLine="0"/>
              <w:jc w:val="center"/>
              <w:rPr>
                <w:rFonts w:ascii="Verdana" w:hAnsi="Verdana" w:eastAsia="Calibri" w:cs="Arial"/>
                <w:b/>
                <w:color w:val="007BC7"/>
                <w:sz w:val="18"/>
                <w:szCs w:val="18"/>
                <w:lang w:val="nl-NL" w:eastAsia="en-US"/>
              </w:rPr>
            </w:pPr>
          </w:p>
        </w:tc>
        <w:tc>
          <w:tcPr>
            <w:tcW w:w="559" w:type="dxa"/>
            <w:shd w:val="clear" w:color="auto" w:fill="BFBFBF"/>
            <w:vAlign w:val="center"/>
          </w:tcPr>
          <w:p w:rsidRPr="00DE4A5E" w:rsidR="00BF75B4" w:rsidP="00BF75B4" w:rsidRDefault="00BF75B4" w14:paraId="779E9454" w14:textId="77777777">
            <w:pPr>
              <w:spacing w:line="276" w:lineRule="auto"/>
              <w:ind w:firstLine="0"/>
              <w:rPr>
                <w:rFonts w:ascii="Verdana" w:hAnsi="Verdana" w:eastAsia="Calibri" w:cs="Arial"/>
                <w:sz w:val="18"/>
                <w:szCs w:val="18"/>
                <w:lang w:val="nl-NL" w:eastAsia="en-US"/>
              </w:rPr>
            </w:pPr>
            <w:r w:rsidRPr="00DE4A5E">
              <w:rPr>
                <w:rFonts w:ascii="Verdana" w:hAnsi="Verdana" w:eastAsia="Calibri" w:cs="Arial"/>
                <w:sz w:val="18"/>
                <w:szCs w:val="18"/>
                <w:lang w:val="nl-NL" w:eastAsia="en-US"/>
              </w:rPr>
              <w:t>II.25</w:t>
            </w:r>
          </w:p>
        </w:tc>
      </w:tr>
      <w:tr w:rsidRPr="00DE4A5E" w:rsidR="00BF75B4" w:rsidTr="00E80A06" w14:paraId="2DB08069" w14:textId="77777777">
        <w:trPr>
          <w:trHeight w:val="255"/>
        </w:trPr>
        <w:tc>
          <w:tcPr>
            <w:tcW w:w="693" w:type="dxa"/>
            <w:shd w:val="clear" w:color="auto" w:fill="BFBFBF"/>
            <w:vAlign w:val="center"/>
          </w:tcPr>
          <w:p w:rsidRPr="00DE4A5E" w:rsidR="00BF75B4" w:rsidP="00BF75B4" w:rsidRDefault="00BF75B4" w14:paraId="29C05F21" w14:textId="77777777">
            <w:pPr>
              <w:spacing w:line="276" w:lineRule="auto"/>
              <w:ind w:firstLine="0"/>
              <w:jc w:val="right"/>
              <w:rPr>
                <w:rFonts w:ascii="Verdana" w:hAnsi="Verdana" w:eastAsia="Calibri" w:cs="Arial"/>
                <w:sz w:val="18"/>
                <w:szCs w:val="18"/>
                <w:lang w:val="nl-NL" w:eastAsia="en-US"/>
              </w:rPr>
            </w:pPr>
            <w:r w:rsidRPr="00DE4A5E">
              <w:rPr>
                <w:rFonts w:ascii="Verdana" w:hAnsi="Verdana" w:eastAsia="Calibri" w:cs="Arial"/>
                <w:sz w:val="18"/>
                <w:szCs w:val="18"/>
                <w:lang w:val="nl-NL" w:eastAsia="en-US"/>
              </w:rPr>
              <w:t>2.6.5</w:t>
            </w:r>
          </w:p>
        </w:tc>
        <w:tc>
          <w:tcPr>
            <w:tcW w:w="6352" w:type="dxa"/>
            <w:gridSpan w:val="2"/>
            <w:shd w:val="clear" w:color="auto" w:fill="007BC7"/>
            <w:vAlign w:val="center"/>
          </w:tcPr>
          <w:p w:rsidRPr="00DE4A5E" w:rsidR="00BF75B4" w:rsidP="00BF75B4" w:rsidRDefault="00BF75B4" w14:paraId="540E326E" w14:textId="77777777">
            <w:pPr>
              <w:spacing w:line="276" w:lineRule="auto"/>
              <w:ind w:firstLine="0"/>
              <w:rPr>
                <w:rFonts w:ascii="Verdana" w:hAnsi="Verdana" w:eastAsia="Calibri" w:cs="Arial"/>
                <w:color w:val="FFFFFF"/>
                <w:sz w:val="18"/>
                <w:szCs w:val="18"/>
                <w:lang w:val="nl-NL" w:eastAsia="en-US"/>
              </w:rPr>
            </w:pPr>
            <w:r w:rsidRPr="00DE4A5E">
              <w:rPr>
                <w:rFonts w:ascii="Verdana" w:hAnsi="Verdana" w:eastAsia="Calibri" w:cs="Arial"/>
                <w:color w:val="FFFFFF"/>
                <w:sz w:val="18"/>
                <w:szCs w:val="18"/>
                <w:lang w:val="nl-NL" w:eastAsia="en-US"/>
              </w:rPr>
              <w:t xml:space="preserve">Toekenning heffingsrecht scheep- en luchtvaartwinsten behaald in het internationale verkeer aan de staat van de werkelijke leiding van de onderneming </w:t>
            </w:r>
          </w:p>
        </w:tc>
        <w:tc>
          <w:tcPr>
            <w:tcW w:w="356" w:type="dxa"/>
            <w:gridSpan w:val="5"/>
            <w:shd w:val="clear" w:color="auto" w:fill="BFBFBF"/>
            <w:vAlign w:val="center"/>
          </w:tcPr>
          <w:p w:rsidRPr="00DE4A5E" w:rsidR="00BF75B4" w:rsidP="00BF75B4" w:rsidRDefault="00BF75B4" w14:paraId="3FB17DB4" w14:textId="77777777">
            <w:pPr>
              <w:spacing w:line="276" w:lineRule="auto"/>
              <w:ind w:firstLine="0"/>
              <w:jc w:val="center"/>
              <w:rPr>
                <w:rFonts w:ascii="Verdana" w:hAnsi="Verdana" w:eastAsia="Calibri" w:cs="Arial"/>
                <w:b/>
                <w:color w:val="007BC7"/>
                <w:sz w:val="18"/>
                <w:szCs w:val="18"/>
                <w:lang w:val="nl-NL" w:eastAsia="en-US"/>
              </w:rPr>
            </w:pPr>
          </w:p>
        </w:tc>
        <w:tc>
          <w:tcPr>
            <w:tcW w:w="355" w:type="dxa"/>
            <w:gridSpan w:val="3"/>
            <w:shd w:val="clear" w:color="auto" w:fill="BFBFBF"/>
            <w:vAlign w:val="center"/>
          </w:tcPr>
          <w:p w:rsidRPr="00DE4A5E" w:rsidR="00BF75B4" w:rsidP="00BF75B4" w:rsidRDefault="00BF75B4" w14:paraId="173030C5" w14:textId="77777777">
            <w:pPr>
              <w:spacing w:line="276" w:lineRule="auto"/>
              <w:ind w:firstLine="0"/>
              <w:jc w:val="center"/>
              <w:rPr>
                <w:rFonts w:ascii="Verdana" w:hAnsi="Verdana" w:eastAsia="Calibri" w:cs="Arial"/>
                <w:b/>
                <w:color w:val="007BC7"/>
                <w:sz w:val="18"/>
                <w:szCs w:val="18"/>
                <w:lang w:val="nl-NL" w:eastAsia="en-US"/>
              </w:rPr>
            </w:pPr>
          </w:p>
        </w:tc>
        <w:tc>
          <w:tcPr>
            <w:tcW w:w="428" w:type="dxa"/>
            <w:gridSpan w:val="2"/>
            <w:shd w:val="clear" w:color="auto" w:fill="BFBFBF"/>
            <w:vAlign w:val="center"/>
          </w:tcPr>
          <w:p w:rsidRPr="00DE4A5E" w:rsidR="00BF75B4" w:rsidP="00BF75B4" w:rsidRDefault="00351CF7" w14:paraId="2ECBA8E5" w14:textId="77777777">
            <w:pPr>
              <w:spacing w:line="276" w:lineRule="auto"/>
              <w:ind w:firstLine="0"/>
              <w:jc w:val="center"/>
              <w:rPr>
                <w:rFonts w:ascii="Verdana" w:hAnsi="Verdana" w:eastAsia="Calibri" w:cs="Arial"/>
                <w:b/>
                <w:color w:val="007BC7"/>
                <w:sz w:val="18"/>
                <w:szCs w:val="18"/>
                <w:lang w:val="nl-NL" w:eastAsia="en-US"/>
              </w:rPr>
            </w:pPr>
            <w:r w:rsidRPr="00DE4A5E">
              <w:rPr>
                <w:rFonts w:ascii="Verdana" w:hAnsi="Verdana" w:eastAsia="Calibri" w:cs="Arial"/>
                <w:b/>
                <w:color w:val="007BC7"/>
                <w:sz w:val="18"/>
                <w:szCs w:val="18"/>
                <w:lang w:val="nl-NL" w:eastAsia="en-US"/>
              </w:rPr>
              <w:t>X</w:t>
            </w:r>
          </w:p>
        </w:tc>
        <w:tc>
          <w:tcPr>
            <w:tcW w:w="433" w:type="dxa"/>
            <w:gridSpan w:val="2"/>
            <w:shd w:val="clear" w:color="auto" w:fill="BFBFBF"/>
            <w:vAlign w:val="center"/>
          </w:tcPr>
          <w:p w:rsidRPr="00DE4A5E" w:rsidR="00BF75B4" w:rsidP="00BF75B4" w:rsidRDefault="00BF75B4" w14:paraId="561B1CED" w14:textId="77777777">
            <w:pPr>
              <w:spacing w:line="276" w:lineRule="auto"/>
              <w:ind w:firstLine="0"/>
              <w:jc w:val="center"/>
              <w:rPr>
                <w:rFonts w:ascii="Verdana" w:hAnsi="Verdana" w:eastAsia="Calibri" w:cs="Arial"/>
                <w:b/>
                <w:color w:val="007BC7"/>
                <w:sz w:val="18"/>
                <w:szCs w:val="18"/>
                <w:lang w:val="nl-NL" w:eastAsia="en-US"/>
              </w:rPr>
            </w:pPr>
          </w:p>
        </w:tc>
        <w:tc>
          <w:tcPr>
            <w:tcW w:w="559" w:type="dxa"/>
            <w:shd w:val="clear" w:color="auto" w:fill="BFBFBF"/>
            <w:vAlign w:val="center"/>
          </w:tcPr>
          <w:p w:rsidRPr="00DE4A5E" w:rsidR="00BF75B4" w:rsidP="00BF75B4" w:rsidRDefault="00BF75B4" w14:paraId="693191BA" w14:textId="77777777">
            <w:pPr>
              <w:spacing w:line="276" w:lineRule="auto"/>
              <w:ind w:firstLine="0"/>
              <w:rPr>
                <w:rFonts w:ascii="Verdana" w:hAnsi="Verdana" w:eastAsia="Calibri" w:cs="Arial"/>
                <w:sz w:val="18"/>
                <w:szCs w:val="18"/>
                <w:lang w:val="nl-NL" w:eastAsia="en-US"/>
              </w:rPr>
            </w:pPr>
            <w:r w:rsidRPr="00DE4A5E">
              <w:rPr>
                <w:rFonts w:ascii="Verdana" w:hAnsi="Verdana" w:eastAsia="Calibri" w:cs="Arial"/>
                <w:sz w:val="18"/>
                <w:szCs w:val="18"/>
                <w:lang w:val="nl-NL" w:eastAsia="en-US"/>
              </w:rPr>
              <w:t>II.8</w:t>
            </w:r>
          </w:p>
        </w:tc>
      </w:tr>
      <w:tr w:rsidRPr="00DE4A5E" w:rsidR="00BF75B4" w:rsidTr="00E80A06" w14:paraId="6B3FD6E9" w14:textId="77777777">
        <w:trPr>
          <w:trHeight w:val="255"/>
        </w:trPr>
        <w:tc>
          <w:tcPr>
            <w:tcW w:w="693" w:type="dxa"/>
            <w:shd w:val="clear" w:color="auto" w:fill="BFBFBF"/>
            <w:vAlign w:val="center"/>
          </w:tcPr>
          <w:p w:rsidRPr="00DE4A5E" w:rsidR="00BF75B4" w:rsidP="00BF75B4" w:rsidRDefault="00BF75B4" w14:paraId="673B0EF0" w14:textId="77777777">
            <w:pPr>
              <w:spacing w:line="276" w:lineRule="auto"/>
              <w:ind w:firstLine="0"/>
              <w:jc w:val="right"/>
              <w:rPr>
                <w:rFonts w:ascii="Verdana" w:hAnsi="Verdana" w:eastAsia="Calibri" w:cs="Arial"/>
                <w:sz w:val="18"/>
                <w:szCs w:val="18"/>
                <w:lang w:val="nl-NL" w:eastAsia="en-US"/>
              </w:rPr>
            </w:pPr>
            <w:r w:rsidRPr="00DE4A5E">
              <w:rPr>
                <w:rFonts w:ascii="Verdana" w:hAnsi="Verdana" w:eastAsia="Calibri" w:cs="Arial"/>
                <w:sz w:val="18"/>
                <w:szCs w:val="18"/>
                <w:lang w:val="nl-NL" w:eastAsia="en-US"/>
              </w:rPr>
              <w:t>2.6.5</w:t>
            </w:r>
          </w:p>
        </w:tc>
        <w:tc>
          <w:tcPr>
            <w:tcW w:w="1350" w:type="dxa"/>
            <w:shd w:val="clear" w:color="auto" w:fill="BFBFBF"/>
            <w:vAlign w:val="center"/>
          </w:tcPr>
          <w:p w:rsidRPr="00DE4A5E" w:rsidR="00BF75B4" w:rsidP="00BF75B4" w:rsidRDefault="00BF75B4" w14:paraId="5FB90260" w14:textId="77777777">
            <w:pPr>
              <w:spacing w:line="276" w:lineRule="auto"/>
              <w:ind w:firstLine="0"/>
              <w:rPr>
                <w:rFonts w:ascii="Verdana" w:hAnsi="Verdana" w:cs="Arial"/>
                <w:color w:val="000000"/>
                <w:sz w:val="18"/>
                <w:szCs w:val="18"/>
              </w:rPr>
            </w:pPr>
            <w:r w:rsidRPr="00DE4A5E">
              <w:rPr>
                <w:rFonts w:ascii="Verdana" w:hAnsi="Verdana" w:eastAsia="Calibri" w:cs="Arial"/>
                <w:color w:val="000000"/>
                <w:sz w:val="18"/>
                <w:szCs w:val="18"/>
                <w:lang w:val="nl-NL" w:eastAsia="en-US"/>
              </w:rPr>
              <w:t>Terugvaloptie:</w:t>
            </w:r>
          </w:p>
        </w:tc>
        <w:tc>
          <w:tcPr>
            <w:tcW w:w="5002" w:type="dxa"/>
            <w:shd w:val="clear" w:color="auto" w:fill="007BC7"/>
            <w:vAlign w:val="center"/>
          </w:tcPr>
          <w:p w:rsidRPr="00DE4A5E" w:rsidR="00BF75B4" w:rsidP="00BF75B4" w:rsidRDefault="00BF75B4" w14:paraId="579CFA02" w14:textId="77777777">
            <w:pPr>
              <w:spacing w:line="276" w:lineRule="auto"/>
              <w:ind w:firstLine="0"/>
              <w:rPr>
                <w:rFonts w:ascii="Verdana" w:hAnsi="Verdana" w:cs="Arial"/>
                <w:color w:val="FFFFFF"/>
                <w:sz w:val="18"/>
                <w:szCs w:val="18"/>
                <w:lang w:val="nl-NL"/>
              </w:rPr>
            </w:pPr>
            <w:r w:rsidRPr="00DE4A5E">
              <w:rPr>
                <w:rFonts w:ascii="Verdana" w:hAnsi="Verdana" w:eastAsia="Calibri" w:cs="Arial"/>
                <w:color w:val="FFFFFF"/>
                <w:sz w:val="18"/>
                <w:szCs w:val="18"/>
                <w:lang w:val="nl-NL" w:eastAsia="en-US"/>
              </w:rPr>
              <w:t>Beperkte bronstaatsheffing scheep- en luchtvaartwinsten</w:t>
            </w:r>
          </w:p>
        </w:tc>
        <w:tc>
          <w:tcPr>
            <w:tcW w:w="356" w:type="dxa"/>
            <w:gridSpan w:val="5"/>
            <w:shd w:val="clear" w:color="auto" w:fill="BFBFBF"/>
            <w:vAlign w:val="center"/>
          </w:tcPr>
          <w:p w:rsidRPr="00DE4A5E" w:rsidR="00BF75B4" w:rsidP="00BF75B4" w:rsidRDefault="00BF75B4" w14:paraId="3C301676" w14:textId="77777777">
            <w:pPr>
              <w:spacing w:line="276" w:lineRule="auto"/>
              <w:ind w:firstLine="0"/>
              <w:jc w:val="center"/>
              <w:rPr>
                <w:rFonts w:ascii="Verdana" w:hAnsi="Verdana" w:eastAsia="Calibri" w:cs="Arial"/>
                <w:b/>
                <w:color w:val="007BC7"/>
                <w:sz w:val="18"/>
                <w:szCs w:val="18"/>
                <w:lang w:val="nl-NL" w:eastAsia="en-US"/>
              </w:rPr>
            </w:pPr>
          </w:p>
        </w:tc>
        <w:tc>
          <w:tcPr>
            <w:tcW w:w="355" w:type="dxa"/>
            <w:gridSpan w:val="3"/>
            <w:shd w:val="clear" w:color="auto" w:fill="BFBFBF"/>
            <w:vAlign w:val="center"/>
          </w:tcPr>
          <w:p w:rsidRPr="00DE4A5E" w:rsidR="00BF75B4" w:rsidP="00BF75B4" w:rsidRDefault="00BF75B4" w14:paraId="1BDA90C0" w14:textId="77777777">
            <w:pPr>
              <w:spacing w:line="276" w:lineRule="auto"/>
              <w:ind w:firstLine="0"/>
              <w:jc w:val="center"/>
              <w:rPr>
                <w:rFonts w:ascii="Verdana" w:hAnsi="Verdana" w:eastAsia="Calibri" w:cs="Arial"/>
                <w:b/>
                <w:color w:val="007BC7"/>
                <w:sz w:val="18"/>
                <w:szCs w:val="18"/>
                <w:lang w:val="nl-NL" w:eastAsia="en-US"/>
              </w:rPr>
            </w:pPr>
          </w:p>
        </w:tc>
        <w:tc>
          <w:tcPr>
            <w:tcW w:w="428" w:type="dxa"/>
            <w:gridSpan w:val="2"/>
            <w:shd w:val="clear" w:color="auto" w:fill="BFBFBF"/>
            <w:vAlign w:val="center"/>
          </w:tcPr>
          <w:p w:rsidRPr="00DE4A5E" w:rsidR="00BF75B4" w:rsidP="00BF75B4" w:rsidRDefault="00BF75B4" w14:paraId="2AEFCE19" w14:textId="77777777">
            <w:pPr>
              <w:spacing w:line="276" w:lineRule="auto"/>
              <w:ind w:firstLine="0"/>
              <w:jc w:val="center"/>
              <w:rPr>
                <w:rFonts w:ascii="Verdana" w:hAnsi="Verdana" w:eastAsia="Calibri" w:cs="Arial"/>
                <w:b/>
                <w:color w:val="007BC7"/>
                <w:sz w:val="18"/>
                <w:szCs w:val="18"/>
                <w:lang w:val="nl-NL" w:eastAsia="en-US"/>
              </w:rPr>
            </w:pPr>
          </w:p>
        </w:tc>
        <w:tc>
          <w:tcPr>
            <w:tcW w:w="433" w:type="dxa"/>
            <w:gridSpan w:val="2"/>
            <w:shd w:val="clear" w:color="auto" w:fill="BFBFBF"/>
            <w:vAlign w:val="center"/>
          </w:tcPr>
          <w:p w:rsidRPr="00DE4A5E" w:rsidR="00BF75B4" w:rsidP="00BF75B4" w:rsidRDefault="00351CF7" w14:paraId="4CC25F56" w14:textId="77777777">
            <w:pPr>
              <w:spacing w:line="276" w:lineRule="auto"/>
              <w:ind w:firstLine="0"/>
              <w:jc w:val="center"/>
              <w:rPr>
                <w:rFonts w:ascii="Verdana" w:hAnsi="Verdana" w:eastAsia="Calibri" w:cs="Arial"/>
                <w:b/>
                <w:color w:val="007BC7"/>
                <w:sz w:val="18"/>
                <w:szCs w:val="18"/>
                <w:lang w:val="nl-NL" w:eastAsia="en-US"/>
              </w:rPr>
            </w:pPr>
            <w:r w:rsidRPr="00DE4A5E">
              <w:rPr>
                <w:rFonts w:ascii="Verdana" w:hAnsi="Verdana" w:eastAsia="Calibri" w:cs="Arial"/>
                <w:b/>
                <w:color w:val="007BC7"/>
                <w:sz w:val="18"/>
                <w:szCs w:val="18"/>
                <w:lang w:val="nl-NL" w:eastAsia="en-US"/>
              </w:rPr>
              <w:t>X</w:t>
            </w:r>
          </w:p>
        </w:tc>
        <w:tc>
          <w:tcPr>
            <w:tcW w:w="559" w:type="dxa"/>
            <w:shd w:val="clear" w:color="auto" w:fill="BFBFBF"/>
            <w:vAlign w:val="center"/>
          </w:tcPr>
          <w:p w:rsidRPr="00DE4A5E" w:rsidR="00BF75B4" w:rsidP="00BF75B4" w:rsidRDefault="00BF75B4" w14:paraId="57D0404E" w14:textId="77777777">
            <w:pPr>
              <w:spacing w:line="276" w:lineRule="auto"/>
              <w:ind w:firstLine="0"/>
              <w:rPr>
                <w:rFonts w:ascii="Verdana" w:hAnsi="Verdana" w:eastAsia="Calibri" w:cs="Arial"/>
                <w:sz w:val="18"/>
                <w:szCs w:val="18"/>
                <w:lang w:val="nl-NL" w:eastAsia="en-US"/>
              </w:rPr>
            </w:pPr>
          </w:p>
        </w:tc>
      </w:tr>
      <w:tr w:rsidRPr="00DE4A5E" w:rsidR="00BF75B4" w:rsidTr="00E80A06" w14:paraId="1E175C3B" w14:textId="77777777">
        <w:trPr>
          <w:trHeight w:val="255"/>
        </w:trPr>
        <w:tc>
          <w:tcPr>
            <w:tcW w:w="693" w:type="dxa"/>
            <w:shd w:val="clear" w:color="auto" w:fill="BFBFBF"/>
            <w:vAlign w:val="center"/>
          </w:tcPr>
          <w:p w:rsidRPr="00DE4A5E" w:rsidR="00BF75B4" w:rsidP="00BF75B4" w:rsidRDefault="00BF75B4" w14:paraId="0B249C0A" w14:textId="77777777">
            <w:pPr>
              <w:spacing w:line="276" w:lineRule="auto"/>
              <w:ind w:firstLine="0"/>
              <w:jc w:val="right"/>
              <w:rPr>
                <w:rFonts w:ascii="Verdana" w:hAnsi="Verdana" w:eastAsia="Calibri" w:cs="Arial"/>
                <w:sz w:val="18"/>
                <w:szCs w:val="18"/>
                <w:lang w:val="nl-NL" w:eastAsia="en-US"/>
              </w:rPr>
            </w:pPr>
            <w:r w:rsidRPr="00DE4A5E">
              <w:rPr>
                <w:rFonts w:ascii="Verdana" w:hAnsi="Verdana" w:eastAsia="Calibri" w:cs="Arial"/>
                <w:sz w:val="18"/>
                <w:szCs w:val="18"/>
                <w:lang w:val="nl-NL" w:eastAsia="en-US"/>
              </w:rPr>
              <w:t>2.6.5</w:t>
            </w:r>
          </w:p>
        </w:tc>
        <w:tc>
          <w:tcPr>
            <w:tcW w:w="6352" w:type="dxa"/>
            <w:gridSpan w:val="2"/>
            <w:shd w:val="clear" w:color="auto" w:fill="007BC7"/>
            <w:vAlign w:val="center"/>
          </w:tcPr>
          <w:p w:rsidRPr="00DE4A5E" w:rsidR="00BF75B4" w:rsidP="00BF75B4" w:rsidRDefault="00BF75B4" w14:paraId="1682D49F" w14:textId="77777777">
            <w:pPr>
              <w:spacing w:line="276" w:lineRule="auto"/>
              <w:ind w:firstLine="0"/>
              <w:rPr>
                <w:rFonts w:ascii="Verdana" w:hAnsi="Verdana" w:cs="Arial"/>
                <w:color w:val="FFFFFF"/>
                <w:sz w:val="18"/>
                <w:szCs w:val="18"/>
                <w:lang w:val="nl-NL"/>
              </w:rPr>
            </w:pPr>
            <w:r w:rsidRPr="00DE4A5E">
              <w:rPr>
                <w:rFonts w:ascii="Verdana" w:hAnsi="Verdana" w:eastAsia="Calibri" w:cs="Arial"/>
                <w:color w:val="FFFFFF"/>
                <w:sz w:val="18"/>
                <w:szCs w:val="18"/>
                <w:lang w:val="nl-NL" w:eastAsia="en-US"/>
              </w:rPr>
              <w:t>Vrijwaring van heffingen over de omzet behaald met passagiers- en vrachtvervoer</w:t>
            </w:r>
          </w:p>
        </w:tc>
        <w:tc>
          <w:tcPr>
            <w:tcW w:w="356" w:type="dxa"/>
            <w:gridSpan w:val="5"/>
            <w:shd w:val="clear" w:color="auto" w:fill="BFBFBF"/>
            <w:vAlign w:val="center"/>
          </w:tcPr>
          <w:p w:rsidRPr="00DE4A5E" w:rsidR="00BF75B4" w:rsidP="00BF75B4" w:rsidRDefault="00BF75B4" w14:paraId="342398F3" w14:textId="77777777">
            <w:pPr>
              <w:spacing w:line="276" w:lineRule="auto"/>
              <w:ind w:firstLine="0"/>
              <w:jc w:val="center"/>
              <w:rPr>
                <w:rFonts w:ascii="Verdana" w:hAnsi="Verdana" w:eastAsia="Calibri" w:cs="Arial"/>
                <w:b/>
                <w:color w:val="007BC7"/>
                <w:sz w:val="18"/>
                <w:szCs w:val="18"/>
                <w:lang w:val="nl-NL" w:eastAsia="en-US"/>
              </w:rPr>
            </w:pPr>
            <w:r w:rsidRPr="00DE4A5E">
              <w:rPr>
                <w:rFonts w:ascii="Verdana" w:hAnsi="Verdana" w:eastAsia="Calibri" w:cs="Arial"/>
                <w:b/>
                <w:color w:val="007BC7"/>
                <w:sz w:val="18"/>
                <w:szCs w:val="18"/>
                <w:lang w:val="nl-NL" w:eastAsia="en-US"/>
              </w:rPr>
              <w:t>X</w:t>
            </w:r>
          </w:p>
        </w:tc>
        <w:tc>
          <w:tcPr>
            <w:tcW w:w="355" w:type="dxa"/>
            <w:gridSpan w:val="3"/>
            <w:shd w:val="clear" w:color="auto" w:fill="BFBFBF"/>
            <w:vAlign w:val="center"/>
          </w:tcPr>
          <w:p w:rsidRPr="00DE4A5E" w:rsidR="00BF75B4" w:rsidP="00BF75B4" w:rsidRDefault="00BF75B4" w14:paraId="54AF7D2A" w14:textId="77777777">
            <w:pPr>
              <w:spacing w:line="276" w:lineRule="auto"/>
              <w:ind w:firstLine="0"/>
              <w:jc w:val="center"/>
              <w:rPr>
                <w:rFonts w:ascii="Verdana" w:hAnsi="Verdana" w:eastAsia="Calibri" w:cs="Arial"/>
                <w:b/>
                <w:color w:val="007BC7"/>
                <w:sz w:val="18"/>
                <w:szCs w:val="18"/>
                <w:lang w:val="nl-NL" w:eastAsia="en-US"/>
              </w:rPr>
            </w:pPr>
          </w:p>
        </w:tc>
        <w:tc>
          <w:tcPr>
            <w:tcW w:w="428" w:type="dxa"/>
            <w:gridSpan w:val="2"/>
            <w:shd w:val="clear" w:color="auto" w:fill="BFBFBF"/>
            <w:vAlign w:val="center"/>
          </w:tcPr>
          <w:p w:rsidRPr="00DE4A5E" w:rsidR="00BF75B4" w:rsidP="00BF75B4" w:rsidRDefault="00BF75B4" w14:paraId="6B619AC2" w14:textId="77777777">
            <w:pPr>
              <w:spacing w:line="276" w:lineRule="auto"/>
              <w:ind w:firstLine="0"/>
              <w:rPr>
                <w:rFonts w:ascii="Verdana" w:hAnsi="Verdana" w:eastAsia="Calibri" w:cs="Arial"/>
                <w:b/>
                <w:color w:val="007BC7"/>
                <w:sz w:val="18"/>
                <w:szCs w:val="18"/>
                <w:lang w:val="nl-NL" w:eastAsia="en-US"/>
              </w:rPr>
            </w:pPr>
          </w:p>
        </w:tc>
        <w:tc>
          <w:tcPr>
            <w:tcW w:w="433" w:type="dxa"/>
            <w:gridSpan w:val="2"/>
            <w:shd w:val="clear" w:color="auto" w:fill="BFBFBF"/>
            <w:vAlign w:val="center"/>
          </w:tcPr>
          <w:p w:rsidRPr="00DE4A5E" w:rsidR="00BF75B4" w:rsidP="00BF75B4" w:rsidRDefault="00BF75B4" w14:paraId="1A7AF0E7" w14:textId="77777777">
            <w:pPr>
              <w:spacing w:line="276" w:lineRule="auto"/>
              <w:ind w:firstLine="0"/>
              <w:jc w:val="center"/>
              <w:rPr>
                <w:rFonts w:ascii="Verdana" w:hAnsi="Verdana" w:eastAsia="Calibri" w:cs="Arial"/>
                <w:b/>
                <w:color w:val="007BC7"/>
                <w:sz w:val="18"/>
                <w:szCs w:val="18"/>
                <w:lang w:val="nl-NL" w:eastAsia="en-US"/>
              </w:rPr>
            </w:pPr>
          </w:p>
        </w:tc>
        <w:tc>
          <w:tcPr>
            <w:tcW w:w="559" w:type="dxa"/>
            <w:shd w:val="clear" w:color="auto" w:fill="BFBFBF"/>
            <w:vAlign w:val="center"/>
          </w:tcPr>
          <w:p w:rsidRPr="00DE4A5E" w:rsidR="00BF75B4" w:rsidP="00BF75B4" w:rsidRDefault="00BF75B4" w14:paraId="79787B19" w14:textId="77777777">
            <w:pPr>
              <w:spacing w:line="276" w:lineRule="auto"/>
              <w:ind w:firstLine="0"/>
              <w:rPr>
                <w:rFonts w:ascii="Verdana" w:hAnsi="Verdana" w:eastAsia="Calibri" w:cs="Arial"/>
                <w:sz w:val="18"/>
                <w:szCs w:val="18"/>
                <w:lang w:val="nl-NL" w:eastAsia="en-US"/>
              </w:rPr>
            </w:pPr>
            <w:r w:rsidRPr="00DE4A5E">
              <w:rPr>
                <w:rFonts w:ascii="Verdana" w:hAnsi="Verdana" w:eastAsia="Calibri" w:cs="Arial"/>
                <w:sz w:val="18"/>
                <w:szCs w:val="18"/>
                <w:lang w:val="nl-NL" w:eastAsia="en-US"/>
              </w:rPr>
              <w:t>II.8</w:t>
            </w:r>
          </w:p>
        </w:tc>
      </w:tr>
      <w:tr w:rsidRPr="00DE4A5E" w:rsidR="00BF75B4" w:rsidTr="00E80A06" w14:paraId="4EABBDF1" w14:textId="77777777">
        <w:trPr>
          <w:gridAfter w:val="10"/>
          <w:wAfter w:w="1952" w:type="dxa"/>
          <w:cantSplit/>
          <w:trHeight w:val="403"/>
        </w:trPr>
        <w:tc>
          <w:tcPr>
            <w:tcW w:w="693" w:type="dxa"/>
            <w:shd w:val="clear" w:color="auto" w:fill="FFFFFF"/>
            <w:vAlign w:val="center"/>
          </w:tcPr>
          <w:p w:rsidRPr="00DE4A5E" w:rsidR="00BF75B4" w:rsidP="00BF75B4" w:rsidRDefault="00BF75B4" w14:paraId="0139F783" w14:textId="77777777">
            <w:pPr>
              <w:spacing w:line="276" w:lineRule="auto"/>
              <w:ind w:left="113" w:right="113" w:firstLine="0"/>
              <w:rPr>
                <w:rFonts w:ascii="Verdana" w:hAnsi="Verdana" w:eastAsia="Calibri" w:cs="Arial"/>
                <w:sz w:val="18"/>
                <w:szCs w:val="18"/>
                <w:lang w:val="nl-NL" w:eastAsia="en-US"/>
              </w:rPr>
            </w:pPr>
            <w:r w:rsidRPr="00DE4A5E">
              <w:rPr>
                <w:rFonts w:ascii="Verdana" w:hAnsi="Verdana" w:eastAsia="Calibri" w:cs="Arial"/>
                <w:sz w:val="18"/>
                <w:szCs w:val="18"/>
                <w:lang w:val="nl-NL" w:eastAsia="en-US"/>
              </w:rPr>
              <w:br w:type="page"/>
            </w:r>
          </w:p>
        </w:tc>
        <w:tc>
          <w:tcPr>
            <w:tcW w:w="6531" w:type="dxa"/>
            <w:gridSpan w:val="5"/>
            <w:shd w:val="clear" w:color="auto" w:fill="FFFFFF"/>
            <w:vAlign w:val="center"/>
          </w:tcPr>
          <w:p w:rsidRPr="00DE4A5E" w:rsidR="00BF75B4" w:rsidP="00BF75B4" w:rsidRDefault="00BF75B4" w14:paraId="27D91949" w14:textId="77777777">
            <w:pPr>
              <w:ind w:firstLine="0"/>
              <w:rPr>
                <w:rFonts w:ascii="Verdana" w:hAnsi="Verdana" w:cs="Arial"/>
                <w:i/>
                <w:sz w:val="18"/>
                <w:szCs w:val="18"/>
              </w:rPr>
            </w:pPr>
            <w:r w:rsidRPr="00DE4A5E">
              <w:rPr>
                <w:rFonts w:ascii="Verdana" w:hAnsi="Verdana" w:eastAsia="Calibri" w:cs="Arial"/>
                <w:i/>
                <w:sz w:val="18"/>
                <w:szCs w:val="18"/>
                <w:lang w:val="nl-NL" w:eastAsia="en-US"/>
              </w:rPr>
              <w:t xml:space="preserve">Vermogensinkomsten en </w:t>
            </w:r>
            <w:r w:rsidRPr="00DE4A5E" w:rsidR="005D6123">
              <w:rPr>
                <w:rFonts w:ascii="Verdana" w:hAnsi="Verdana" w:eastAsia="Calibri" w:cs="Arial"/>
                <w:i/>
                <w:sz w:val="18"/>
                <w:szCs w:val="18"/>
                <w:lang w:val="nl-NL" w:eastAsia="en-US"/>
              </w:rPr>
              <w:t>–</w:t>
            </w:r>
            <w:r w:rsidRPr="00DE4A5E">
              <w:rPr>
                <w:rFonts w:ascii="Verdana" w:hAnsi="Verdana" w:eastAsia="Calibri" w:cs="Arial"/>
                <w:i/>
                <w:sz w:val="18"/>
                <w:szCs w:val="18"/>
                <w:lang w:val="nl-NL" w:eastAsia="en-US"/>
              </w:rPr>
              <w:t>winsten</w:t>
            </w:r>
          </w:p>
        </w:tc>
      </w:tr>
      <w:tr w:rsidRPr="00DE4A5E" w:rsidR="00BF75B4" w:rsidTr="00E80A06" w14:paraId="4A175312" w14:textId="77777777">
        <w:trPr>
          <w:trHeight w:val="255"/>
        </w:trPr>
        <w:tc>
          <w:tcPr>
            <w:tcW w:w="693" w:type="dxa"/>
            <w:shd w:val="clear" w:color="auto" w:fill="BFBFBF"/>
            <w:vAlign w:val="center"/>
          </w:tcPr>
          <w:p w:rsidRPr="00DE4A5E" w:rsidR="00BF75B4" w:rsidP="00BF75B4" w:rsidRDefault="00BF75B4" w14:paraId="2DA2A347" w14:textId="77777777">
            <w:pPr>
              <w:spacing w:line="276" w:lineRule="auto"/>
              <w:ind w:firstLine="0"/>
              <w:jc w:val="right"/>
              <w:rPr>
                <w:rFonts w:ascii="Verdana" w:hAnsi="Verdana" w:eastAsia="Calibri" w:cs="Arial"/>
                <w:sz w:val="18"/>
                <w:szCs w:val="18"/>
                <w:lang w:val="nl-NL" w:eastAsia="en-US"/>
              </w:rPr>
            </w:pPr>
            <w:r w:rsidRPr="00DE4A5E">
              <w:rPr>
                <w:rFonts w:ascii="Verdana" w:hAnsi="Verdana" w:eastAsia="Calibri" w:cs="Arial"/>
                <w:sz w:val="18"/>
                <w:szCs w:val="18"/>
                <w:lang w:val="nl-NL" w:eastAsia="en-US"/>
              </w:rPr>
              <w:t>2.7.1</w:t>
            </w:r>
          </w:p>
        </w:tc>
        <w:tc>
          <w:tcPr>
            <w:tcW w:w="6352" w:type="dxa"/>
            <w:gridSpan w:val="2"/>
            <w:shd w:val="clear" w:color="auto" w:fill="007BC7"/>
            <w:vAlign w:val="center"/>
          </w:tcPr>
          <w:p w:rsidRPr="00DE4A5E" w:rsidR="00BF75B4" w:rsidP="00BF75B4" w:rsidRDefault="00BF75B4" w14:paraId="535E98FC" w14:textId="77777777">
            <w:pPr>
              <w:spacing w:line="276" w:lineRule="auto"/>
              <w:ind w:firstLine="0"/>
              <w:rPr>
                <w:rFonts w:ascii="Verdana" w:hAnsi="Verdana" w:eastAsia="Calibri" w:cs="Arial"/>
                <w:color w:val="FFFFFF"/>
                <w:sz w:val="18"/>
                <w:szCs w:val="18"/>
                <w:lang w:val="nl-NL" w:eastAsia="en-US"/>
              </w:rPr>
            </w:pPr>
            <w:r w:rsidRPr="00DE4A5E">
              <w:rPr>
                <w:rFonts w:ascii="Verdana" w:hAnsi="Verdana" w:eastAsia="Calibri" w:cs="Arial"/>
                <w:color w:val="FFFFFF"/>
                <w:sz w:val="18"/>
                <w:szCs w:val="18"/>
                <w:lang w:val="nl-NL" w:eastAsia="en-US"/>
              </w:rPr>
              <w:t>Uitsluitende woonstaatheffing voor deelnemingsdividenden</w:t>
            </w:r>
          </w:p>
        </w:tc>
        <w:tc>
          <w:tcPr>
            <w:tcW w:w="356" w:type="dxa"/>
            <w:gridSpan w:val="5"/>
            <w:shd w:val="clear" w:color="auto" w:fill="BFBFBF"/>
            <w:vAlign w:val="center"/>
          </w:tcPr>
          <w:p w:rsidRPr="00DE4A5E" w:rsidR="00BF75B4" w:rsidP="00BF75B4" w:rsidRDefault="00CD10B6" w14:paraId="6F1FCC3E" w14:textId="77777777">
            <w:pPr>
              <w:spacing w:line="276" w:lineRule="auto"/>
              <w:ind w:firstLine="0"/>
              <w:jc w:val="center"/>
              <w:rPr>
                <w:rFonts w:ascii="Verdana" w:hAnsi="Verdana" w:eastAsia="Calibri" w:cs="Arial"/>
                <w:b/>
                <w:color w:val="007BC7"/>
                <w:sz w:val="18"/>
                <w:szCs w:val="18"/>
                <w:lang w:val="nl-NL" w:eastAsia="en-US"/>
              </w:rPr>
            </w:pPr>
            <w:r w:rsidRPr="00DE4A5E">
              <w:rPr>
                <w:rFonts w:ascii="Verdana" w:hAnsi="Verdana" w:eastAsia="Calibri" w:cs="Arial"/>
                <w:b/>
                <w:color w:val="007BC7"/>
                <w:sz w:val="18"/>
                <w:szCs w:val="18"/>
                <w:lang w:val="nl-NL" w:eastAsia="en-US"/>
              </w:rPr>
              <w:t>X</w:t>
            </w:r>
          </w:p>
        </w:tc>
        <w:tc>
          <w:tcPr>
            <w:tcW w:w="355" w:type="dxa"/>
            <w:gridSpan w:val="3"/>
            <w:shd w:val="clear" w:color="auto" w:fill="BFBFBF"/>
            <w:vAlign w:val="center"/>
          </w:tcPr>
          <w:p w:rsidRPr="00DE4A5E" w:rsidR="00BF75B4" w:rsidP="00BF75B4" w:rsidRDefault="00BF75B4" w14:paraId="31EB586A" w14:textId="77777777">
            <w:pPr>
              <w:spacing w:line="276" w:lineRule="auto"/>
              <w:ind w:firstLine="0"/>
              <w:jc w:val="center"/>
              <w:rPr>
                <w:rFonts w:ascii="Verdana" w:hAnsi="Verdana" w:eastAsia="Calibri" w:cs="Arial"/>
                <w:b/>
                <w:color w:val="007BC7"/>
                <w:sz w:val="18"/>
                <w:szCs w:val="18"/>
                <w:lang w:val="nl-NL" w:eastAsia="en-US"/>
              </w:rPr>
            </w:pPr>
          </w:p>
        </w:tc>
        <w:tc>
          <w:tcPr>
            <w:tcW w:w="428" w:type="dxa"/>
            <w:gridSpan w:val="2"/>
            <w:shd w:val="clear" w:color="auto" w:fill="BFBFBF"/>
            <w:vAlign w:val="center"/>
          </w:tcPr>
          <w:p w:rsidRPr="00DE4A5E" w:rsidR="00BF75B4" w:rsidP="00BF75B4" w:rsidRDefault="00BF75B4" w14:paraId="2CABB7F2" w14:textId="77777777">
            <w:pPr>
              <w:spacing w:line="276" w:lineRule="auto"/>
              <w:ind w:firstLine="0"/>
              <w:jc w:val="center"/>
              <w:rPr>
                <w:rFonts w:ascii="Verdana" w:hAnsi="Verdana" w:eastAsia="Calibri" w:cs="Arial"/>
                <w:b/>
                <w:color w:val="007BC7"/>
                <w:sz w:val="18"/>
                <w:szCs w:val="18"/>
                <w:lang w:val="nl-NL" w:eastAsia="en-US"/>
              </w:rPr>
            </w:pPr>
          </w:p>
        </w:tc>
        <w:tc>
          <w:tcPr>
            <w:tcW w:w="433" w:type="dxa"/>
            <w:gridSpan w:val="2"/>
            <w:shd w:val="clear" w:color="auto" w:fill="BFBFBF"/>
            <w:vAlign w:val="center"/>
          </w:tcPr>
          <w:p w:rsidRPr="00DE4A5E" w:rsidR="00BF75B4" w:rsidP="00BF75B4" w:rsidRDefault="00BF75B4" w14:paraId="52BC85CC" w14:textId="77777777">
            <w:pPr>
              <w:spacing w:line="276" w:lineRule="auto"/>
              <w:ind w:firstLine="0"/>
              <w:jc w:val="center"/>
              <w:rPr>
                <w:rFonts w:ascii="Verdana" w:hAnsi="Verdana" w:eastAsia="Calibri" w:cs="Arial"/>
                <w:b/>
                <w:color w:val="007BC7"/>
                <w:sz w:val="18"/>
                <w:szCs w:val="18"/>
                <w:lang w:val="nl-NL" w:eastAsia="en-US"/>
              </w:rPr>
            </w:pPr>
          </w:p>
        </w:tc>
        <w:tc>
          <w:tcPr>
            <w:tcW w:w="559" w:type="dxa"/>
            <w:shd w:val="clear" w:color="auto" w:fill="BFBFBF"/>
            <w:vAlign w:val="center"/>
          </w:tcPr>
          <w:p w:rsidRPr="00DE4A5E" w:rsidR="00BF75B4" w:rsidP="00BF75B4" w:rsidRDefault="00BF75B4" w14:paraId="2565B682" w14:textId="77777777">
            <w:pPr>
              <w:spacing w:line="276" w:lineRule="auto"/>
              <w:ind w:firstLine="0"/>
              <w:rPr>
                <w:rFonts w:ascii="Verdana" w:hAnsi="Verdana" w:eastAsia="Calibri" w:cs="Arial"/>
                <w:sz w:val="18"/>
                <w:szCs w:val="18"/>
                <w:lang w:val="nl-NL" w:eastAsia="en-US"/>
              </w:rPr>
            </w:pPr>
            <w:r w:rsidRPr="00DE4A5E">
              <w:rPr>
                <w:rFonts w:ascii="Verdana" w:hAnsi="Verdana" w:eastAsia="Calibri" w:cs="Arial"/>
                <w:sz w:val="18"/>
                <w:szCs w:val="18"/>
                <w:lang w:val="nl-NL" w:eastAsia="en-US"/>
              </w:rPr>
              <w:t>II.10</w:t>
            </w:r>
          </w:p>
        </w:tc>
      </w:tr>
      <w:tr w:rsidRPr="00DE4A5E" w:rsidR="00BF75B4" w:rsidTr="00E80A06" w14:paraId="4F5A8078" w14:textId="77777777">
        <w:trPr>
          <w:trHeight w:val="255"/>
        </w:trPr>
        <w:tc>
          <w:tcPr>
            <w:tcW w:w="693" w:type="dxa"/>
            <w:shd w:val="clear" w:color="auto" w:fill="BFBFBF"/>
            <w:vAlign w:val="center"/>
          </w:tcPr>
          <w:p w:rsidRPr="00DE4A5E" w:rsidR="00BF75B4" w:rsidP="00BF75B4" w:rsidRDefault="00BF75B4" w14:paraId="7BDABC11" w14:textId="77777777">
            <w:pPr>
              <w:spacing w:line="276" w:lineRule="auto"/>
              <w:ind w:firstLine="0"/>
              <w:jc w:val="right"/>
              <w:rPr>
                <w:rFonts w:ascii="Verdana" w:hAnsi="Verdana" w:eastAsia="Calibri" w:cs="Arial"/>
                <w:sz w:val="18"/>
                <w:szCs w:val="18"/>
                <w:lang w:val="nl-NL" w:eastAsia="en-US"/>
              </w:rPr>
            </w:pPr>
            <w:r w:rsidRPr="00DE4A5E">
              <w:rPr>
                <w:rFonts w:ascii="Verdana" w:hAnsi="Verdana" w:eastAsia="Calibri" w:cs="Arial"/>
                <w:sz w:val="18"/>
                <w:szCs w:val="18"/>
                <w:lang w:val="nl-NL" w:eastAsia="en-US"/>
              </w:rPr>
              <w:t>2.7.2</w:t>
            </w:r>
          </w:p>
        </w:tc>
        <w:tc>
          <w:tcPr>
            <w:tcW w:w="6352" w:type="dxa"/>
            <w:gridSpan w:val="2"/>
            <w:shd w:val="clear" w:color="auto" w:fill="007BC7"/>
            <w:vAlign w:val="center"/>
          </w:tcPr>
          <w:p w:rsidRPr="00DE4A5E" w:rsidR="00BF75B4" w:rsidP="00BF75B4" w:rsidRDefault="00BF75B4" w14:paraId="116DD2E9" w14:textId="77777777">
            <w:pPr>
              <w:spacing w:line="276" w:lineRule="auto"/>
              <w:ind w:firstLine="0"/>
              <w:rPr>
                <w:rFonts w:ascii="Verdana" w:hAnsi="Verdana" w:eastAsia="Calibri" w:cs="Arial"/>
                <w:color w:val="FFFFFF"/>
                <w:sz w:val="18"/>
                <w:szCs w:val="18"/>
                <w:lang w:val="nl-NL" w:eastAsia="en-US"/>
              </w:rPr>
            </w:pPr>
            <w:r w:rsidRPr="00DE4A5E">
              <w:rPr>
                <w:rFonts w:ascii="Verdana" w:hAnsi="Verdana" w:eastAsia="Calibri" w:cs="Arial"/>
                <w:color w:val="FFFFFF"/>
                <w:sz w:val="18"/>
                <w:szCs w:val="18"/>
                <w:lang w:val="nl-NL" w:eastAsia="en-US"/>
              </w:rPr>
              <w:t>Tarief portfoliodividenden t.a.v. Nederland niet lager dan 15%</w:t>
            </w:r>
          </w:p>
        </w:tc>
        <w:tc>
          <w:tcPr>
            <w:tcW w:w="356" w:type="dxa"/>
            <w:gridSpan w:val="5"/>
            <w:shd w:val="clear" w:color="auto" w:fill="BFBFBF"/>
            <w:vAlign w:val="center"/>
          </w:tcPr>
          <w:p w:rsidRPr="00DE4A5E" w:rsidR="00BF75B4" w:rsidP="00BF75B4" w:rsidRDefault="00BF75B4" w14:paraId="3D40FC80" w14:textId="77777777">
            <w:pPr>
              <w:spacing w:line="276" w:lineRule="auto"/>
              <w:ind w:firstLine="0"/>
              <w:jc w:val="center"/>
              <w:rPr>
                <w:rFonts w:ascii="Verdana" w:hAnsi="Verdana" w:eastAsia="Calibri" w:cs="Arial"/>
                <w:b/>
                <w:color w:val="007BC7"/>
                <w:sz w:val="18"/>
                <w:szCs w:val="18"/>
                <w:lang w:val="nl-NL" w:eastAsia="en-US"/>
              </w:rPr>
            </w:pPr>
            <w:r w:rsidRPr="00DE4A5E">
              <w:rPr>
                <w:rFonts w:ascii="Verdana" w:hAnsi="Verdana" w:eastAsia="Calibri" w:cs="Arial"/>
                <w:b/>
                <w:color w:val="007BC7"/>
                <w:sz w:val="18"/>
                <w:szCs w:val="18"/>
                <w:lang w:val="nl-NL" w:eastAsia="en-US"/>
              </w:rPr>
              <w:t>X</w:t>
            </w:r>
          </w:p>
        </w:tc>
        <w:tc>
          <w:tcPr>
            <w:tcW w:w="355" w:type="dxa"/>
            <w:gridSpan w:val="3"/>
            <w:shd w:val="clear" w:color="auto" w:fill="BFBFBF"/>
            <w:vAlign w:val="center"/>
          </w:tcPr>
          <w:p w:rsidRPr="00DE4A5E" w:rsidR="00BF75B4" w:rsidP="00BF75B4" w:rsidRDefault="00BF75B4" w14:paraId="01239BC3" w14:textId="77777777">
            <w:pPr>
              <w:spacing w:line="276" w:lineRule="auto"/>
              <w:ind w:firstLine="0"/>
              <w:jc w:val="center"/>
              <w:rPr>
                <w:rFonts w:ascii="Verdana" w:hAnsi="Verdana" w:eastAsia="Calibri" w:cs="Arial"/>
                <w:b/>
                <w:color w:val="007BC7"/>
                <w:sz w:val="18"/>
                <w:szCs w:val="18"/>
                <w:lang w:val="nl-NL" w:eastAsia="en-US"/>
              </w:rPr>
            </w:pPr>
          </w:p>
        </w:tc>
        <w:tc>
          <w:tcPr>
            <w:tcW w:w="428" w:type="dxa"/>
            <w:gridSpan w:val="2"/>
            <w:shd w:val="clear" w:color="auto" w:fill="BFBFBF"/>
            <w:vAlign w:val="center"/>
          </w:tcPr>
          <w:p w:rsidRPr="00DE4A5E" w:rsidR="00BF75B4" w:rsidP="00BF75B4" w:rsidRDefault="00BF75B4" w14:paraId="4E1B3279" w14:textId="77777777">
            <w:pPr>
              <w:spacing w:line="276" w:lineRule="auto"/>
              <w:ind w:firstLine="0"/>
              <w:jc w:val="center"/>
              <w:rPr>
                <w:rFonts w:ascii="Verdana" w:hAnsi="Verdana" w:eastAsia="Calibri" w:cs="Arial"/>
                <w:b/>
                <w:color w:val="007BC7"/>
                <w:sz w:val="18"/>
                <w:szCs w:val="18"/>
                <w:lang w:val="nl-NL" w:eastAsia="en-US"/>
              </w:rPr>
            </w:pPr>
          </w:p>
        </w:tc>
        <w:tc>
          <w:tcPr>
            <w:tcW w:w="433" w:type="dxa"/>
            <w:gridSpan w:val="2"/>
            <w:shd w:val="clear" w:color="auto" w:fill="BFBFBF"/>
            <w:vAlign w:val="center"/>
          </w:tcPr>
          <w:p w:rsidRPr="00DE4A5E" w:rsidR="00BF75B4" w:rsidP="00BF75B4" w:rsidRDefault="00BF75B4" w14:paraId="046C335D" w14:textId="77777777">
            <w:pPr>
              <w:spacing w:line="276" w:lineRule="auto"/>
              <w:ind w:firstLine="0"/>
              <w:jc w:val="center"/>
              <w:rPr>
                <w:rFonts w:ascii="Verdana" w:hAnsi="Verdana" w:eastAsia="Calibri" w:cs="Arial"/>
                <w:b/>
                <w:color w:val="007BC7"/>
                <w:sz w:val="18"/>
                <w:szCs w:val="18"/>
                <w:lang w:val="nl-NL" w:eastAsia="en-US"/>
              </w:rPr>
            </w:pPr>
          </w:p>
        </w:tc>
        <w:tc>
          <w:tcPr>
            <w:tcW w:w="559" w:type="dxa"/>
            <w:shd w:val="clear" w:color="auto" w:fill="BFBFBF"/>
            <w:vAlign w:val="center"/>
          </w:tcPr>
          <w:p w:rsidRPr="00DE4A5E" w:rsidR="00BF75B4" w:rsidP="00BF75B4" w:rsidRDefault="00BF75B4" w14:paraId="45FB28D6" w14:textId="77777777">
            <w:pPr>
              <w:spacing w:line="276" w:lineRule="auto"/>
              <w:ind w:firstLine="0"/>
              <w:rPr>
                <w:rFonts w:ascii="Verdana" w:hAnsi="Verdana" w:eastAsia="Calibri" w:cs="Arial"/>
                <w:sz w:val="18"/>
                <w:szCs w:val="18"/>
                <w:lang w:val="nl-NL" w:eastAsia="en-US"/>
              </w:rPr>
            </w:pPr>
            <w:r w:rsidRPr="00DE4A5E">
              <w:rPr>
                <w:rFonts w:ascii="Verdana" w:hAnsi="Verdana" w:eastAsia="Calibri" w:cs="Arial"/>
                <w:sz w:val="18"/>
                <w:szCs w:val="18"/>
                <w:lang w:val="nl-NL" w:eastAsia="en-US"/>
              </w:rPr>
              <w:t>II.10</w:t>
            </w:r>
          </w:p>
        </w:tc>
      </w:tr>
      <w:tr w:rsidRPr="00DE4A5E" w:rsidR="00BF75B4" w:rsidTr="00E80A06" w14:paraId="14563E9C" w14:textId="77777777">
        <w:trPr>
          <w:trHeight w:val="255"/>
        </w:trPr>
        <w:tc>
          <w:tcPr>
            <w:tcW w:w="693" w:type="dxa"/>
            <w:shd w:val="clear" w:color="auto" w:fill="BFBFBF"/>
            <w:vAlign w:val="center"/>
          </w:tcPr>
          <w:p w:rsidRPr="00DE4A5E" w:rsidR="00BF75B4" w:rsidP="00BF75B4" w:rsidRDefault="00BF75B4" w14:paraId="5DFF568E" w14:textId="77777777">
            <w:pPr>
              <w:spacing w:line="276" w:lineRule="auto"/>
              <w:ind w:firstLine="0"/>
              <w:jc w:val="right"/>
              <w:rPr>
                <w:rFonts w:ascii="Verdana" w:hAnsi="Verdana" w:eastAsia="Calibri" w:cs="Arial"/>
                <w:sz w:val="18"/>
                <w:szCs w:val="18"/>
                <w:lang w:val="nl-NL" w:eastAsia="en-US"/>
              </w:rPr>
            </w:pPr>
            <w:r w:rsidRPr="00DE4A5E">
              <w:rPr>
                <w:rFonts w:ascii="Verdana" w:hAnsi="Verdana" w:eastAsia="Calibri" w:cs="Arial"/>
                <w:sz w:val="18"/>
                <w:szCs w:val="18"/>
                <w:lang w:val="nl-NL" w:eastAsia="en-US"/>
              </w:rPr>
              <w:t>2.8.1</w:t>
            </w:r>
          </w:p>
        </w:tc>
        <w:tc>
          <w:tcPr>
            <w:tcW w:w="6352" w:type="dxa"/>
            <w:gridSpan w:val="2"/>
            <w:shd w:val="clear" w:color="auto" w:fill="007BC7"/>
            <w:vAlign w:val="center"/>
          </w:tcPr>
          <w:p w:rsidRPr="00DE4A5E" w:rsidR="00BF75B4" w:rsidP="00BF75B4" w:rsidRDefault="00BF75B4" w14:paraId="27A8730F" w14:textId="77777777">
            <w:pPr>
              <w:spacing w:line="276" w:lineRule="auto"/>
              <w:ind w:firstLine="0"/>
              <w:rPr>
                <w:rFonts w:ascii="Verdana" w:hAnsi="Verdana" w:eastAsia="Calibri" w:cs="Arial"/>
                <w:color w:val="FFFFFF"/>
                <w:sz w:val="18"/>
                <w:szCs w:val="18"/>
                <w:lang w:val="nl-NL" w:eastAsia="en-US"/>
              </w:rPr>
            </w:pPr>
            <w:r w:rsidRPr="00DE4A5E">
              <w:rPr>
                <w:rFonts w:ascii="Verdana" w:hAnsi="Verdana" w:eastAsia="Calibri" w:cs="Arial"/>
                <w:color w:val="FFFFFF"/>
                <w:sz w:val="18"/>
                <w:szCs w:val="18"/>
                <w:lang w:val="nl-NL" w:eastAsia="en-US"/>
              </w:rPr>
              <w:t>Uitsluitende woonstaatheffing interest &amp; royalty’s</w:t>
            </w:r>
          </w:p>
        </w:tc>
        <w:tc>
          <w:tcPr>
            <w:tcW w:w="356" w:type="dxa"/>
            <w:gridSpan w:val="5"/>
            <w:shd w:val="clear" w:color="auto" w:fill="BFBFBF"/>
            <w:vAlign w:val="center"/>
          </w:tcPr>
          <w:p w:rsidRPr="00DE4A5E" w:rsidR="00BF75B4" w:rsidP="00BF75B4" w:rsidRDefault="00BF75B4" w14:paraId="0452C864" w14:textId="77777777">
            <w:pPr>
              <w:spacing w:line="276" w:lineRule="auto"/>
              <w:ind w:firstLine="0"/>
              <w:jc w:val="center"/>
              <w:rPr>
                <w:rFonts w:ascii="Verdana" w:hAnsi="Verdana" w:eastAsia="Calibri" w:cs="Arial"/>
                <w:b/>
                <w:color w:val="007BC7"/>
                <w:sz w:val="18"/>
                <w:szCs w:val="18"/>
                <w:lang w:val="nl-NL" w:eastAsia="en-US"/>
              </w:rPr>
            </w:pPr>
          </w:p>
        </w:tc>
        <w:tc>
          <w:tcPr>
            <w:tcW w:w="355" w:type="dxa"/>
            <w:gridSpan w:val="3"/>
            <w:shd w:val="clear" w:color="auto" w:fill="BFBFBF"/>
            <w:vAlign w:val="center"/>
          </w:tcPr>
          <w:p w:rsidRPr="00DE4A5E" w:rsidR="00BF75B4" w:rsidP="00BF75B4" w:rsidRDefault="00BF75B4" w14:paraId="76DE51CE" w14:textId="77777777">
            <w:pPr>
              <w:spacing w:line="276" w:lineRule="auto"/>
              <w:ind w:firstLine="0"/>
              <w:jc w:val="center"/>
              <w:rPr>
                <w:rFonts w:ascii="Verdana" w:hAnsi="Verdana" w:eastAsia="Calibri" w:cs="Arial"/>
                <w:b/>
                <w:color w:val="007BC7"/>
                <w:sz w:val="18"/>
                <w:szCs w:val="18"/>
                <w:lang w:val="nl-NL" w:eastAsia="en-US"/>
              </w:rPr>
            </w:pPr>
          </w:p>
        </w:tc>
        <w:tc>
          <w:tcPr>
            <w:tcW w:w="428" w:type="dxa"/>
            <w:gridSpan w:val="2"/>
            <w:shd w:val="clear" w:color="auto" w:fill="BFBFBF"/>
            <w:vAlign w:val="center"/>
          </w:tcPr>
          <w:p w:rsidRPr="00DE4A5E" w:rsidR="00BF75B4" w:rsidP="00BF75B4" w:rsidRDefault="00BF75B4" w14:paraId="49F555DB" w14:textId="77777777">
            <w:pPr>
              <w:spacing w:line="276" w:lineRule="auto"/>
              <w:ind w:firstLine="0"/>
              <w:jc w:val="center"/>
              <w:rPr>
                <w:rFonts w:ascii="Verdana" w:hAnsi="Verdana" w:eastAsia="Calibri" w:cs="Arial"/>
                <w:b/>
                <w:color w:val="007BC7"/>
                <w:sz w:val="18"/>
                <w:szCs w:val="18"/>
                <w:lang w:val="nl-NL" w:eastAsia="en-US"/>
              </w:rPr>
            </w:pPr>
            <w:r w:rsidRPr="00DE4A5E">
              <w:rPr>
                <w:rFonts w:ascii="Verdana" w:hAnsi="Verdana" w:eastAsia="Calibri" w:cs="Arial"/>
                <w:b/>
                <w:color w:val="007BC7"/>
                <w:sz w:val="18"/>
                <w:szCs w:val="18"/>
                <w:lang w:val="nl-NL" w:eastAsia="en-US"/>
              </w:rPr>
              <w:t>X</w:t>
            </w:r>
          </w:p>
        </w:tc>
        <w:tc>
          <w:tcPr>
            <w:tcW w:w="433" w:type="dxa"/>
            <w:gridSpan w:val="2"/>
            <w:shd w:val="clear" w:color="auto" w:fill="BFBFBF"/>
            <w:vAlign w:val="center"/>
          </w:tcPr>
          <w:p w:rsidRPr="00DE4A5E" w:rsidR="00BF75B4" w:rsidP="00BF75B4" w:rsidRDefault="00BF75B4" w14:paraId="63EB7C83" w14:textId="77777777">
            <w:pPr>
              <w:spacing w:line="276" w:lineRule="auto"/>
              <w:ind w:firstLine="0"/>
              <w:jc w:val="center"/>
              <w:rPr>
                <w:rFonts w:ascii="Verdana" w:hAnsi="Verdana" w:eastAsia="Calibri" w:cs="Arial"/>
                <w:b/>
                <w:color w:val="007BC7"/>
                <w:sz w:val="18"/>
                <w:szCs w:val="18"/>
                <w:lang w:val="nl-NL" w:eastAsia="en-US"/>
              </w:rPr>
            </w:pPr>
          </w:p>
        </w:tc>
        <w:tc>
          <w:tcPr>
            <w:tcW w:w="559" w:type="dxa"/>
            <w:shd w:val="clear" w:color="auto" w:fill="BFBFBF"/>
            <w:vAlign w:val="center"/>
          </w:tcPr>
          <w:p w:rsidRPr="00DE4A5E" w:rsidR="00BF75B4" w:rsidP="00BF75B4" w:rsidRDefault="00BF75B4" w14:paraId="5C149224" w14:textId="77777777">
            <w:pPr>
              <w:spacing w:line="276" w:lineRule="auto"/>
              <w:ind w:firstLine="0"/>
              <w:rPr>
                <w:rFonts w:ascii="Verdana" w:hAnsi="Verdana" w:eastAsia="Calibri" w:cs="Arial"/>
                <w:sz w:val="18"/>
                <w:szCs w:val="18"/>
                <w:lang w:val="nl-NL" w:eastAsia="en-US"/>
              </w:rPr>
            </w:pPr>
            <w:r w:rsidRPr="00DE4A5E">
              <w:rPr>
                <w:rFonts w:ascii="Verdana" w:hAnsi="Verdana" w:eastAsia="Calibri" w:cs="Arial"/>
                <w:sz w:val="18"/>
                <w:szCs w:val="18"/>
                <w:lang w:val="nl-NL" w:eastAsia="en-US"/>
              </w:rPr>
              <w:t>II.11</w:t>
            </w:r>
          </w:p>
          <w:p w:rsidRPr="00DE4A5E" w:rsidR="00BF75B4" w:rsidP="00BF75B4" w:rsidRDefault="00BF75B4" w14:paraId="1C376624" w14:textId="77777777">
            <w:pPr>
              <w:spacing w:line="276" w:lineRule="auto"/>
              <w:ind w:firstLine="0"/>
              <w:rPr>
                <w:rFonts w:ascii="Verdana" w:hAnsi="Verdana" w:eastAsia="Calibri" w:cs="Arial"/>
                <w:sz w:val="18"/>
                <w:szCs w:val="18"/>
                <w:lang w:val="nl-NL" w:eastAsia="en-US"/>
              </w:rPr>
            </w:pPr>
            <w:r w:rsidRPr="00DE4A5E">
              <w:rPr>
                <w:rFonts w:ascii="Verdana" w:hAnsi="Verdana" w:eastAsia="Calibri" w:cs="Arial"/>
                <w:sz w:val="18"/>
                <w:szCs w:val="18"/>
                <w:lang w:val="nl-NL" w:eastAsia="en-US"/>
              </w:rPr>
              <w:lastRenderedPageBreak/>
              <w:t>II.12</w:t>
            </w:r>
          </w:p>
        </w:tc>
      </w:tr>
      <w:tr w:rsidRPr="00DE4A5E" w:rsidR="00BF75B4" w:rsidTr="00E80A06" w14:paraId="3D13EB0F" w14:textId="77777777">
        <w:trPr>
          <w:trHeight w:val="255"/>
        </w:trPr>
        <w:tc>
          <w:tcPr>
            <w:tcW w:w="693" w:type="dxa"/>
            <w:shd w:val="clear" w:color="auto" w:fill="BFBFBF"/>
            <w:vAlign w:val="center"/>
          </w:tcPr>
          <w:p w:rsidRPr="00DE4A5E" w:rsidR="00BF75B4" w:rsidP="00BF75B4" w:rsidRDefault="00BF75B4" w14:paraId="4BAC9DBE" w14:textId="77777777">
            <w:pPr>
              <w:spacing w:line="276" w:lineRule="auto"/>
              <w:ind w:firstLine="0"/>
              <w:jc w:val="right"/>
              <w:rPr>
                <w:rFonts w:ascii="Verdana" w:hAnsi="Verdana" w:eastAsia="Calibri" w:cs="Arial"/>
                <w:sz w:val="18"/>
                <w:szCs w:val="18"/>
                <w:lang w:val="nl-NL" w:eastAsia="en-US"/>
              </w:rPr>
            </w:pPr>
            <w:r w:rsidRPr="00DE4A5E">
              <w:rPr>
                <w:rFonts w:ascii="Verdana" w:hAnsi="Verdana" w:eastAsia="Calibri" w:cs="Arial"/>
                <w:sz w:val="18"/>
                <w:szCs w:val="18"/>
                <w:lang w:val="nl-NL" w:eastAsia="en-US"/>
              </w:rPr>
              <w:lastRenderedPageBreak/>
              <w:t>2.8.1</w:t>
            </w:r>
          </w:p>
        </w:tc>
        <w:tc>
          <w:tcPr>
            <w:tcW w:w="1350" w:type="dxa"/>
            <w:shd w:val="clear" w:color="auto" w:fill="BFBFBF"/>
            <w:vAlign w:val="center"/>
          </w:tcPr>
          <w:p w:rsidRPr="00DE4A5E" w:rsidR="00BF75B4" w:rsidP="00BF75B4" w:rsidRDefault="00BF75B4" w14:paraId="382C6F45" w14:textId="77777777">
            <w:pPr>
              <w:spacing w:line="276" w:lineRule="auto"/>
              <w:ind w:firstLine="0"/>
              <w:rPr>
                <w:rFonts w:ascii="Verdana" w:hAnsi="Verdana" w:cs="Arial"/>
                <w:color w:val="000000"/>
                <w:sz w:val="18"/>
                <w:szCs w:val="18"/>
              </w:rPr>
            </w:pPr>
            <w:r w:rsidRPr="00DE4A5E">
              <w:rPr>
                <w:rFonts w:ascii="Verdana" w:hAnsi="Verdana" w:eastAsia="Calibri" w:cs="Arial"/>
                <w:color w:val="000000"/>
                <w:sz w:val="18"/>
                <w:szCs w:val="18"/>
                <w:lang w:val="nl-NL" w:eastAsia="en-US"/>
              </w:rPr>
              <w:t>Terugvaloptie:</w:t>
            </w:r>
          </w:p>
        </w:tc>
        <w:tc>
          <w:tcPr>
            <w:tcW w:w="5002" w:type="dxa"/>
            <w:shd w:val="clear" w:color="auto" w:fill="007BC7"/>
            <w:vAlign w:val="center"/>
          </w:tcPr>
          <w:p w:rsidRPr="00DE4A5E" w:rsidR="00BF75B4" w:rsidP="00BF75B4" w:rsidRDefault="00BF75B4" w14:paraId="1BB57D77" w14:textId="77777777">
            <w:pPr>
              <w:spacing w:line="276" w:lineRule="auto"/>
              <w:ind w:firstLine="0"/>
              <w:rPr>
                <w:rFonts w:ascii="Verdana" w:hAnsi="Verdana" w:cs="Arial"/>
                <w:color w:val="FFFFFF"/>
                <w:sz w:val="18"/>
                <w:szCs w:val="18"/>
              </w:rPr>
            </w:pPr>
            <w:r w:rsidRPr="00DE4A5E">
              <w:rPr>
                <w:rFonts w:ascii="Verdana" w:hAnsi="Verdana" w:eastAsia="Calibri" w:cs="Arial"/>
                <w:color w:val="FFFFFF"/>
                <w:sz w:val="18"/>
                <w:szCs w:val="18"/>
                <w:lang w:val="nl-NL" w:eastAsia="en-US"/>
              </w:rPr>
              <w:t>Uitzonderingen bronheffingsrecht</w:t>
            </w:r>
          </w:p>
        </w:tc>
        <w:tc>
          <w:tcPr>
            <w:tcW w:w="356" w:type="dxa"/>
            <w:gridSpan w:val="5"/>
            <w:shd w:val="clear" w:color="auto" w:fill="BFBFBF"/>
            <w:vAlign w:val="center"/>
          </w:tcPr>
          <w:p w:rsidRPr="00DE4A5E" w:rsidR="00BF75B4" w:rsidP="00BF75B4" w:rsidRDefault="00BF75B4" w14:paraId="1C9AF814" w14:textId="77777777">
            <w:pPr>
              <w:spacing w:line="276" w:lineRule="auto"/>
              <w:ind w:firstLine="0"/>
              <w:jc w:val="center"/>
              <w:rPr>
                <w:rFonts w:ascii="Verdana" w:hAnsi="Verdana" w:eastAsia="Calibri" w:cs="Arial"/>
                <w:b/>
                <w:color w:val="007BC7"/>
                <w:sz w:val="18"/>
                <w:szCs w:val="18"/>
                <w:lang w:val="nl-NL" w:eastAsia="en-US"/>
              </w:rPr>
            </w:pPr>
            <w:r w:rsidRPr="00DE4A5E">
              <w:rPr>
                <w:rFonts w:ascii="Verdana" w:hAnsi="Verdana" w:eastAsia="Calibri" w:cs="Arial"/>
                <w:b/>
                <w:color w:val="007BC7"/>
                <w:sz w:val="18"/>
                <w:szCs w:val="18"/>
                <w:lang w:val="nl-NL" w:eastAsia="en-US"/>
              </w:rPr>
              <w:t>X</w:t>
            </w:r>
          </w:p>
        </w:tc>
        <w:tc>
          <w:tcPr>
            <w:tcW w:w="355" w:type="dxa"/>
            <w:gridSpan w:val="3"/>
            <w:shd w:val="clear" w:color="auto" w:fill="BFBFBF"/>
            <w:vAlign w:val="center"/>
          </w:tcPr>
          <w:p w:rsidRPr="00DE4A5E" w:rsidR="00BF75B4" w:rsidP="00BF75B4" w:rsidRDefault="00BF75B4" w14:paraId="002BD370" w14:textId="77777777">
            <w:pPr>
              <w:spacing w:line="276" w:lineRule="auto"/>
              <w:ind w:firstLine="0"/>
              <w:jc w:val="center"/>
              <w:rPr>
                <w:rFonts w:ascii="Verdana" w:hAnsi="Verdana" w:eastAsia="Calibri" w:cs="Arial"/>
                <w:b/>
                <w:color w:val="007BC7"/>
                <w:sz w:val="18"/>
                <w:szCs w:val="18"/>
                <w:lang w:val="nl-NL" w:eastAsia="en-US"/>
              </w:rPr>
            </w:pPr>
          </w:p>
        </w:tc>
        <w:tc>
          <w:tcPr>
            <w:tcW w:w="428" w:type="dxa"/>
            <w:gridSpan w:val="2"/>
            <w:shd w:val="clear" w:color="auto" w:fill="BFBFBF"/>
            <w:vAlign w:val="center"/>
          </w:tcPr>
          <w:p w:rsidRPr="00DE4A5E" w:rsidR="00BF75B4" w:rsidP="00BF75B4" w:rsidRDefault="00BF75B4" w14:paraId="2C5B1DB2" w14:textId="77777777">
            <w:pPr>
              <w:spacing w:line="276" w:lineRule="auto"/>
              <w:ind w:firstLine="0"/>
              <w:jc w:val="center"/>
              <w:rPr>
                <w:rFonts w:ascii="Verdana" w:hAnsi="Verdana" w:eastAsia="Calibri" w:cs="Arial"/>
                <w:b/>
                <w:color w:val="007BC7"/>
                <w:sz w:val="18"/>
                <w:szCs w:val="18"/>
                <w:lang w:val="nl-NL" w:eastAsia="en-US"/>
              </w:rPr>
            </w:pPr>
          </w:p>
        </w:tc>
        <w:tc>
          <w:tcPr>
            <w:tcW w:w="433" w:type="dxa"/>
            <w:gridSpan w:val="2"/>
            <w:shd w:val="clear" w:color="auto" w:fill="BFBFBF"/>
            <w:vAlign w:val="center"/>
          </w:tcPr>
          <w:p w:rsidRPr="00DE4A5E" w:rsidR="00BF75B4" w:rsidP="00BF75B4" w:rsidRDefault="00BF75B4" w14:paraId="3E8EFD5F" w14:textId="77777777">
            <w:pPr>
              <w:spacing w:line="276" w:lineRule="auto"/>
              <w:ind w:firstLine="0"/>
              <w:jc w:val="center"/>
              <w:rPr>
                <w:rFonts w:ascii="Verdana" w:hAnsi="Verdana" w:eastAsia="Calibri" w:cs="Arial"/>
                <w:b/>
                <w:color w:val="007BC7"/>
                <w:sz w:val="18"/>
                <w:szCs w:val="18"/>
                <w:lang w:val="nl-NL" w:eastAsia="en-US"/>
              </w:rPr>
            </w:pPr>
          </w:p>
        </w:tc>
        <w:tc>
          <w:tcPr>
            <w:tcW w:w="559" w:type="dxa"/>
            <w:shd w:val="clear" w:color="auto" w:fill="BFBFBF"/>
            <w:vAlign w:val="center"/>
          </w:tcPr>
          <w:p w:rsidRPr="00DE4A5E" w:rsidR="00BF75B4" w:rsidP="00BF75B4" w:rsidRDefault="00BF75B4" w14:paraId="0E9B0739" w14:textId="77777777">
            <w:pPr>
              <w:spacing w:line="276" w:lineRule="auto"/>
              <w:ind w:firstLine="0"/>
              <w:rPr>
                <w:rFonts w:ascii="Verdana" w:hAnsi="Verdana" w:eastAsia="Calibri" w:cs="Arial"/>
                <w:sz w:val="18"/>
                <w:szCs w:val="18"/>
                <w:lang w:val="nl-NL" w:eastAsia="en-US"/>
              </w:rPr>
            </w:pPr>
            <w:r w:rsidRPr="00DE4A5E">
              <w:rPr>
                <w:rFonts w:ascii="Verdana" w:hAnsi="Verdana" w:eastAsia="Calibri" w:cs="Arial"/>
                <w:sz w:val="18"/>
                <w:szCs w:val="18"/>
                <w:lang w:val="nl-NL" w:eastAsia="en-US"/>
              </w:rPr>
              <w:t>II.11</w:t>
            </w:r>
          </w:p>
          <w:p w:rsidRPr="00DE4A5E" w:rsidR="00BF75B4" w:rsidP="00BF75B4" w:rsidRDefault="00BF75B4" w14:paraId="6C70C3C9" w14:textId="77777777">
            <w:pPr>
              <w:spacing w:line="276" w:lineRule="auto"/>
              <w:ind w:firstLine="0"/>
              <w:rPr>
                <w:rFonts w:ascii="Verdana" w:hAnsi="Verdana" w:eastAsia="Calibri" w:cs="Arial"/>
                <w:sz w:val="18"/>
                <w:szCs w:val="18"/>
                <w:lang w:val="nl-NL" w:eastAsia="en-US"/>
              </w:rPr>
            </w:pPr>
            <w:r w:rsidRPr="00DE4A5E">
              <w:rPr>
                <w:rFonts w:ascii="Verdana" w:hAnsi="Verdana" w:eastAsia="Calibri" w:cs="Arial"/>
                <w:sz w:val="18"/>
                <w:szCs w:val="18"/>
                <w:lang w:val="nl-NL" w:eastAsia="en-US"/>
              </w:rPr>
              <w:t>II.12</w:t>
            </w:r>
          </w:p>
        </w:tc>
      </w:tr>
      <w:tr w:rsidRPr="00DE4A5E" w:rsidR="00BF75B4" w:rsidTr="00E80A06" w14:paraId="205A7F79" w14:textId="77777777">
        <w:trPr>
          <w:trHeight w:val="255"/>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402D6DCC" w14:textId="77777777">
            <w:pPr>
              <w:spacing w:line="276" w:lineRule="auto"/>
              <w:ind w:firstLine="0"/>
              <w:jc w:val="right"/>
              <w:rPr>
                <w:rFonts w:ascii="Verdana" w:hAnsi="Verdana" w:eastAsia="Calibri" w:cs="Arial"/>
                <w:sz w:val="18"/>
                <w:szCs w:val="18"/>
                <w:lang w:val="nl-NL" w:eastAsia="en-US"/>
              </w:rPr>
            </w:pPr>
            <w:r w:rsidRPr="00DE4A5E">
              <w:rPr>
                <w:rFonts w:ascii="Verdana" w:hAnsi="Verdana" w:eastAsia="Calibri" w:cs="Arial"/>
                <w:sz w:val="18"/>
                <w:szCs w:val="18"/>
                <w:lang w:val="nl-NL" w:eastAsia="en-US"/>
              </w:rPr>
              <w:t>2.9.3</w:t>
            </w:r>
          </w:p>
        </w:tc>
        <w:tc>
          <w:tcPr>
            <w:tcW w:w="6352" w:type="dxa"/>
            <w:gridSpan w:val="2"/>
            <w:tcBorders>
              <w:top w:val="single" w:color="FFFFFF" w:sz="12" w:space="0"/>
              <w:left w:val="single" w:color="FFFFFF" w:sz="12" w:space="0"/>
              <w:bottom w:val="single" w:color="FFFFFF" w:sz="12" w:space="0"/>
              <w:right w:val="single" w:color="FFFFFF" w:sz="12" w:space="0"/>
            </w:tcBorders>
            <w:shd w:val="clear" w:color="auto" w:fill="007BC7"/>
            <w:vAlign w:val="center"/>
          </w:tcPr>
          <w:p w:rsidRPr="00DE4A5E" w:rsidR="00BF75B4" w:rsidP="00BF75B4" w:rsidRDefault="00BF75B4" w14:paraId="29DA12A9" w14:textId="77777777">
            <w:pPr>
              <w:spacing w:line="276" w:lineRule="auto"/>
              <w:ind w:firstLine="0"/>
              <w:rPr>
                <w:rFonts w:ascii="Verdana" w:hAnsi="Verdana" w:eastAsia="Calibri" w:cs="Arial"/>
                <w:color w:val="FFFFFF"/>
                <w:sz w:val="18"/>
                <w:szCs w:val="18"/>
                <w:lang w:val="nl-NL" w:eastAsia="en-US"/>
              </w:rPr>
            </w:pPr>
            <w:r w:rsidRPr="00DE4A5E">
              <w:rPr>
                <w:rFonts w:ascii="Verdana" w:hAnsi="Verdana" w:eastAsia="Calibri" w:cs="Arial"/>
                <w:color w:val="FFFFFF"/>
                <w:sz w:val="18"/>
                <w:szCs w:val="18"/>
                <w:lang w:val="nl-NL" w:eastAsia="en-US"/>
              </w:rPr>
              <w:t>Aanmerkelijkbelangvoorbehoud opgenomen</w:t>
            </w:r>
          </w:p>
        </w:tc>
        <w:tc>
          <w:tcPr>
            <w:tcW w:w="356"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2E0AB849" w14:textId="77777777">
            <w:pPr>
              <w:spacing w:line="276" w:lineRule="auto"/>
              <w:ind w:firstLine="0"/>
              <w:jc w:val="center"/>
              <w:rPr>
                <w:rFonts w:ascii="Verdana" w:hAnsi="Verdana" w:eastAsia="Calibri" w:cs="Arial"/>
                <w:b/>
                <w:color w:val="007BC7"/>
                <w:sz w:val="18"/>
                <w:szCs w:val="18"/>
                <w:lang w:val="nl-NL" w:eastAsia="en-US"/>
              </w:rPr>
            </w:pPr>
            <w:r w:rsidRPr="00DE4A5E">
              <w:rPr>
                <w:rFonts w:ascii="Verdana" w:hAnsi="Verdana" w:eastAsia="Calibri" w:cs="Arial"/>
                <w:b/>
                <w:color w:val="007BC7"/>
                <w:sz w:val="18"/>
                <w:szCs w:val="18"/>
                <w:lang w:val="nl-NL" w:eastAsia="en-US"/>
              </w:rPr>
              <w:t>X</w:t>
            </w:r>
          </w:p>
        </w:tc>
        <w:tc>
          <w:tcPr>
            <w:tcW w:w="355"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6C4C88A8" w14:textId="77777777">
            <w:pPr>
              <w:spacing w:line="276" w:lineRule="auto"/>
              <w:ind w:firstLine="0"/>
              <w:jc w:val="center"/>
              <w:rPr>
                <w:rFonts w:ascii="Verdana" w:hAnsi="Verdana" w:eastAsia="Calibri" w:cs="Arial"/>
                <w:b/>
                <w:color w:val="007BC7"/>
                <w:sz w:val="18"/>
                <w:szCs w:val="18"/>
                <w:lang w:val="nl-NL" w:eastAsia="en-US"/>
              </w:rPr>
            </w:pPr>
          </w:p>
        </w:tc>
        <w:tc>
          <w:tcPr>
            <w:tcW w:w="428"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4F238174" w14:textId="77777777">
            <w:pPr>
              <w:spacing w:line="276" w:lineRule="auto"/>
              <w:ind w:firstLine="0"/>
              <w:jc w:val="center"/>
              <w:rPr>
                <w:rFonts w:ascii="Verdana" w:hAnsi="Verdana" w:eastAsia="Calibri" w:cs="Arial"/>
                <w:b/>
                <w:color w:val="007BC7"/>
                <w:sz w:val="18"/>
                <w:szCs w:val="18"/>
                <w:lang w:val="nl-NL" w:eastAsia="en-US"/>
              </w:rPr>
            </w:pPr>
          </w:p>
        </w:tc>
        <w:tc>
          <w:tcPr>
            <w:tcW w:w="433"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202A12B0" w14:textId="77777777">
            <w:pPr>
              <w:spacing w:line="276" w:lineRule="auto"/>
              <w:ind w:firstLine="0"/>
              <w:jc w:val="center"/>
              <w:rPr>
                <w:rFonts w:ascii="Verdana" w:hAnsi="Verdana" w:eastAsia="Calibri" w:cs="Arial"/>
                <w:b/>
                <w:color w:val="007BC7"/>
                <w:sz w:val="18"/>
                <w:szCs w:val="18"/>
                <w:lang w:val="nl-NL" w:eastAsia="en-US"/>
              </w:rPr>
            </w:pP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091BB1B9" w14:textId="77777777">
            <w:pPr>
              <w:spacing w:line="276" w:lineRule="auto"/>
              <w:ind w:firstLine="0"/>
              <w:rPr>
                <w:rFonts w:ascii="Verdana" w:hAnsi="Verdana" w:eastAsia="Calibri" w:cs="Arial"/>
                <w:sz w:val="18"/>
                <w:szCs w:val="18"/>
                <w:lang w:val="nl-NL" w:eastAsia="en-US"/>
              </w:rPr>
            </w:pPr>
            <w:r w:rsidRPr="00DE4A5E">
              <w:rPr>
                <w:rFonts w:ascii="Verdana" w:hAnsi="Verdana" w:eastAsia="Calibri" w:cs="Arial"/>
                <w:sz w:val="18"/>
                <w:szCs w:val="18"/>
                <w:lang w:val="nl-NL" w:eastAsia="en-US"/>
              </w:rPr>
              <w:t>II.10</w:t>
            </w:r>
          </w:p>
          <w:p w:rsidRPr="00DE4A5E" w:rsidR="00BF75B4" w:rsidP="00BF75B4" w:rsidRDefault="00BF75B4" w14:paraId="067DBA23" w14:textId="77777777">
            <w:pPr>
              <w:spacing w:line="276" w:lineRule="auto"/>
              <w:ind w:firstLine="0"/>
              <w:rPr>
                <w:rFonts w:ascii="Verdana" w:hAnsi="Verdana" w:eastAsia="Calibri" w:cs="Arial"/>
                <w:sz w:val="18"/>
                <w:szCs w:val="18"/>
                <w:lang w:val="nl-NL" w:eastAsia="en-US"/>
              </w:rPr>
            </w:pPr>
            <w:r w:rsidRPr="00DE4A5E">
              <w:rPr>
                <w:rFonts w:ascii="Verdana" w:hAnsi="Verdana" w:eastAsia="Calibri" w:cs="Arial"/>
                <w:sz w:val="18"/>
                <w:szCs w:val="18"/>
                <w:lang w:val="nl-NL" w:eastAsia="en-US"/>
              </w:rPr>
              <w:t>II.13</w:t>
            </w:r>
          </w:p>
        </w:tc>
      </w:tr>
      <w:tr w:rsidRPr="00DE4A5E" w:rsidR="00BF75B4" w:rsidTr="00E80A06" w14:paraId="1473ECEF" w14:textId="77777777">
        <w:trPr>
          <w:trHeight w:val="255"/>
        </w:trPr>
        <w:tc>
          <w:tcPr>
            <w:tcW w:w="693" w:type="dxa"/>
            <w:shd w:val="clear" w:color="auto" w:fill="BFBFBF"/>
            <w:vAlign w:val="center"/>
          </w:tcPr>
          <w:p w:rsidRPr="00DE4A5E" w:rsidR="00BF75B4" w:rsidP="00BF75B4" w:rsidRDefault="00BF75B4" w14:paraId="4AD9059F" w14:textId="77777777">
            <w:pPr>
              <w:spacing w:line="276" w:lineRule="auto"/>
              <w:ind w:firstLine="0"/>
              <w:jc w:val="right"/>
              <w:rPr>
                <w:rFonts w:ascii="Verdana" w:hAnsi="Verdana" w:eastAsia="Calibri" w:cs="Arial"/>
                <w:sz w:val="18"/>
                <w:szCs w:val="18"/>
                <w:lang w:val="nl-NL" w:eastAsia="en-US"/>
              </w:rPr>
            </w:pPr>
            <w:r w:rsidRPr="00DE4A5E">
              <w:rPr>
                <w:rFonts w:ascii="Verdana" w:hAnsi="Verdana" w:eastAsia="Calibri" w:cs="Arial"/>
                <w:sz w:val="18"/>
                <w:szCs w:val="18"/>
                <w:lang w:val="nl-NL" w:eastAsia="en-US"/>
              </w:rPr>
              <w:t>2.9.3</w:t>
            </w:r>
          </w:p>
        </w:tc>
        <w:tc>
          <w:tcPr>
            <w:tcW w:w="1350" w:type="dxa"/>
            <w:shd w:val="clear" w:color="auto" w:fill="BFBFBF"/>
            <w:vAlign w:val="center"/>
          </w:tcPr>
          <w:p w:rsidRPr="00DE4A5E" w:rsidR="00BF75B4" w:rsidP="00BF75B4" w:rsidRDefault="00BF75B4" w14:paraId="02B9753D" w14:textId="77777777">
            <w:pPr>
              <w:spacing w:line="276" w:lineRule="auto"/>
              <w:ind w:firstLine="0"/>
              <w:rPr>
                <w:rFonts w:ascii="Verdana" w:hAnsi="Verdana" w:cs="Arial"/>
                <w:color w:val="000000"/>
                <w:sz w:val="18"/>
                <w:szCs w:val="18"/>
              </w:rPr>
            </w:pPr>
            <w:r w:rsidRPr="00DE4A5E">
              <w:rPr>
                <w:rFonts w:ascii="Verdana" w:hAnsi="Verdana" w:eastAsia="Calibri" w:cs="Arial"/>
                <w:color w:val="000000"/>
                <w:sz w:val="18"/>
                <w:szCs w:val="18"/>
                <w:lang w:val="nl-NL" w:eastAsia="en-US"/>
              </w:rPr>
              <w:t>Zo nodig:</w:t>
            </w:r>
          </w:p>
        </w:tc>
        <w:tc>
          <w:tcPr>
            <w:tcW w:w="5002" w:type="dxa"/>
            <w:shd w:val="clear" w:color="auto" w:fill="007BC7"/>
            <w:vAlign w:val="center"/>
          </w:tcPr>
          <w:p w:rsidRPr="00DE4A5E" w:rsidR="00BF75B4" w:rsidP="00BF75B4" w:rsidRDefault="00BF75B4" w14:paraId="1FD35BC9" w14:textId="77777777">
            <w:pPr>
              <w:spacing w:line="276" w:lineRule="auto"/>
              <w:ind w:firstLine="0"/>
              <w:rPr>
                <w:rFonts w:ascii="Verdana" w:hAnsi="Verdana" w:eastAsia="Calibri" w:cs="Arial"/>
                <w:color w:val="FFFFFF"/>
                <w:sz w:val="18"/>
                <w:szCs w:val="18"/>
                <w:lang w:val="nl-NL" w:eastAsia="en-US"/>
              </w:rPr>
            </w:pPr>
            <w:r w:rsidRPr="00DE4A5E">
              <w:rPr>
                <w:rFonts w:ascii="Verdana" w:hAnsi="Verdana" w:eastAsia="Calibri" w:cs="Arial"/>
                <w:color w:val="FFFFFF"/>
                <w:sz w:val="18"/>
                <w:szCs w:val="18"/>
                <w:lang w:val="nl-NL" w:eastAsia="en-US"/>
              </w:rPr>
              <w:t>Uitbreiding aanmerkelijkbelangvoorbehoud indien verdragspartner waardeaangroei niet belast</w:t>
            </w:r>
          </w:p>
        </w:tc>
        <w:tc>
          <w:tcPr>
            <w:tcW w:w="356" w:type="dxa"/>
            <w:gridSpan w:val="5"/>
            <w:shd w:val="clear" w:color="auto" w:fill="BFBFBF"/>
            <w:vAlign w:val="center"/>
          </w:tcPr>
          <w:p w:rsidRPr="00DE4A5E" w:rsidR="00BF75B4" w:rsidP="00BF75B4" w:rsidRDefault="00BF75B4" w14:paraId="0A74F176" w14:textId="77777777">
            <w:pPr>
              <w:spacing w:line="276" w:lineRule="auto"/>
              <w:ind w:firstLine="0"/>
              <w:jc w:val="center"/>
              <w:rPr>
                <w:rFonts w:ascii="Verdana" w:hAnsi="Verdana" w:eastAsia="Calibri" w:cs="Arial"/>
                <w:b/>
                <w:color w:val="007BC7"/>
                <w:sz w:val="18"/>
                <w:szCs w:val="18"/>
                <w:lang w:val="nl-NL" w:eastAsia="en-US"/>
              </w:rPr>
            </w:pPr>
          </w:p>
        </w:tc>
        <w:tc>
          <w:tcPr>
            <w:tcW w:w="355" w:type="dxa"/>
            <w:gridSpan w:val="3"/>
            <w:shd w:val="clear" w:color="auto" w:fill="BFBFBF"/>
            <w:vAlign w:val="center"/>
          </w:tcPr>
          <w:p w:rsidRPr="00DE4A5E" w:rsidR="00BF75B4" w:rsidP="00BF75B4" w:rsidRDefault="00BF75B4" w14:paraId="435FF244" w14:textId="77777777">
            <w:pPr>
              <w:spacing w:line="276" w:lineRule="auto"/>
              <w:ind w:firstLine="0"/>
              <w:jc w:val="center"/>
              <w:rPr>
                <w:rFonts w:ascii="Verdana" w:hAnsi="Verdana" w:eastAsia="Calibri" w:cs="Arial"/>
                <w:b/>
                <w:color w:val="007BC7"/>
                <w:sz w:val="18"/>
                <w:szCs w:val="18"/>
                <w:lang w:val="nl-NL" w:eastAsia="en-US"/>
              </w:rPr>
            </w:pPr>
          </w:p>
        </w:tc>
        <w:tc>
          <w:tcPr>
            <w:tcW w:w="428" w:type="dxa"/>
            <w:gridSpan w:val="2"/>
            <w:shd w:val="clear" w:color="auto" w:fill="BFBFBF"/>
            <w:vAlign w:val="center"/>
          </w:tcPr>
          <w:p w:rsidRPr="00DE4A5E" w:rsidR="00BF75B4" w:rsidP="00BF75B4" w:rsidRDefault="00BF75B4" w14:paraId="52DDEF99" w14:textId="77777777">
            <w:pPr>
              <w:spacing w:line="276" w:lineRule="auto"/>
              <w:ind w:firstLine="0"/>
              <w:jc w:val="center"/>
              <w:rPr>
                <w:rFonts w:ascii="Verdana" w:hAnsi="Verdana" w:eastAsia="Calibri" w:cs="Arial"/>
                <w:b/>
                <w:color w:val="007BC7"/>
                <w:sz w:val="18"/>
                <w:szCs w:val="18"/>
                <w:lang w:val="nl-NL" w:eastAsia="en-US"/>
              </w:rPr>
            </w:pPr>
          </w:p>
        </w:tc>
        <w:tc>
          <w:tcPr>
            <w:tcW w:w="433" w:type="dxa"/>
            <w:gridSpan w:val="2"/>
            <w:shd w:val="clear" w:color="auto" w:fill="BFBFBF"/>
            <w:vAlign w:val="center"/>
          </w:tcPr>
          <w:p w:rsidRPr="00DE4A5E" w:rsidR="00BF75B4" w:rsidP="00BF75B4" w:rsidRDefault="00BF75B4" w14:paraId="273D92B5" w14:textId="77777777">
            <w:pPr>
              <w:spacing w:line="276" w:lineRule="auto"/>
              <w:ind w:firstLine="0"/>
              <w:jc w:val="center"/>
              <w:rPr>
                <w:rFonts w:ascii="Verdana" w:hAnsi="Verdana" w:eastAsia="Calibri" w:cs="Arial"/>
                <w:b/>
                <w:color w:val="007BC7"/>
                <w:sz w:val="18"/>
                <w:szCs w:val="18"/>
                <w:lang w:val="nl-NL" w:eastAsia="en-US"/>
              </w:rPr>
            </w:pPr>
            <w:r w:rsidRPr="00DE4A5E">
              <w:rPr>
                <w:rFonts w:ascii="Verdana" w:hAnsi="Verdana" w:eastAsia="Calibri" w:cs="Arial"/>
                <w:b/>
                <w:color w:val="007BC7"/>
                <w:sz w:val="18"/>
                <w:szCs w:val="18"/>
                <w:lang w:val="nl-NL" w:eastAsia="en-US"/>
              </w:rPr>
              <w:t>X</w:t>
            </w:r>
          </w:p>
        </w:tc>
        <w:tc>
          <w:tcPr>
            <w:tcW w:w="559" w:type="dxa"/>
            <w:shd w:val="clear" w:color="auto" w:fill="BFBFBF"/>
            <w:vAlign w:val="center"/>
          </w:tcPr>
          <w:p w:rsidRPr="00DE4A5E" w:rsidR="00BF75B4" w:rsidP="00BF75B4" w:rsidRDefault="00BF75B4" w14:paraId="0031E03B" w14:textId="77777777">
            <w:pPr>
              <w:spacing w:line="276" w:lineRule="auto"/>
              <w:ind w:firstLine="0"/>
              <w:rPr>
                <w:rFonts w:ascii="Verdana" w:hAnsi="Verdana" w:eastAsia="Calibri" w:cs="Arial"/>
                <w:sz w:val="18"/>
                <w:szCs w:val="18"/>
                <w:lang w:val="nl-NL" w:eastAsia="en-US"/>
              </w:rPr>
            </w:pPr>
          </w:p>
        </w:tc>
      </w:tr>
      <w:tr w:rsidRPr="00DE4A5E" w:rsidR="00BF75B4" w:rsidTr="00E80A06" w14:paraId="6C7F87BA" w14:textId="77777777">
        <w:trPr>
          <w:trHeight w:val="255"/>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3E555AD4" w14:textId="77777777">
            <w:pPr>
              <w:spacing w:line="276" w:lineRule="auto"/>
              <w:ind w:firstLine="0"/>
              <w:jc w:val="right"/>
              <w:rPr>
                <w:rFonts w:ascii="Verdana" w:hAnsi="Verdana" w:eastAsia="Calibri" w:cs="Arial"/>
                <w:sz w:val="18"/>
                <w:szCs w:val="18"/>
                <w:lang w:val="nl-NL" w:eastAsia="en-US"/>
              </w:rPr>
            </w:pPr>
            <w:r w:rsidRPr="00DE4A5E">
              <w:rPr>
                <w:rFonts w:ascii="Verdana" w:hAnsi="Verdana" w:eastAsia="Calibri" w:cs="Arial"/>
                <w:sz w:val="18"/>
                <w:szCs w:val="18"/>
                <w:lang w:val="nl-NL" w:eastAsia="en-US"/>
              </w:rPr>
              <w:t>2.9.4</w:t>
            </w:r>
          </w:p>
        </w:tc>
        <w:tc>
          <w:tcPr>
            <w:tcW w:w="1350"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6B8A3C3A" w14:textId="77777777">
            <w:pPr>
              <w:spacing w:line="276" w:lineRule="auto"/>
              <w:ind w:firstLine="0"/>
              <w:rPr>
                <w:rFonts w:ascii="Verdana" w:hAnsi="Verdana" w:cs="Arial"/>
                <w:color w:val="000000"/>
                <w:sz w:val="18"/>
                <w:szCs w:val="18"/>
              </w:rPr>
            </w:pPr>
            <w:r w:rsidRPr="00DE4A5E">
              <w:rPr>
                <w:rFonts w:ascii="Verdana" w:hAnsi="Verdana" w:eastAsia="Calibri" w:cs="Arial"/>
                <w:color w:val="000000"/>
                <w:sz w:val="18"/>
                <w:szCs w:val="18"/>
                <w:lang w:val="nl-NL" w:eastAsia="en-US"/>
              </w:rPr>
              <w:t>Zo nodig:</w:t>
            </w:r>
          </w:p>
        </w:tc>
        <w:tc>
          <w:tcPr>
            <w:tcW w:w="5002" w:type="dxa"/>
            <w:tcBorders>
              <w:top w:val="single" w:color="FFFFFF" w:sz="12" w:space="0"/>
              <w:left w:val="single" w:color="FFFFFF" w:sz="12" w:space="0"/>
              <w:bottom w:val="single" w:color="FFFFFF" w:sz="12" w:space="0"/>
              <w:right w:val="single" w:color="FFFFFF" w:sz="12" w:space="0"/>
            </w:tcBorders>
            <w:shd w:val="clear" w:color="auto" w:fill="007BC7"/>
            <w:vAlign w:val="center"/>
          </w:tcPr>
          <w:p w:rsidRPr="00DE4A5E" w:rsidR="00BF75B4" w:rsidP="00BF75B4" w:rsidRDefault="00BF75B4" w14:paraId="31357ED9" w14:textId="77777777">
            <w:pPr>
              <w:spacing w:line="276" w:lineRule="auto"/>
              <w:ind w:firstLine="0"/>
              <w:rPr>
                <w:rFonts w:ascii="Verdana" w:hAnsi="Verdana" w:eastAsia="Calibri" w:cs="Arial"/>
                <w:color w:val="FFFFFF"/>
                <w:sz w:val="18"/>
                <w:szCs w:val="18"/>
                <w:lang w:val="nl-NL" w:eastAsia="en-US"/>
              </w:rPr>
            </w:pPr>
            <w:r w:rsidRPr="00DE4A5E">
              <w:rPr>
                <w:rFonts w:ascii="Verdana" w:hAnsi="Verdana" w:eastAsia="Calibri" w:cs="Arial"/>
                <w:color w:val="FFFFFF"/>
                <w:sz w:val="18"/>
                <w:szCs w:val="18"/>
                <w:lang w:val="nl-NL" w:eastAsia="en-US"/>
              </w:rPr>
              <w:t>Heffingsmogelijkheid bronstaat indien verdragspartner door Nederlands lichaam betaalde dividenden effectief niet belast</w:t>
            </w:r>
          </w:p>
        </w:tc>
        <w:tc>
          <w:tcPr>
            <w:tcW w:w="356"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6C501562" w14:textId="77777777">
            <w:pPr>
              <w:spacing w:line="276" w:lineRule="auto"/>
              <w:ind w:firstLine="0"/>
              <w:jc w:val="center"/>
              <w:rPr>
                <w:rFonts w:ascii="Verdana" w:hAnsi="Verdana" w:eastAsia="Calibri" w:cs="Arial"/>
                <w:b/>
                <w:color w:val="007BC7"/>
                <w:sz w:val="18"/>
                <w:szCs w:val="18"/>
                <w:lang w:val="nl-NL" w:eastAsia="en-US"/>
              </w:rPr>
            </w:pPr>
          </w:p>
        </w:tc>
        <w:tc>
          <w:tcPr>
            <w:tcW w:w="355"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5751468A" w14:textId="77777777">
            <w:pPr>
              <w:spacing w:line="276" w:lineRule="auto"/>
              <w:ind w:firstLine="0"/>
              <w:jc w:val="center"/>
              <w:rPr>
                <w:rFonts w:ascii="Verdana" w:hAnsi="Verdana" w:eastAsia="Calibri" w:cs="Arial"/>
                <w:b/>
                <w:color w:val="007BC7"/>
                <w:sz w:val="18"/>
                <w:szCs w:val="18"/>
                <w:lang w:val="nl-NL" w:eastAsia="en-US"/>
              </w:rPr>
            </w:pPr>
          </w:p>
        </w:tc>
        <w:tc>
          <w:tcPr>
            <w:tcW w:w="428"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640BF260" w14:textId="77777777">
            <w:pPr>
              <w:spacing w:line="276" w:lineRule="auto"/>
              <w:ind w:firstLine="0"/>
              <w:jc w:val="center"/>
              <w:rPr>
                <w:rFonts w:ascii="Verdana" w:hAnsi="Verdana" w:eastAsia="Calibri" w:cs="Arial"/>
                <w:b/>
                <w:color w:val="007BC7"/>
                <w:sz w:val="18"/>
                <w:szCs w:val="18"/>
                <w:lang w:val="nl-NL" w:eastAsia="en-US"/>
              </w:rPr>
            </w:pPr>
          </w:p>
        </w:tc>
        <w:tc>
          <w:tcPr>
            <w:tcW w:w="433"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395E2956" w14:textId="77777777">
            <w:pPr>
              <w:spacing w:line="276" w:lineRule="auto"/>
              <w:ind w:firstLine="0"/>
              <w:jc w:val="center"/>
              <w:rPr>
                <w:rFonts w:ascii="Verdana" w:hAnsi="Verdana" w:eastAsia="Calibri" w:cs="Arial"/>
                <w:b/>
                <w:color w:val="007BC7"/>
                <w:sz w:val="18"/>
                <w:szCs w:val="18"/>
                <w:lang w:val="nl-NL" w:eastAsia="en-US"/>
              </w:rPr>
            </w:pPr>
            <w:r w:rsidRPr="00DE4A5E">
              <w:rPr>
                <w:rFonts w:ascii="Verdana" w:hAnsi="Verdana" w:eastAsia="Calibri" w:cs="Arial"/>
                <w:b/>
                <w:color w:val="007BC7"/>
                <w:sz w:val="18"/>
                <w:szCs w:val="18"/>
                <w:lang w:val="nl-NL" w:eastAsia="en-US"/>
              </w:rPr>
              <w:t>X</w:t>
            </w: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6C64A7A0" w14:textId="77777777">
            <w:pPr>
              <w:spacing w:line="276" w:lineRule="auto"/>
              <w:ind w:firstLine="0"/>
              <w:rPr>
                <w:rFonts w:ascii="Verdana" w:hAnsi="Verdana" w:eastAsia="Calibri" w:cs="Arial"/>
                <w:sz w:val="18"/>
                <w:szCs w:val="18"/>
                <w:lang w:val="nl-NL" w:eastAsia="en-US"/>
              </w:rPr>
            </w:pPr>
          </w:p>
        </w:tc>
      </w:tr>
      <w:tr w:rsidRPr="00DE4A5E" w:rsidR="00BF75B4" w:rsidTr="00E80A06" w14:paraId="1E725902" w14:textId="77777777">
        <w:trPr>
          <w:trHeight w:val="255"/>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7386EC45" w14:textId="77777777">
            <w:pPr>
              <w:spacing w:line="276" w:lineRule="auto"/>
              <w:ind w:firstLine="0"/>
              <w:jc w:val="right"/>
              <w:rPr>
                <w:rFonts w:ascii="Verdana" w:hAnsi="Verdana" w:eastAsia="Calibri" w:cs="Arial"/>
                <w:sz w:val="18"/>
                <w:szCs w:val="18"/>
                <w:lang w:val="nl-NL" w:eastAsia="en-US"/>
              </w:rPr>
            </w:pPr>
            <w:r w:rsidRPr="00DE4A5E">
              <w:rPr>
                <w:rFonts w:ascii="Verdana" w:hAnsi="Verdana" w:eastAsia="Calibri" w:cs="Arial"/>
                <w:sz w:val="18"/>
                <w:szCs w:val="18"/>
                <w:lang w:val="nl-NL" w:eastAsia="en-US"/>
              </w:rPr>
              <w:t>2.9.5</w:t>
            </w:r>
          </w:p>
        </w:tc>
        <w:tc>
          <w:tcPr>
            <w:tcW w:w="6352" w:type="dxa"/>
            <w:gridSpan w:val="2"/>
            <w:tcBorders>
              <w:top w:val="single" w:color="FFFFFF" w:sz="12" w:space="0"/>
              <w:left w:val="single" w:color="FFFFFF" w:sz="12" w:space="0"/>
              <w:bottom w:val="single" w:color="FFFFFF" w:sz="12" w:space="0"/>
              <w:right w:val="single" w:color="FFFFFF" w:sz="12" w:space="0"/>
            </w:tcBorders>
            <w:shd w:val="clear" w:color="auto" w:fill="007BC7"/>
            <w:vAlign w:val="center"/>
          </w:tcPr>
          <w:p w:rsidRPr="00DE4A5E" w:rsidR="00BF75B4" w:rsidP="00BF75B4" w:rsidRDefault="00BF75B4" w14:paraId="1A22FD18" w14:textId="77777777">
            <w:pPr>
              <w:spacing w:line="276" w:lineRule="auto"/>
              <w:ind w:firstLine="0"/>
              <w:rPr>
                <w:rFonts w:ascii="Verdana" w:hAnsi="Verdana" w:eastAsia="Calibri" w:cs="Arial"/>
                <w:color w:val="FFFFFF"/>
                <w:sz w:val="18"/>
                <w:szCs w:val="18"/>
                <w:lang w:val="nl-NL" w:eastAsia="en-US"/>
              </w:rPr>
            </w:pPr>
            <w:r w:rsidRPr="00DE4A5E">
              <w:rPr>
                <w:rFonts w:ascii="Verdana" w:hAnsi="Verdana" w:eastAsia="Calibri" w:cs="Arial"/>
                <w:color w:val="FFFFFF"/>
                <w:sz w:val="18"/>
                <w:szCs w:val="18"/>
                <w:lang w:val="nl-NL" w:eastAsia="en-US"/>
              </w:rPr>
              <w:t>Bepaling dat inkoop van aandelen en liquidatie worden beheerst door het dividendartikel</w:t>
            </w:r>
          </w:p>
        </w:tc>
        <w:tc>
          <w:tcPr>
            <w:tcW w:w="356"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4B543618" w14:textId="77777777">
            <w:pPr>
              <w:spacing w:line="276" w:lineRule="auto"/>
              <w:ind w:firstLine="0"/>
              <w:jc w:val="center"/>
              <w:rPr>
                <w:rFonts w:ascii="Verdana" w:hAnsi="Verdana" w:eastAsia="Calibri" w:cs="Arial"/>
                <w:b/>
                <w:color w:val="007BC7"/>
                <w:sz w:val="18"/>
                <w:szCs w:val="18"/>
                <w:lang w:val="nl-NL" w:eastAsia="en-US"/>
              </w:rPr>
            </w:pPr>
            <w:r w:rsidRPr="00DE4A5E">
              <w:rPr>
                <w:rFonts w:ascii="Verdana" w:hAnsi="Verdana" w:eastAsia="Calibri" w:cs="Arial"/>
                <w:b/>
                <w:color w:val="007BC7"/>
                <w:sz w:val="18"/>
                <w:szCs w:val="18"/>
                <w:lang w:val="nl-NL" w:eastAsia="en-US"/>
              </w:rPr>
              <w:t>X</w:t>
            </w:r>
          </w:p>
        </w:tc>
        <w:tc>
          <w:tcPr>
            <w:tcW w:w="355"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78AC0F48" w14:textId="77777777">
            <w:pPr>
              <w:spacing w:line="276" w:lineRule="auto"/>
              <w:ind w:firstLine="0"/>
              <w:jc w:val="center"/>
              <w:rPr>
                <w:rFonts w:ascii="Verdana" w:hAnsi="Verdana" w:eastAsia="Calibri" w:cs="Arial"/>
                <w:b/>
                <w:color w:val="007BC7"/>
                <w:sz w:val="18"/>
                <w:szCs w:val="18"/>
                <w:lang w:val="nl-NL" w:eastAsia="en-US"/>
              </w:rPr>
            </w:pPr>
          </w:p>
        </w:tc>
        <w:tc>
          <w:tcPr>
            <w:tcW w:w="428"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7BD331D1" w14:textId="77777777">
            <w:pPr>
              <w:spacing w:line="276" w:lineRule="auto"/>
              <w:ind w:firstLine="0"/>
              <w:jc w:val="center"/>
              <w:rPr>
                <w:rFonts w:ascii="Verdana" w:hAnsi="Verdana" w:eastAsia="Calibri" w:cs="Arial"/>
                <w:b/>
                <w:color w:val="007BC7"/>
                <w:sz w:val="18"/>
                <w:szCs w:val="18"/>
                <w:lang w:val="nl-NL" w:eastAsia="en-US"/>
              </w:rPr>
            </w:pPr>
          </w:p>
        </w:tc>
        <w:tc>
          <w:tcPr>
            <w:tcW w:w="433"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702B1815" w14:textId="77777777">
            <w:pPr>
              <w:spacing w:line="276" w:lineRule="auto"/>
              <w:ind w:firstLine="0"/>
              <w:jc w:val="center"/>
              <w:rPr>
                <w:rFonts w:ascii="Verdana" w:hAnsi="Verdana" w:eastAsia="Calibri" w:cs="Arial"/>
                <w:b/>
                <w:color w:val="007BC7"/>
                <w:sz w:val="18"/>
                <w:szCs w:val="18"/>
                <w:lang w:val="nl-NL" w:eastAsia="en-US"/>
              </w:rPr>
            </w:pP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4047D2E4" w14:textId="77777777">
            <w:pPr>
              <w:spacing w:line="276" w:lineRule="auto"/>
              <w:ind w:firstLine="0"/>
              <w:rPr>
                <w:rFonts w:ascii="Verdana" w:hAnsi="Verdana" w:eastAsia="Calibri" w:cs="Arial"/>
                <w:sz w:val="18"/>
                <w:szCs w:val="18"/>
                <w:lang w:val="nl-NL" w:eastAsia="en-US"/>
              </w:rPr>
            </w:pPr>
            <w:r w:rsidRPr="00DE4A5E">
              <w:rPr>
                <w:rFonts w:ascii="Verdana" w:hAnsi="Verdana" w:eastAsia="Calibri" w:cs="Arial"/>
                <w:sz w:val="18"/>
                <w:szCs w:val="18"/>
                <w:lang w:val="nl-NL" w:eastAsia="en-US"/>
              </w:rPr>
              <w:t>II.10</w:t>
            </w:r>
          </w:p>
        </w:tc>
      </w:tr>
      <w:tr w:rsidRPr="00DE4A5E" w:rsidR="00BF75B4" w:rsidTr="00E80A06" w14:paraId="5DF298EC" w14:textId="77777777">
        <w:trPr>
          <w:gridAfter w:val="11"/>
          <w:wAfter w:w="2094" w:type="dxa"/>
          <w:cantSplit/>
          <w:trHeight w:val="403"/>
        </w:trPr>
        <w:tc>
          <w:tcPr>
            <w:tcW w:w="693" w:type="dxa"/>
            <w:shd w:val="clear" w:color="auto" w:fill="FFFFFF"/>
            <w:vAlign w:val="center"/>
          </w:tcPr>
          <w:p w:rsidRPr="00DE4A5E" w:rsidR="00BF75B4" w:rsidP="00BF75B4" w:rsidRDefault="00BF75B4" w14:paraId="23CD75F3" w14:textId="77777777">
            <w:pPr>
              <w:jc w:val="center"/>
              <w:rPr>
                <w:rFonts w:ascii="Verdana" w:hAnsi="Verdana" w:cs="Arial"/>
                <w:b/>
                <w:sz w:val="18"/>
                <w:szCs w:val="18"/>
              </w:rPr>
            </w:pPr>
          </w:p>
        </w:tc>
        <w:tc>
          <w:tcPr>
            <w:tcW w:w="6389" w:type="dxa"/>
            <w:gridSpan w:val="4"/>
            <w:shd w:val="clear" w:color="auto" w:fill="FFFFFF"/>
            <w:vAlign w:val="center"/>
          </w:tcPr>
          <w:p w:rsidRPr="00DE4A5E" w:rsidR="00BF75B4" w:rsidP="00BF75B4" w:rsidRDefault="00BF75B4" w14:paraId="1C32A50D" w14:textId="77777777">
            <w:pPr>
              <w:ind w:firstLine="0"/>
              <w:rPr>
                <w:rFonts w:ascii="Verdana" w:hAnsi="Verdana" w:cs="Arial"/>
                <w:i/>
                <w:sz w:val="18"/>
                <w:szCs w:val="18"/>
              </w:rPr>
            </w:pPr>
            <w:r w:rsidRPr="00DE4A5E">
              <w:rPr>
                <w:rFonts w:ascii="Verdana" w:hAnsi="Verdana" w:eastAsia="Calibri" w:cs="Arial"/>
                <w:i/>
                <w:sz w:val="18"/>
                <w:szCs w:val="18"/>
                <w:lang w:val="nl-NL" w:eastAsia="en-US"/>
              </w:rPr>
              <w:t>Arbeid</w:t>
            </w:r>
          </w:p>
        </w:tc>
      </w:tr>
      <w:tr w:rsidRPr="00DE4A5E" w:rsidR="00BF75B4" w:rsidTr="00E80A06" w14:paraId="0957D220" w14:textId="77777777">
        <w:trPr>
          <w:trHeight w:val="83"/>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3EE16E3A" w14:textId="77777777">
            <w:pPr>
              <w:spacing w:line="276" w:lineRule="auto"/>
              <w:ind w:firstLine="0"/>
              <w:jc w:val="right"/>
              <w:rPr>
                <w:rFonts w:ascii="Verdana" w:hAnsi="Verdana" w:eastAsia="Calibri" w:cs="Arial"/>
                <w:sz w:val="18"/>
                <w:szCs w:val="18"/>
                <w:lang w:val="nl-NL" w:eastAsia="en-US"/>
              </w:rPr>
            </w:pPr>
            <w:r w:rsidRPr="00DE4A5E">
              <w:rPr>
                <w:rFonts w:ascii="Verdana" w:hAnsi="Verdana" w:eastAsia="Calibri" w:cs="Arial"/>
                <w:sz w:val="18"/>
                <w:szCs w:val="18"/>
                <w:lang w:val="nl-NL" w:eastAsia="en-US"/>
              </w:rPr>
              <w:t>2.10</w:t>
            </w:r>
          </w:p>
        </w:tc>
        <w:tc>
          <w:tcPr>
            <w:tcW w:w="6373"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tcPr>
          <w:p w:rsidRPr="00DE4A5E" w:rsidR="00BF75B4" w:rsidP="00BF75B4" w:rsidRDefault="00BF75B4" w14:paraId="694E6E66" w14:textId="77777777">
            <w:pPr>
              <w:spacing w:line="276" w:lineRule="auto"/>
              <w:ind w:firstLine="0"/>
              <w:rPr>
                <w:rFonts w:ascii="Verdana" w:hAnsi="Verdana" w:eastAsia="Calibri" w:cs="Arial"/>
                <w:color w:val="FFFFFF"/>
                <w:sz w:val="18"/>
                <w:szCs w:val="18"/>
                <w:lang w:val="nl-NL" w:eastAsia="en-US"/>
              </w:rPr>
            </w:pPr>
            <w:r w:rsidRPr="00DE4A5E">
              <w:rPr>
                <w:rFonts w:ascii="Verdana" w:hAnsi="Verdana" w:eastAsia="Calibri" w:cs="Arial"/>
                <w:color w:val="FFFFFF"/>
                <w:sz w:val="18"/>
                <w:szCs w:val="18"/>
                <w:lang w:val="nl-NL" w:eastAsia="en-US"/>
              </w:rPr>
              <w:t>183-dagenbepaling opgenomen voor inkomsten uit dienstbetrekking</w:t>
            </w:r>
          </w:p>
        </w:tc>
        <w:tc>
          <w:tcPr>
            <w:tcW w:w="423" w:type="dxa"/>
            <w:gridSpan w:val="6"/>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00EE3C44" w14:textId="77777777">
            <w:pPr>
              <w:spacing w:line="276" w:lineRule="auto"/>
              <w:ind w:firstLine="0"/>
              <w:jc w:val="center"/>
              <w:rPr>
                <w:rFonts w:ascii="Verdana" w:hAnsi="Verdana" w:eastAsia="Calibri" w:cs="Arial"/>
                <w:b/>
                <w:color w:val="007BC7"/>
                <w:sz w:val="18"/>
                <w:szCs w:val="18"/>
                <w:lang w:val="nl-NL" w:eastAsia="en-US"/>
              </w:rPr>
            </w:pPr>
            <w:r w:rsidRPr="00DE4A5E">
              <w:rPr>
                <w:rFonts w:ascii="Verdana" w:hAnsi="Verdana" w:eastAsia="Calibri" w:cs="Arial"/>
                <w:b/>
                <w:color w:val="007BC7"/>
                <w:sz w:val="18"/>
                <w:szCs w:val="18"/>
                <w:lang w:val="nl-NL" w:eastAsia="en-US"/>
              </w:rPr>
              <w:t>X</w:t>
            </w:r>
          </w:p>
        </w:tc>
        <w:tc>
          <w:tcPr>
            <w:tcW w:w="353"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4E8A9DD2" w14:textId="77777777">
            <w:pPr>
              <w:spacing w:line="276" w:lineRule="auto"/>
              <w:ind w:left="-70" w:firstLine="0"/>
              <w:jc w:val="center"/>
              <w:rPr>
                <w:rFonts w:ascii="Verdana" w:hAnsi="Verdana" w:eastAsia="Calibri" w:cs="Arial"/>
                <w:b/>
                <w:color w:val="007BC7"/>
                <w:sz w:val="18"/>
                <w:szCs w:val="18"/>
                <w:lang w:val="nl-NL" w:eastAsia="en-US"/>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36D56612" w14:textId="77777777">
            <w:pPr>
              <w:spacing w:line="276" w:lineRule="auto"/>
              <w:ind w:firstLine="0"/>
              <w:jc w:val="center"/>
              <w:rPr>
                <w:rFonts w:ascii="Verdana" w:hAnsi="Verdana" w:eastAsia="Calibri" w:cs="Arial"/>
                <w:b/>
                <w:color w:val="007BC7"/>
                <w:sz w:val="18"/>
                <w:szCs w:val="18"/>
                <w:lang w:val="nl-NL" w:eastAsia="en-US"/>
              </w:rPr>
            </w:pPr>
          </w:p>
        </w:tc>
        <w:tc>
          <w:tcPr>
            <w:tcW w:w="35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33B98B3E" w14:textId="77777777">
            <w:pPr>
              <w:spacing w:line="276" w:lineRule="auto"/>
              <w:ind w:firstLine="0"/>
              <w:jc w:val="center"/>
              <w:rPr>
                <w:rFonts w:ascii="Verdana" w:hAnsi="Verdana" w:eastAsia="Calibri" w:cs="Arial"/>
                <w:b/>
                <w:color w:val="007BC7"/>
                <w:sz w:val="18"/>
                <w:szCs w:val="18"/>
                <w:lang w:val="nl-NL" w:eastAsia="en-US"/>
              </w:rPr>
            </w:pP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701FA708" w14:textId="77777777">
            <w:pPr>
              <w:spacing w:line="276" w:lineRule="auto"/>
              <w:ind w:firstLine="0"/>
              <w:rPr>
                <w:rFonts w:ascii="Verdana" w:hAnsi="Verdana" w:eastAsia="Calibri" w:cs="Arial"/>
                <w:sz w:val="18"/>
                <w:szCs w:val="18"/>
                <w:lang w:val="nl-NL" w:eastAsia="en-US"/>
              </w:rPr>
            </w:pPr>
            <w:r w:rsidRPr="00DE4A5E">
              <w:rPr>
                <w:rFonts w:ascii="Verdana" w:hAnsi="Verdana" w:eastAsia="Calibri" w:cs="Arial"/>
                <w:sz w:val="18"/>
                <w:szCs w:val="18"/>
                <w:lang w:val="nl-NL" w:eastAsia="en-US"/>
              </w:rPr>
              <w:t>II.14</w:t>
            </w:r>
          </w:p>
        </w:tc>
      </w:tr>
      <w:tr w:rsidRPr="00DE4A5E" w:rsidR="00BF75B4" w:rsidTr="00E80A06" w14:paraId="0CB78B33" w14:textId="77777777">
        <w:trPr>
          <w:trHeight w:val="255"/>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0924BE9D" w14:textId="77777777">
            <w:pPr>
              <w:spacing w:line="276" w:lineRule="auto"/>
              <w:ind w:firstLine="0"/>
              <w:jc w:val="right"/>
              <w:rPr>
                <w:rFonts w:ascii="Verdana" w:hAnsi="Verdana" w:eastAsia="Calibri" w:cs="Arial"/>
                <w:sz w:val="18"/>
                <w:szCs w:val="18"/>
                <w:lang w:val="nl-NL" w:eastAsia="en-US"/>
              </w:rPr>
            </w:pPr>
            <w:r w:rsidRPr="00DE4A5E">
              <w:rPr>
                <w:rFonts w:ascii="Verdana" w:hAnsi="Verdana" w:eastAsia="Calibri" w:cs="Arial"/>
                <w:sz w:val="18"/>
                <w:szCs w:val="18"/>
                <w:lang w:val="nl-NL" w:eastAsia="en-US"/>
              </w:rPr>
              <w:t>2.11.1</w:t>
            </w:r>
          </w:p>
        </w:tc>
        <w:tc>
          <w:tcPr>
            <w:tcW w:w="6373"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tcPr>
          <w:p w:rsidRPr="00DE4A5E" w:rsidR="00BF75B4" w:rsidP="00BF75B4" w:rsidRDefault="00BF75B4" w14:paraId="61B14E39" w14:textId="77777777">
            <w:pPr>
              <w:spacing w:line="276" w:lineRule="auto"/>
              <w:ind w:firstLine="0"/>
              <w:rPr>
                <w:rFonts w:ascii="Verdana" w:hAnsi="Verdana" w:eastAsia="Calibri" w:cs="Arial"/>
                <w:color w:val="FFFFFF"/>
                <w:sz w:val="18"/>
                <w:szCs w:val="18"/>
                <w:lang w:val="nl-NL" w:eastAsia="en-US"/>
              </w:rPr>
            </w:pPr>
            <w:r w:rsidRPr="00DE4A5E">
              <w:rPr>
                <w:rFonts w:ascii="Verdana" w:hAnsi="Verdana" w:eastAsia="Calibri" w:cs="Arial"/>
                <w:color w:val="FFFFFF"/>
                <w:sz w:val="18"/>
                <w:szCs w:val="18"/>
                <w:lang w:val="nl-NL" w:eastAsia="en-US"/>
              </w:rPr>
              <w:t>Bronstaatheffing voor gefacilieerd opgebouwde pensioenen, onafhankelijk van de behandeling van de pensioenen in de woonstaat</w:t>
            </w:r>
          </w:p>
        </w:tc>
        <w:tc>
          <w:tcPr>
            <w:tcW w:w="423" w:type="dxa"/>
            <w:gridSpan w:val="6"/>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6A12BB98" w14:textId="77777777">
            <w:pPr>
              <w:spacing w:line="276" w:lineRule="auto"/>
              <w:ind w:firstLine="0"/>
              <w:jc w:val="center"/>
              <w:rPr>
                <w:rFonts w:ascii="Verdana" w:hAnsi="Verdana" w:eastAsia="Calibri" w:cs="Arial"/>
                <w:b/>
                <w:color w:val="007BC7"/>
                <w:sz w:val="18"/>
                <w:szCs w:val="18"/>
                <w:lang w:val="nl-NL" w:eastAsia="en-US"/>
              </w:rPr>
            </w:pPr>
            <w:r w:rsidRPr="00DE4A5E">
              <w:rPr>
                <w:rFonts w:ascii="Verdana" w:hAnsi="Verdana" w:eastAsia="Calibri" w:cs="Arial"/>
                <w:b/>
                <w:color w:val="007BC7"/>
                <w:sz w:val="18"/>
                <w:szCs w:val="18"/>
                <w:lang w:val="nl-NL" w:eastAsia="en-US"/>
              </w:rPr>
              <w:t>X</w:t>
            </w:r>
          </w:p>
        </w:tc>
        <w:tc>
          <w:tcPr>
            <w:tcW w:w="353"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6BB39CB8" w14:textId="77777777">
            <w:pPr>
              <w:spacing w:line="276" w:lineRule="auto"/>
              <w:ind w:left="-77" w:firstLine="77"/>
              <w:jc w:val="center"/>
              <w:rPr>
                <w:rFonts w:ascii="Verdana" w:hAnsi="Verdana" w:eastAsia="Calibri" w:cs="Arial"/>
                <w:b/>
                <w:color w:val="007BC7"/>
                <w:sz w:val="18"/>
                <w:szCs w:val="18"/>
                <w:lang w:val="nl-NL" w:eastAsia="en-US"/>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64902B43" w14:textId="77777777">
            <w:pPr>
              <w:spacing w:line="276" w:lineRule="auto"/>
              <w:ind w:firstLine="0"/>
              <w:jc w:val="center"/>
              <w:rPr>
                <w:rFonts w:ascii="Verdana" w:hAnsi="Verdana" w:eastAsia="Calibri" w:cs="Arial"/>
                <w:b/>
                <w:color w:val="007BC7"/>
                <w:sz w:val="18"/>
                <w:szCs w:val="18"/>
                <w:lang w:val="nl-NL" w:eastAsia="en-US"/>
              </w:rPr>
            </w:pPr>
          </w:p>
        </w:tc>
        <w:tc>
          <w:tcPr>
            <w:tcW w:w="35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09D8A340" w14:textId="77777777">
            <w:pPr>
              <w:spacing w:line="276" w:lineRule="auto"/>
              <w:ind w:firstLine="0"/>
              <w:jc w:val="center"/>
              <w:rPr>
                <w:rFonts w:ascii="Verdana" w:hAnsi="Verdana" w:eastAsia="Calibri" w:cs="Arial"/>
                <w:b/>
                <w:color w:val="007BC7"/>
                <w:sz w:val="18"/>
                <w:szCs w:val="18"/>
                <w:lang w:val="nl-NL" w:eastAsia="en-US"/>
              </w:rPr>
            </w:pP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56FB9608" w14:textId="77777777">
            <w:pPr>
              <w:spacing w:line="276" w:lineRule="auto"/>
              <w:ind w:firstLine="0"/>
              <w:rPr>
                <w:rFonts w:ascii="Verdana" w:hAnsi="Verdana" w:eastAsia="Calibri" w:cs="Arial"/>
                <w:sz w:val="18"/>
                <w:szCs w:val="18"/>
                <w:lang w:val="nl-NL" w:eastAsia="en-US"/>
              </w:rPr>
            </w:pPr>
            <w:r w:rsidRPr="00DE4A5E">
              <w:rPr>
                <w:rFonts w:ascii="Verdana" w:hAnsi="Verdana" w:eastAsia="Calibri" w:cs="Arial"/>
                <w:sz w:val="18"/>
                <w:szCs w:val="18"/>
                <w:lang w:val="nl-NL" w:eastAsia="en-US"/>
              </w:rPr>
              <w:t>II.1</w:t>
            </w:r>
            <w:r w:rsidRPr="00DE4A5E" w:rsidR="00351CF7">
              <w:rPr>
                <w:rFonts w:ascii="Verdana" w:hAnsi="Verdana" w:eastAsia="Calibri" w:cs="Arial"/>
                <w:sz w:val="18"/>
                <w:szCs w:val="18"/>
                <w:lang w:val="nl-NL" w:eastAsia="en-US"/>
              </w:rPr>
              <w:t>7</w:t>
            </w:r>
          </w:p>
        </w:tc>
      </w:tr>
      <w:tr w:rsidRPr="00DE4A5E" w:rsidR="00BF75B4" w:rsidTr="00E80A06" w14:paraId="3CCF06F2" w14:textId="77777777">
        <w:trPr>
          <w:trHeight w:val="255"/>
        </w:trPr>
        <w:tc>
          <w:tcPr>
            <w:tcW w:w="693" w:type="dxa"/>
            <w:shd w:val="clear" w:color="auto" w:fill="BFBFBF"/>
            <w:vAlign w:val="center"/>
          </w:tcPr>
          <w:p w:rsidRPr="00DE4A5E" w:rsidR="00BF75B4" w:rsidP="00BF75B4" w:rsidRDefault="00BF75B4" w14:paraId="7863D248" w14:textId="77777777">
            <w:pPr>
              <w:spacing w:line="276" w:lineRule="auto"/>
              <w:ind w:firstLine="0"/>
              <w:jc w:val="right"/>
              <w:rPr>
                <w:rFonts w:ascii="Verdana" w:hAnsi="Verdana" w:eastAsia="Calibri" w:cs="Arial"/>
                <w:sz w:val="18"/>
                <w:szCs w:val="18"/>
                <w:lang w:val="nl-NL" w:eastAsia="en-US"/>
              </w:rPr>
            </w:pPr>
            <w:r w:rsidRPr="00DE4A5E">
              <w:rPr>
                <w:rFonts w:ascii="Verdana" w:hAnsi="Verdana" w:eastAsia="Calibri" w:cs="Arial"/>
                <w:sz w:val="18"/>
                <w:szCs w:val="18"/>
                <w:lang w:val="nl-NL" w:eastAsia="en-US"/>
              </w:rPr>
              <w:t>2.11.2</w:t>
            </w:r>
          </w:p>
        </w:tc>
        <w:tc>
          <w:tcPr>
            <w:tcW w:w="1350" w:type="dxa"/>
            <w:shd w:val="clear" w:color="auto" w:fill="BFBFBF"/>
            <w:vAlign w:val="center"/>
          </w:tcPr>
          <w:p w:rsidRPr="00DE4A5E" w:rsidR="00BF75B4" w:rsidP="00BF75B4" w:rsidRDefault="00BF75B4" w14:paraId="2886FB2F" w14:textId="77777777">
            <w:pPr>
              <w:spacing w:line="276" w:lineRule="auto"/>
              <w:ind w:firstLine="0"/>
              <w:rPr>
                <w:rFonts w:ascii="Verdana" w:hAnsi="Verdana" w:cs="Arial"/>
                <w:color w:val="000000"/>
                <w:sz w:val="18"/>
                <w:szCs w:val="18"/>
              </w:rPr>
            </w:pPr>
            <w:r w:rsidRPr="00DE4A5E">
              <w:rPr>
                <w:rFonts w:ascii="Verdana" w:hAnsi="Verdana" w:eastAsia="Calibri" w:cs="Arial"/>
                <w:color w:val="000000"/>
                <w:sz w:val="18"/>
                <w:szCs w:val="18"/>
                <w:lang w:val="nl-NL" w:eastAsia="en-US"/>
              </w:rPr>
              <w:t>Indien Ja:</w:t>
            </w:r>
          </w:p>
        </w:tc>
        <w:tc>
          <w:tcPr>
            <w:tcW w:w="5023" w:type="dxa"/>
            <w:gridSpan w:val="2"/>
            <w:shd w:val="clear" w:color="auto" w:fill="007BC7"/>
            <w:vAlign w:val="center"/>
          </w:tcPr>
          <w:p w:rsidRPr="00DE4A5E" w:rsidR="00BF75B4" w:rsidP="00BF75B4" w:rsidRDefault="00BF75B4" w14:paraId="5D5F0A9F" w14:textId="77777777">
            <w:pPr>
              <w:spacing w:line="276" w:lineRule="auto"/>
              <w:ind w:firstLine="0"/>
              <w:rPr>
                <w:rFonts w:ascii="Verdana" w:hAnsi="Verdana" w:eastAsia="Calibri" w:cs="Arial"/>
                <w:color w:val="FFFFFF"/>
                <w:sz w:val="18"/>
                <w:szCs w:val="18"/>
                <w:lang w:val="nl-NL" w:eastAsia="en-US"/>
              </w:rPr>
            </w:pPr>
            <w:r w:rsidRPr="00DE4A5E">
              <w:rPr>
                <w:rFonts w:ascii="Verdana" w:hAnsi="Verdana" w:eastAsia="Calibri" w:cs="Arial"/>
                <w:color w:val="FFFFFF"/>
                <w:sz w:val="18"/>
                <w:szCs w:val="18"/>
                <w:lang w:val="nl-NL" w:eastAsia="en-US"/>
              </w:rPr>
              <w:t>Geen splitsing particuliere en privaatrechtelijke pensioenen indien bronstaatheffing</w:t>
            </w:r>
          </w:p>
        </w:tc>
        <w:tc>
          <w:tcPr>
            <w:tcW w:w="423" w:type="dxa"/>
            <w:gridSpan w:val="6"/>
            <w:shd w:val="clear" w:color="auto" w:fill="BFBFBF"/>
            <w:vAlign w:val="center"/>
          </w:tcPr>
          <w:p w:rsidRPr="00DE4A5E" w:rsidR="00BF75B4" w:rsidP="00BF75B4" w:rsidRDefault="00BF75B4" w14:paraId="222759B8" w14:textId="77777777">
            <w:pPr>
              <w:spacing w:line="276" w:lineRule="auto"/>
              <w:ind w:firstLine="0"/>
              <w:jc w:val="center"/>
              <w:rPr>
                <w:rFonts w:ascii="Verdana" w:hAnsi="Verdana" w:eastAsia="Calibri" w:cs="Arial"/>
                <w:b/>
                <w:color w:val="007BC7"/>
                <w:sz w:val="18"/>
                <w:szCs w:val="18"/>
                <w:lang w:val="nl-NL" w:eastAsia="en-US"/>
              </w:rPr>
            </w:pPr>
            <w:r w:rsidRPr="00DE4A5E">
              <w:rPr>
                <w:rFonts w:ascii="Verdana" w:hAnsi="Verdana" w:eastAsia="Calibri" w:cs="Arial"/>
                <w:b/>
                <w:color w:val="007BC7"/>
                <w:sz w:val="18"/>
                <w:szCs w:val="18"/>
                <w:lang w:val="nl-NL" w:eastAsia="en-US"/>
              </w:rPr>
              <w:t>X</w:t>
            </w:r>
          </w:p>
        </w:tc>
        <w:tc>
          <w:tcPr>
            <w:tcW w:w="353" w:type="dxa"/>
            <w:gridSpan w:val="2"/>
            <w:shd w:val="clear" w:color="auto" w:fill="BFBFBF"/>
            <w:vAlign w:val="center"/>
          </w:tcPr>
          <w:p w:rsidRPr="00DE4A5E" w:rsidR="00BF75B4" w:rsidP="00BF75B4" w:rsidRDefault="00BF75B4" w14:paraId="5AA9A728" w14:textId="77777777">
            <w:pPr>
              <w:spacing w:line="276" w:lineRule="auto"/>
              <w:ind w:firstLine="0"/>
              <w:jc w:val="center"/>
              <w:rPr>
                <w:rFonts w:ascii="Verdana" w:hAnsi="Verdana" w:eastAsia="Calibri" w:cs="Arial"/>
                <w:b/>
                <w:color w:val="007BC7"/>
                <w:sz w:val="18"/>
                <w:szCs w:val="18"/>
                <w:lang w:val="nl-NL" w:eastAsia="en-US"/>
              </w:rPr>
            </w:pPr>
          </w:p>
        </w:tc>
        <w:tc>
          <w:tcPr>
            <w:tcW w:w="422" w:type="dxa"/>
            <w:gridSpan w:val="2"/>
            <w:shd w:val="clear" w:color="auto" w:fill="BFBFBF"/>
            <w:vAlign w:val="center"/>
          </w:tcPr>
          <w:p w:rsidRPr="00DE4A5E" w:rsidR="00BF75B4" w:rsidP="00BF75B4" w:rsidRDefault="00BF75B4" w14:paraId="397E9607" w14:textId="77777777">
            <w:pPr>
              <w:spacing w:line="276" w:lineRule="auto"/>
              <w:ind w:firstLine="0"/>
              <w:jc w:val="center"/>
              <w:rPr>
                <w:rFonts w:ascii="Verdana" w:hAnsi="Verdana" w:eastAsia="Calibri" w:cs="Arial"/>
                <w:b/>
                <w:color w:val="007BC7"/>
                <w:sz w:val="18"/>
                <w:szCs w:val="18"/>
                <w:lang w:val="nl-NL" w:eastAsia="en-US"/>
              </w:rPr>
            </w:pPr>
          </w:p>
        </w:tc>
        <w:tc>
          <w:tcPr>
            <w:tcW w:w="353" w:type="dxa"/>
            <w:shd w:val="clear" w:color="auto" w:fill="BFBFBF"/>
            <w:vAlign w:val="center"/>
          </w:tcPr>
          <w:p w:rsidRPr="00DE4A5E" w:rsidR="00BF75B4" w:rsidP="00BF75B4" w:rsidRDefault="00BF75B4" w14:paraId="484E64FB" w14:textId="77777777">
            <w:pPr>
              <w:spacing w:line="276" w:lineRule="auto"/>
              <w:ind w:firstLine="0"/>
              <w:jc w:val="center"/>
              <w:rPr>
                <w:rFonts w:ascii="Verdana" w:hAnsi="Verdana" w:eastAsia="Calibri" w:cs="Arial"/>
                <w:b/>
                <w:color w:val="007BC7"/>
                <w:sz w:val="18"/>
                <w:szCs w:val="18"/>
                <w:lang w:val="nl-NL" w:eastAsia="en-US"/>
              </w:rPr>
            </w:pPr>
          </w:p>
        </w:tc>
        <w:tc>
          <w:tcPr>
            <w:tcW w:w="559" w:type="dxa"/>
            <w:shd w:val="clear" w:color="auto" w:fill="BFBFBF"/>
            <w:vAlign w:val="center"/>
          </w:tcPr>
          <w:p w:rsidRPr="00DE4A5E" w:rsidR="00BF75B4" w:rsidP="00BF75B4" w:rsidRDefault="00BF75B4" w14:paraId="0284D43E" w14:textId="77777777">
            <w:pPr>
              <w:spacing w:line="276" w:lineRule="auto"/>
              <w:ind w:firstLine="0"/>
              <w:rPr>
                <w:rFonts w:ascii="Verdana" w:hAnsi="Verdana" w:eastAsia="Calibri" w:cs="Arial"/>
                <w:sz w:val="18"/>
                <w:szCs w:val="18"/>
                <w:lang w:val="nl-NL" w:eastAsia="en-US"/>
              </w:rPr>
            </w:pPr>
            <w:r w:rsidRPr="00DE4A5E">
              <w:rPr>
                <w:rFonts w:ascii="Verdana" w:hAnsi="Verdana" w:eastAsia="Calibri" w:cs="Arial"/>
                <w:sz w:val="18"/>
                <w:szCs w:val="18"/>
                <w:lang w:val="nl-NL" w:eastAsia="en-US"/>
              </w:rPr>
              <w:t>II.1</w:t>
            </w:r>
            <w:r w:rsidRPr="00DE4A5E" w:rsidR="00E46505">
              <w:rPr>
                <w:rFonts w:ascii="Verdana" w:hAnsi="Verdana" w:eastAsia="Calibri" w:cs="Arial"/>
                <w:sz w:val="18"/>
                <w:szCs w:val="18"/>
                <w:lang w:val="nl-NL" w:eastAsia="en-US"/>
              </w:rPr>
              <w:t>7</w:t>
            </w:r>
          </w:p>
        </w:tc>
      </w:tr>
      <w:tr w:rsidRPr="00DE4A5E" w:rsidR="00BF75B4" w:rsidTr="00E80A06" w14:paraId="1702E5E8" w14:textId="77777777">
        <w:trPr>
          <w:trHeight w:val="255"/>
        </w:trPr>
        <w:tc>
          <w:tcPr>
            <w:tcW w:w="693" w:type="dxa"/>
            <w:shd w:val="clear" w:color="auto" w:fill="BFBFBF"/>
            <w:vAlign w:val="center"/>
          </w:tcPr>
          <w:p w:rsidRPr="00DE4A5E" w:rsidR="00BF75B4" w:rsidP="00BF75B4" w:rsidRDefault="00BF75B4" w14:paraId="6D4A4323" w14:textId="77777777">
            <w:pPr>
              <w:spacing w:line="276" w:lineRule="auto"/>
              <w:ind w:firstLine="0"/>
              <w:jc w:val="right"/>
              <w:rPr>
                <w:rFonts w:ascii="Verdana" w:hAnsi="Verdana" w:eastAsia="Calibri" w:cs="Arial"/>
                <w:sz w:val="18"/>
                <w:szCs w:val="18"/>
                <w:lang w:val="nl-NL" w:eastAsia="en-US"/>
              </w:rPr>
            </w:pPr>
            <w:r w:rsidRPr="00DE4A5E">
              <w:rPr>
                <w:rFonts w:ascii="Verdana" w:hAnsi="Verdana" w:eastAsia="Calibri" w:cs="Arial"/>
                <w:sz w:val="18"/>
                <w:szCs w:val="18"/>
                <w:lang w:val="nl-NL" w:eastAsia="en-US"/>
              </w:rPr>
              <w:t>2.11.1</w:t>
            </w:r>
          </w:p>
        </w:tc>
        <w:tc>
          <w:tcPr>
            <w:tcW w:w="1350" w:type="dxa"/>
            <w:shd w:val="clear" w:color="auto" w:fill="BFBFBF"/>
            <w:vAlign w:val="center"/>
          </w:tcPr>
          <w:p w:rsidRPr="00DE4A5E" w:rsidR="00BF75B4" w:rsidP="00BF75B4" w:rsidRDefault="00BF75B4" w14:paraId="54FE82A9" w14:textId="77777777">
            <w:pPr>
              <w:spacing w:line="276" w:lineRule="auto"/>
              <w:ind w:firstLine="0"/>
              <w:rPr>
                <w:rFonts w:ascii="Verdana" w:hAnsi="Verdana" w:cs="Arial"/>
                <w:color w:val="000000"/>
                <w:sz w:val="18"/>
                <w:szCs w:val="18"/>
              </w:rPr>
            </w:pPr>
            <w:r w:rsidRPr="00DE4A5E">
              <w:rPr>
                <w:rFonts w:ascii="Verdana" w:hAnsi="Verdana" w:eastAsia="Calibri" w:cs="Arial"/>
                <w:color w:val="000000"/>
                <w:sz w:val="18"/>
                <w:szCs w:val="18"/>
                <w:lang w:val="nl-NL" w:eastAsia="en-US"/>
              </w:rPr>
              <w:t>Terugvaloptie:</w:t>
            </w:r>
          </w:p>
        </w:tc>
        <w:tc>
          <w:tcPr>
            <w:tcW w:w="5023" w:type="dxa"/>
            <w:gridSpan w:val="2"/>
            <w:shd w:val="clear" w:color="auto" w:fill="007BC7"/>
            <w:vAlign w:val="center"/>
          </w:tcPr>
          <w:p w:rsidRPr="00DE4A5E" w:rsidR="00BF75B4" w:rsidP="00BF75B4" w:rsidRDefault="00BF75B4" w14:paraId="42E76B6E" w14:textId="77777777">
            <w:pPr>
              <w:spacing w:line="276" w:lineRule="auto"/>
              <w:ind w:firstLine="0"/>
              <w:rPr>
                <w:rFonts w:ascii="Verdana" w:hAnsi="Verdana" w:eastAsia="Calibri" w:cs="Arial"/>
                <w:color w:val="FFFFFF"/>
                <w:sz w:val="18"/>
                <w:szCs w:val="18"/>
                <w:lang w:val="nl-NL" w:eastAsia="en-US"/>
              </w:rPr>
            </w:pPr>
            <w:r w:rsidRPr="00DE4A5E">
              <w:rPr>
                <w:rFonts w:ascii="Verdana" w:hAnsi="Verdana" w:eastAsia="Calibri" w:cs="Arial"/>
                <w:color w:val="FFFFFF"/>
                <w:sz w:val="18"/>
                <w:szCs w:val="18"/>
                <w:lang w:val="nl-NL" w:eastAsia="en-US"/>
              </w:rPr>
              <w:t xml:space="preserve">Beperkt bronheffingsrecht </w:t>
            </w:r>
          </w:p>
        </w:tc>
        <w:tc>
          <w:tcPr>
            <w:tcW w:w="423" w:type="dxa"/>
            <w:gridSpan w:val="6"/>
            <w:shd w:val="clear" w:color="auto" w:fill="BFBFBF"/>
            <w:vAlign w:val="center"/>
          </w:tcPr>
          <w:p w:rsidRPr="00DE4A5E" w:rsidR="00BF75B4" w:rsidP="00BF75B4" w:rsidRDefault="00BF75B4" w14:paraId="4311333A" w14:textId="77777777">
            <w:pPr>
              <w:spacing w:line="276" w:lineRule="auto"/>
              <w:ind w:firstLine="0"/>
              <w:jc w:val="center"/>
              <w:rPr>
                <w:rFonts w:ascii="Verdana" w:hAnsi="Verdana" w:eastAsia="Calibri" w:cs="Arial"/>
                <w:b/>
                <w:color w:val="007BC7"/>
                <w:sz w:val="18"/>
                <w:szCs w:val="18"/>
                <w:lang w:val="nl-NL" w:eastAsia="en-US"/>
              </w:rPr>
            </w:pPr>
          </w:p>
        </w:tc>
        <w:tc>
          <w:tcPr>
            <w:tcW w:w="353" w:type="dxa"/>
            <w:gridSpan w:val="2"/>
            <w:shd w:val="clear" w:color="auto" w:fill="BFBFBF"/>
            <w:vAlign w:val="center"/>
          </w:tcPr>
          <w:p w:rsidRPr="00DE4A5E" w:rsidR="00BF75B4" w:rsidP="00BF75B4" w:rsidRDefault="00BF75B4" w14:paraId="05E710DD" w14:textId="77777777">
            <w:pPr>
              <w:spacing w:line="276" w:lineRule="auto"/>
              <w:ind w:firstLine="0"/>
              <w:jc w:val="center"/>
              <w:rPr>
                <w:rFonts w:ascii="Verdana" w:hAnsi="Verdana" w:eastAsia="Calibri" w:cs="Arial"/>
                <w:b/>
                <w:color w:val="007BC7"/>
                <w:sz w:val="18"/>
                <w:szCs w:val="18"/>
                <w:lang w:val="nl-NL" w:eastAsia="en-US"/>
              </w:rPr>
            </w:pPr>
          </w:p>
        </w:tc>
        <w:tc>
          <w:tcPr>
            <w:tcW w:w="422" w:type="dxa"/>
            <w:gridSpan w:val="2"/>
            <w:shd w:val="clear" w:color="auto" w:fill="BFBFBF"/>
            <w:vAlign w:val="center"/>
          </w:tcPr>
          <w:p w:rsidRPr="00DE4A5E" w:rsidR="00BF75B4" w:rsidP="00BF75B4" w:rsidRDefault="00BF75B4" w14:paraId="0C7EAB21" w14:textId="77777777">
            <w:pPr>
              <w:spacing w:line="276" w:lineRule="auto"/>
              <w:ind w:firstLine="0"/>
              <w:jc w:val="center"/>
              <w:rPr>
                <w:rFonts w:ascii="Verdana" w:hAnsi="Verdana" w:eastAsia="Calibri" w:cs="Arial"/>
                <w:b/>
                <w:color w:val="007BC7"/>
                <w:sz w:val="18"/>
                <w:szCs w:val="18"/>
                <w:lang w:val="nl-NL" w:eastAsia="en-US"/>
              </w:rPr>
            </w:pPr>
          </w:p>
        </w:tc>
        <w:tc>
          <w:tcPr>
            <w:tcW w:w="353" w:type="dxa"/>
            <w:shd w:val="clear" w:color="auto" w:fill="BFBFBF"/>
            <w:vAlign w:val="center"/>
          </w:tcPr>
          <w:p w:rsidRPr="00DE4A5E" w:rsidR="00BF75B4" w:rsidP="00BF75B4" w:rsidRDefault="00BF75B4" w14:paraId="7277D758" w14:textId="77777777">
            <w:pPr>
              <w:spacing w:line="276" w:lineRule="auto"/>
              <w:ind w:firstLine="0"/>
              <w:jc w:val="center"/>
              <w:rPr>
                <w:rFonts w:ascii="Verdana" w:hAnsi="Verdana" w:eastAsia="Calibri" w:cs="Arial"/>
                <w:b/>
                <w:color w:val="007BC7"/>
                <w:sz w:val="18"/>
                <w:szCs w:val="18"/>
                <w:lang w:val="nl-NL" w:eastAsia="en-US"/>
              </w:rPr>
            </w:pPr>
            <w:r w:rsidRPr="00DE4A5E">
              <w:rPr>
                <w:rFonts w:ascii="Verdana" w:hAnsi="Verdana" w:eastAsia="Calibri" w:cs="Arial"/>
                <w:b/>
                <w:color w:val="007BC7"/>
                <w:sz w:val="18"/>
                <w:szCs w:val="18"/>
                <w:lang w:val="nl-NL" w:eastAsia="en-US"/>
              </w:rPr>
              <w:t>X</w:t>
            </w:r>
          </w:p>
        </w:tc>
        <w:tc>
          <w:tcPr>
            <w:tcW w:w="559" w:type="dxa"/>
            <w:shd w:val="clear" w:color="auto" w:fill="BFBFBF"/>
            <w:vAlign w:val="center"/>
          </w:tcPr>
          <w:p w:rsidRPr="00DE4A5E" w:rsidR="00BF75B4" w:rsidP="00BF75B4" w:rsidRDefault="00BF75B4" w14:paraId="7A8D3A4F" w14:textId="77777777">
            <w:pPr>
              <w:spacing w:line="276" w:lineRule="auto"/>
              <w:ind w:firstLine="0"/>
              <w:rPr>
                <w:rFonts w:ascii="Verdana" w:hAnsi="Verdana" w:eastAsia="Calibri" w:cs="Arial"/>
                <w:sz w:val="18"/>
                <w:szCs w:val="18"/>
                <w:lang w:val="nl-NL" w:eastAsia="en-US"/>
              </w:rPr>
            </w:pPr>
          </w:p>
        </w:tc>
      </w:tr>
      <w:tr w:rsidRPr="00DE4A5E" w:rsidR="00BF75B4" w:rsidTr="00E80A06" w14:paraId="4942AA74" w14:textId="77777777">
        <w:trPr>
          <w:trHeight w:val="255"/>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653ABCD6" w14:textId="77777777">
            <w:pPr>
              <w:spacing w:line="276" w:lineRule="auto"/>
              <w:ind w:firstLine="0"/>
              <w:jc w:val="right"/>
              <w:rPr>
                <w:rFonts w:ascii="Verdana" w:hAnsi="Verdana" w:eastAsia="Calibri" w:cs="Arial"/>
                <w:sz w:val="18"/>
                <w:szCs w:val="18"/>
                <w:lang w:val="nl-NL" w:eastAsia="en-US"/>
              </w:rPr>
            </w:pPr>
            <w:r w:rsidRPr="00DE4A5E">
              <w:rPr>
                <w:rFonts w:ascii="Verdana" w:hAnsi="Verdana" w:eastAsia="Calibri" w:cs="Arial"/>
                <w:sz w:val="18"/>
                <w:szCs w:val="18"/>
                <w:lang w:val="nl-NL" w:eastAsia="en-US"/>
              </w:rPr>
              <w:t>2.11.5</w:t>
            </w:r>
          </w:p>
        </w:tc>
        <w:tc>
          <w:tcPr>
            <w:tcW w:w="6373"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tcPr>
          <w:p w:rsidRPr="00DE4A5E" w:rsidR="00BF75B4" w:rsidP="00BF75B4" w:rsidRDefault="00BF75B4" w14:paraId="196B497E" w14:textId="77777777">
            <w:pPr>
              <w:spacing w:line="276" w:lineRule="auto"/>
              <w:ind w:firstLine="0"/>
              <w:rPr>
                <w:rFonts w:ascii="Verdana" w:hAnsi="Verdana" w:eastAsia="Calibri" w:cs="Arial"/>
                <w:color w:val="FFFFFF"/>
                <w:sz w:val="18"/>
                <w:szCs w:val="18"/>
                <w:lang w:val="nl-NL" w:eastAsia="en-US"/>
              </w:rPr>
            </w:pPr>
            <w:r w:rsidRPr="00DE4A5E">
              <w:rPr>
                <w:rFonts w:ascii="Verdana" w:hAnsi="Verdana" w:eastAsia="Calibri" w:cs="Arial"/>
                <w:color w:val="FFFFFF"/>
                <w:sz w:val="18"/>
                <w:szCs w:val="18"/>
                <w:lang w:val="nl-NL" w:eastAsia="en-US"/>
              </w:rPr>
              <w:t>Regeling voortgezette pensioenpremieaftrek in of bij non- discriminatieartikel</w:t>
            </w:r>
          </w:p>
        </w:tc>
        <w:tc>
          <w:tcPr>
            <w:tcW w:w="423" w:type="dxa"/>
            <w:gridSpan w:val="6"/>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43EF21E4" w14:textId="77777777">
            <w:pPr>
              <w:spacing w:line="276" w:lineRule="auto"/>
              <w:ind w:firstLine="0"/>
              <w:jc w:val="center"/>
              <w:rPr>
                <w:rFonts w:ascii="Verdana" w:hAnsi="Verdana" w:eastAsia="Calibri" w:cs="Arial"/>
                <w:b/>
                <w:color w:val="007BC7"/>
                <w:sz w:val="18"/>
                <w:szCs w:val="18"/>
                <w:lang w:val="nl-NL" w:eastAsia="en-US"/>
              </w:rPr>
            </w:pPr>
            <w:r w:rsidRPr="00DE4A5E">
              <w:rPr>
                <w:rFonts w:ascii="Verdana" w:hAnsi="Verdana" w:eastAsia="Calibri" w:cs="Arial"/>
                <w:b/>
                <w:color w:val="007BC7"/>
                <w:sz w:val="18"/>
                <w:szCs w:val="18"/>
                <w:lang w:val="nl-NL" w:eastAsia="en-US"/>
              </w:rPr>
              <w:t>X</w:t>
            </w:r>
          </w:p>
        </w:tc>
        <w:tc>
          <w:tcPr>
            <w:tcW w:w="353"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47F40DBB" w14:textId="77777777">
            <w:pPr>
              <w:spacing w:line="276" w:lineRule="auto"/>
              <w:ind w:firstLine="0"/>
              <w:jc w:val="center"/>
              <w:rPr>
                <w:rFonts w:ascii="Verdana" w:hAnsi="Verdana" w:eastAsia="Calibri" w:cs="Arial"/>
                <w:b/>
                <w:color w:val="007BC7"/>
                <w:sz w:val="18"/>
                <w:szCs w:val="18"/>
                <w:lang w:val="nl-NL" w:eastAsia="en-US"/>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78BF99F8" w14:textId="77777777">
            <w:pPr>
              <w:spacing w:line="276" w:lineRule="auto"/>
              <w:ind w:firstLine="0"/>
              <w:jc w:val="center"/>
              <w:rPr>
                <w:rFonts w:ascii="Verdana" w:hAnsi="Verdana" w:eastAsia="Calibri" w:cs="Arial"/>
                <w:b/>
                <w:color w:val="007BC7"/>
                <w:sz w:val="18"/>
                <w:szCs w:val="18"/>
                <w:lang w:val="nl-NL" w:eastAsia="en-US"/>
              </w:rPr>
            </w:pPr>
          </w:p>
        </w:tc>
        <w:tc>
          <w:tcPr>
            <w:tcW w:w="35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6982B388" w14:textId="77777777">
            <w:pPr>
              <w:spacing w:line="276" w:lineRule="auto"/>
              <w:ind w:firstLine="0"/>
              <w:jc w:val="center"/>
              <w:rPr>
                <w:rFonts w:ascii="Verdana" w:hAnsi="Verdana" w:eastAsia="Calibri" w:cs="Arial"/>
                <w:b/>
                <w:color w:val="007BC7"/>
                <w:sz w:val="18"/>
                <w:szCs w:val="18"/>
                <w:lang w:val="nl-NL" w:eastAsia="en-US"/>
              </w:rPr>
            </w:pP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562E4CBC" w14:textId="77777777">
            <w:pPr>
              <w:spacing w:line="276" w:lineRule="auto"/>
              <w:ind w:firstLine="0"/>
              <w:rPr>
                <w:rFonts w:ascii="Verdana" w:hAnsi="Verdana" w:eastAsia="Calibri" w:cs="Arial"/>
                <w:sz w:val="18"/>
                <w:szCs w:val="18"/>
                <w:lang w:val="nl-NL" w:eastAsia="en-US"/>
              </w:rPr>
            </w:pPr>
            <w:r w:rsidRPr="00DE4A5E">
              <w:rPr>
                <w:rFonts w:ascii="Verdana" w:hAnsi="Verdana" w:eastAsia="Calibri" w:cs="Arial"/>
                <w:sz w:val="18"/>
                <w:szCs w:val="18"/>
                <w:lang w:val="nl-NL" w:eastAsia="en-US"/>
              </w:rPr>
              <w:t>II.24</w:t>
            </w:r>
          </w:p>
        </w:tc>
      </w:tr>
      <w:tr w:rsidRPr="00DE4A5E" w:rsidR="00BF75B4" w:rsidTr="00E80A06" w14:paraId="6532E811" w14:textId="77777777">
        <w:trPr>
          <w:trHeight w:val="255"/>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1D91FC09" w14:textId="77777777">
            <w:pPr>
              <w:spacing w:line="276" w:lineRule="auto"/>
              <w:ind w:firstLine="0"/>
              <w:jc w:val="right"/>
              <w:rPr>
                <w:rFonts w:ascii="Verdana" w:hAnsi="Verdana" w:eastAsia="Calibri" w:cs="Arial"/>
                <w:sz w:val="18"/>
                <w:szCs w:val="18"/>
                <w:lang w:val="nl-NL" w:eastAsia="en-US"/>
              </w:rPr>
            </w:pPr>
            <w:r w:rsidRPr="00DE4A5E">
              <w:rPr>
                <w:rFonts w:ascii="Verdana" w:hAnsi="Verdana" w:eastAsia="Calibri" w:cs="Arial"/>
                <w:sz w:val="18"/>
                <w:szCs w:val="18"/>
                <w:lang w:val="nl-NL" w:eastAsia="en-US"/>
              </w:rPr>
              <w:t>2.12</w:t>
            </w:r>
          </w:p>
        </w:tc>
        <w:tc>
          <w:tcPr>
            <w:tcW w:w="6373"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tcPr>
          <w:p w:rsidRPr="00DE4A5E" w:rsidR="00BF75B4" w:rsidP="00BF75B4" w:rsidRDefault="00BF75B4" w14:paraId="047E9B39" w14:textId="77777777">
            <w:pPr>
              <w:spacing w:line="276" w:lineRule="auto"/>
              <w:ind w:firstLine="0"/>
              <w:rPr>
                <w:rFonts w:ascii="Verdana" w:hAnsi="Verdana" w:eastAsia="Calibri" w:cs="Arial"/>
                <w:color w:val="FFFFFF"/>
                <w:sz w:val="18"/>
                <w:szCs w:val="18"/>
                <w:lang w:val="nl-NL" w:eastAsia="en-US"/>
              </w:rPr>
            </w:pPr>
            <w:r w:rsidRPr="00DE4A5E">
              <w:rPr>
                <w:rFonts w:ascii="Verdana" w:hAnsi="Verdana" w:eastAsia="Calibri" w:cs="Arial"/>
                <w:color w:val="FFFFFF"/>
                <w:sz w:val="18"/>
                <w:szCs w:val="18"/>
                <w:lang w:val="nl-NL" w:eastAsia="en-US"/>
              </w:rPr>
              <w:t>Inkomsten sporters &amp; artiesten vallen onder bepalingen inkomsten uit onderneming of dienstverband</w:t>
            </w:r>
          </w:p>
        </w:tc>
        <w:tc>
          <w:tcPr>
            <w:tcW w:w="423" w:type="dxa"/>
            <w:gridSpan w:val="6"/>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081584CB" w14:textId="77777777">
            <w:pPr>
              <w:spacing w:line="276" w:lineRule="auto"/>
              <w:ind w:firstLine="0"/>
              <w:jc w:val="center"/>
              <w:rPr>
                <w:rFonts w:ascii="Verdana" w:hAnsi="Verdana" w:eastAsia="Calibri" w:cs="Arial"/>
                <w:b/>
                <w:color w:val="007BC7"/>
                <w:sz w:val="18"/>
                <w:szCs w:val="18"/>
                <w:lang w:val="nl-NL" w:eastAsia="en-US"/>
              </w:rPr>
            </w:pPr>
          </w:p>
        </w:tc>
        <w:tc>
          <w:tcPr>
            <w:tcW w:w="353"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3C94243B" w14:textId="77777777">
            <w:pPr>
              <w:spacing w:line="276" w:lineRule="auto"/>
              <w:ind w:firstLine="0"/>
              <w:jc w:val="center"/>
              <w:rPr>
                <w:rFonts w:ascii="Verdana" w:hAnsi="Verdana" w:eastAsia="Calibri" w:cs="Arial"/>
                <w:b/>
                <w:color w:val="007BC7"/>
                <w:sz w:val="18"/>
                <w:szCs w:val="18"/>
                <w:lang w:val="nl-NL" w:eastAsia="en-US"/>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1A3EC606" w14:textId="77777777">
            <w:pPr>
              <w:spacing w:line="276" w:lineRule="auto"/>
              <w:ind w:firstLine="0"/>
              <w:jc w:val="center"/>
              <w:rPr>
                <w:rFonts w:ascii="Verdana" w:hAnsi="Verdana" w:eastAsia="Calibri" w:cs="Arial"/>
                <w:b/>
                <w:color w:val="007BC7"/>
                <w:sz w:val="18"/>
                <w:szCs w:val="18"/>
                <w:lang w:val="nl-NL" w:eastAsia="en-US"/>
              </w:rPr>
            </w:pPr>
            <w:r w:rsidRPr="00DE4A5E">
              <w:rPr>
                <w:rFonts w:ascii="Verdana" w:hAnsi="Verdana" w:eastAsia="Calibri" w:cs="Arial"/>
                <w:b/>
                <w:color w:val="007BC7"/>
                <w:sz w:val="18"/>
                <w:szCs w:val="18"/>
                <w:lang w:val="nl-NL" w:eastAsia="en-US"/>
              </w:rPr>
              <w:t>X</w:t>
            </w:r>
          </w:p>
        </w:tc>
        <w:tc>
          <w:tcPr>
            <w:tcW w:w="35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753F9ECE" w14:textId="77777777">
            <w:pPr>
              <w:spacing w:line="276" w:lineRule="auto"/>
              <w:ind w:firstLine="0"/>
              <w:jc w:val="center"/>
              <w:rPr>
                <w:rFonts w:ascii="Verdana" w:hAnsi="Verdana" w:eastAsia="Calibri" w:cs="Arial"/>
                <w:b/>
                <w:color w:val="007BC7"/>
                <w:sz w:val="18"/>
                <w:szCs w:val="18"/>
                <w:lang w:val="nl-NL" w:eastAsia="en-US"/>
              </w:rPr>
            </w:pP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24BC41BE" w14:textId="77777777">
            <w:pPr>
              <w:spacing w:line="276" w:lineRule="auto"/>
              <w:ind w:firstLine="0"/>
              <w:rPr>
                <w:rFonts w:ascii="Verdana" w:hAnsi="Verdana" w:eastAsia="Calibri" w:cs="Arial"/>
                <w:sz w:val="18"/>
                <w:szCs w:val="18"/>
                <w:lang w:val="nl-NL" w:eastAsia="en-US"/>
              </w:rPr>
            </w:pPr>
            <w:r w:rsidRPr="00DE4A5E">
              <w:rPr>
                <w:rFonts w:ascii="Verdana" w:hAnsi="Verdana" w:eastAsia="Calibri" w:cs="Arial"/>
                <w:sz w:val="18"/>
                <w:szCs w:val="18"/>
                <w:lang w:val="nl-NL" w:eastAsia="en-US"/>
              </w:rPr>
              <w:t>II.1</w:t>
            </w:r>
            <w:r w:rsidRPr="00DE4A5E" w:rsidR="00592591">
              <w:rPr>
                <w:rFonts w:ascii="Verdana" w:hAnsi="Verdana" w:eastAsia="Calibri" w:cs="Arial"/>
                <w:sz w:val="18"/>
                <w:szCs w:val="18"/>
                <w:lang w:val="nl-NL" w:eastAsia="en-US"/>
              </w:rPr>
              <w:t>6</w:t>
            </w:r>
          </w:p>
        </w:tc>
      </w:tr>
      <w:tr w:rsidRPr="00DE4A5E" w:rsidR="00BF75B4" w:rsidTr="00E80A06" w14:paraId="16F3FE59" w14:textId="77777777">
        <w:trPr>
          <w:trHeight w:val="255"/>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6CFDD068" w14:textId="77777777">
            <w:pPr>
              <w:spacing w:line="276" w:lineRule="auto"/>
              <w:ind w:firstLine="0"/>
              <w:jc w:val="right"/>
              <w:rPr>
                <w:rFonts w:ascii="Verdana" w:hAnsi="Verdana" w:eastAsia="Calibri" w:cs="Arial"/>
                <w:sz w:val="18"/>
                <w:szCs w:val="18"/>
                <w:lang w:val="nl-NL" w:eastAsia="en-US"/>
              </w:rPr>
            </w:pPr>
            <w:r w:rsidRPr="00DE4A5E">
              <w:rPr>
                <w:rFonts w:ascii="Verdana" w:hAnsi="Verdana" w:eastAsia="Calibri" w:cs="Arial"/>
                <w:sz w:val="18"/>
                <w:szCs w:val="18"/>
                <w:lang w:val="nl-NL" w:eastAsia="en-US"/>
              </w:rPr>
              <w:t>2.12</w:t>
            </w:r>
          </w:p>
        </w:tc>
        <w:tc>
          <w:tcPr>
            <w:tcW w:w="6373"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tcPr>
          <w:p w:rsidRPr="00DE4A5E" w:rsidR="00BF75B4" w:rsidP="00BF75B4" w:rsidRDefault="00BF75B4" w14:paraId="603105C3" w14:textId="77777777">
            <w:pPr>
              <w:spacing w:line="276" w:lineRule="auto"/>
              <w:ind w:firstLine="0"/>
              <w:rPr>
                <w:rFonts w:ascii="Verdana" w:hAnsi="Verdana" w:eastAsia="Calibri" w:cs="Arial"/>
                <w:color w:val="FFFFFF"/>
                <w:sz w:val="18"/>
                <w:szCs w:val="18"/>
                <w:lang w:val="nl-NL" w:eastAsia="en-US"/>
              </w:rPr>
            </w:pPr>
            <w:r w:rsidRPr="00DE4A5E">
              <w:rPr>
                <w:rFonts w:ascii="Verdana" w:hAnsi="Verdana" w:eastAsia="Calibri" w:cs="Arial"/>
                <w:color w:val="FFFFFF"/>
                <w:sz w:val="18"/>
                <w:szCs w:val="18"/>
                <w:lang w:val="nl-NL" w:eastAsia="en-US"/>
              </w:rPr>
              <w:t>Risico dubbele vrijstelling sporters &amp; artiesten geadresseerd</w:t>
            </w:r>
          </w:p>
        </w:tc>
        <w:tc>
          <w:tcPr>
            <w:tcW w:w="423" w:type="dxa"/>
            <w:gridSpan w:val="6"/>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DA3028" w14:paraId="53B6FDE7" w14:textId="77777777">
            <w:pPr>
              <w:spacing w:line="276" w:lineRule="auto"/>
              <w:ind w:firstLine="0"/>
              <w:jc w:val="center"/>
              <w:rPr>
                <w:rFonts w:ascii="Verdana" w:hAnsi="Verdana" w:eastAsia="Calibri" w:cs="Arial"/>
                <w:b/>
                <w:color w:val="007BC7"/>
                <w:sz w:val="18"/>
                <w:szCs w:val="18"/>
                <w:lang w:val="nl-NL" w:eastAsia="en-US"/>
              </w:rPr>
            </w:pPr>
            <w:r w:rsidRPr="00DE4A5E">
              <w:rPr>
                <w:rFonts w:ascii="Verdana" w:hAnsi="Verdana" w:eastAsia="Calibri" w:cs="Arial"/>
                <w:b/>
                <w:color w:val="007BC7"/>
                <w:sz w:val="18"/>
                <w:szCs w:val="18"/>
                <w:lang w:val="nl-NL" w:eastAsia="en-US"/>
              </w:rPr>
              <w:t>X</w:t>
            </w:r>
          </w:p>
        </w:tc>
        <w:tc>
          <w:tcPr>
            <w:tcW w:w="353"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2E376E9F" w14:textId="77777777">
            <w:pPr>
              <w:spacing w:line="276" w:lineRule="auto"/>
              <w:ind w:firstLine="0"/>
              <w:jc w:val="center"/>
              <w:rPr>
                <w:rFonts w:ascii="Verdana" w:hAnsi="Verdana" w:eastAsia="Calibri" w:cs="Arial"/>
                <w:b/>
                <w:color w:val="007BC7"/>
                <w:sz w:val="18"/>
                <w:szCs w:val="18"/>
                <w:lang w:val="nl-NL" w:eastAsia="en-US"/>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1F9B8C3A" w14:textId="77777777">
            <w:pPr>
              <w:spacing w:line="276" w:lineRule="auto"/>
              <w:ind w:firstLine="0"/>
              <w:jc w:val="center"/>
              <w:rPr>
                <w:rFonts w:ascii="Verdana" w:hAnsi="Verdana" w:eastAsia="Calibri" w:cs="Arial"/>
                <w:b/>
                <w:color w:val="007BC7"/>
                <w:sz w:val="18"/>
                <w:szCs w:val="18"/>
                <w:lang w:val="nl-NL" w:eastAsia="en-US"/>
              </w:rPr>
            </w:pPr>
          </w:p>
        </w:tc>
        <w:tc>
          <w:tcPr>
            <w:tcW w:w="35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2D5F44F8" w14:textId="77777777">
            <w:pPr>
              <w:spacing w:line="276" w:lineRule="auto"/>
              <w:ind w:firstLine="0"/>
              <w:jc w:val="center"/>
              <w:rPr>
                <w:rFonts w:ascii="Verdana" w:hAnsi="Verdana" w:eastAsia="Calibri" w:cs="Arial"/>
                <w:b/>
                <w:color w:val="007BC7"/>
                <w:sz w:val="18"/>
                <w:szCs w:val="18"/>
                <w:lang w:val="nl-NL" w:eastAsia="en-US"/>
              </w:rPr>
            </w:pP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3AE5A4E7" w14:textId="77777777">
            <w:pPr>
              <w:spacing w:line="276" w:lineRule="auto"/>
              <w:ind w:firstLine="0"/>
              <w:rPr>
                <w:rFonts w:ascii="Verdana" w:hAnsi="Verdana" w:eastAsia="Calibri" w:cs="Arial"/>
                <w:sz w:val="18"/>
                <w:szCs w:val="18"/>
                <w:lang w:val="nl-NL" w:eastAsia="en-US"/>
              </w:rPr>
            </w:pPr>
            <w:r w:rsidRPr="00DE4A5E">
              <w:rPr>
                <w:rFonts w:ascii="Verdana" w:hAnsi="Verdana" w:eastAsia="Calibri" w:cs="Arial"/>
                <w:sz w:val="18"/>
                <w:szCs w:val="18"/>
                <w:lang w:val="nl-NL" w:eastAsia="en-US"/>
              </w:rPr>
              <w:t>II.1</w:t>
            </w:r>
            <w:r w:rsidRPr="00DE4A5E" w:rsidR="00592591">
              <w:rPr>
                <w:rFonts w:ascii="Verdana" w:hAnsi="Verdana" w:eastAsia="Calibri" w:cs="Arial"/>
                <w:sz w:val="18"/>
                <w:szCs w:val="18"/>
                <w:lang w:val="nl-NL" w:eastAsia="en-US"/>
              </w:rPr>
              <w:t>6</w:t>
            </w:r>
          </w:p>
        </w:tc>
      </w:tr>
      <w:tr w:rsidRPr="00DE4A5E" w:rsidR="00BF75B4" w:rsidTr="00E80A06" w14:paraId="4B259CF4" w14:textId="77777777">
        <w:trPr>
          <w:trHeight w:val="255"/>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29715A4D" w14:textId="77777777">
            <w:pPr>
              <w:spacing w:line="276" w:lineRule="auto"/>
              <w:ind w:firstLine="0"/>
              <w:jc w:val="right"/>
              <w:rPr>
                <w:rFonts w:ascii="Verdana" w:hAnsi="Verdana" w:eastAsia="Calibri" w:cs="Arial"/>
                <w:sz w:val="18"/>
                <w:szCs w:val="18"/>
                <w:lang w:val="nl-NL" w:eastAsia="en-US"/>
              </w:rPr>
            </w:pPr>
            <w:r w:rsidRPr="00DE4A5E">
              <w:rPr>
                <w:rFonts w:ascii="Verdana" w:hAnsi="Verdana" w:eastAsia="Calibri" w:cs="Arial"/>
                <w:sz w:val="18"/>
                <w:szCs w:val="18"/>
                <w:lang w:val="nl-NL" w:eastAsia="en-US"/>
              </w:rPr>
              <w:t>2.13</w:t>
            </w:r>
          </w:p>
        </w:tc>
        <w:tc>
          <w:tcPr>
            <w:tcW w:w="6373"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tcPr>
          <w:p w:rsidRPr="00DE4A5E" w:rsidR="00BF75B4" w:rsidP="00BF75B4" w:rsidRDefault="00BF75B4" w14:paraId="7CA1F7C3" w14:textId="77777777">
            <w:pPr>
              <w:spacing w:line="276" w:lineRule="auto"/>
              <w:ind w:firstLine="0"/>
              <w:rPr>
                <w:rFonts w:ascii="Verdana" w:hAnsi="Verdana" w:eastAsia="Calibri" w:cs="Arial"/>
                <w:color w:val="FFFFFF"/>
                <w:sz w:val="18"/>
                <w:szCs w:val="18"/>
                <w:lang w:val="nl-NL" w:eastAsia="en-US"/>
              </w:rPr>
            </w:pPr>
            <w:r w:rsidRPr="00DE4A5E">
              <w:rPr>
                <w:rFonts w:ascii="Verdana" w:hAnsi="Verdana" w:eastAsia="Calibri" w:cs="Arial"/>
                <w:color w:val="FFFFFF"/>
                <w:sz w:val="18"/>
                <w:szCs w:val="18"/>
                <w:lang w:val="nl-NL" w:eastAsia="en-US"/>
              </w:rPr>
              <w:t>Specifieke bepaling (hoog)leraren achterwege gelaten</w:t>
            </w:r>
          </w:p>
        </w:tc>
        <w:tc>
          <w:tcPr>
            <w:tcW w:w="423" w:type="dxa"/>
            <w:gridSpan w:val="6"/>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6CAAF217" w14:textId="77777777">
            <w:pPr>
              <w:spacing w:line="276" w:lineRule="auto"/>
              <w:ind w:firstLine="0"/>
              <w:jc w:val="center"/>
              <w:rPr>
                <w:rFonts w:ascii="Verdana" w:hAnsi="Verdana" w:eastAsia="Calibri" w:cs="Arial"/>
                <w:b/>
                <w:color w:val="007BC7"/>
                <w:sz w:val="18"/>
                <w:szCs w:val="18"/>
                <w:lang w:val="nl-NL" w:eastAsia="en-US"/>
              </w:rPr>
            </w:pPr>
          </w:p>
        </w:tc>
        <w:tc>
          <w:tcPr>
            <w:tcW w:w="353"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75165F1A" w14:textId="77777777">
            <w:pPr>
              <w:spacing w:line="276" w:lineRule="auto"/>
              <w:ind w:firstLine="0"/>
              <w:jc w:val="center"/>
              <w:rPr>
                <w:rFonts w:ascii="Verdana" w:hAnsi="Verdana" w:eastAsia="Calibri" w:cs="Arial"/>
                <w:b/>
                <w:color w:val="007BC7"/>
                <w:sz w:val="18"/>
                <w:szCs w:val="18"/>
                <w:lang w:val="nl-NL" w:eastAsia="en-US"/>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764B674C" w14:textId="77777777">
            <w:pPr>
              <w:spacing w:line="276" w:lineRule="auto"/>
              <w:ind w:firstLine="0"/>
              <w:jc w:val="center"/>
              <w:rPr>
                <w:rFonts w:ascii="Verdana" w:hAnsi="Verdana" w:eastAsia="Calibri" w:cs="Arial"/>
                <w:b/>
                <w:color w:val="007BC7"/>
                <w:sz w:val="18"/>
                <w:szCs w:val="18"/>
                <w:lang w:val="nl-NL" w:eastAsia="en-US"/>
              </w:rPr>
            </w:pPr>
            <w:r w:rsidRPr="00DE4A5E">
              <w:rPr>
                <w:rFonts w:ascii="Verdana" w:hAnsi="Verdana" w:eastAsia="Calibri" w:cs="Arial"/>
                <w:b/>
                <w:color w:val="007BC7"/>
                <w:sz w:val="18"/>
                <w:szCs w:val="18"/>
                <w:lang w:val="nl-NL" w:eastAsia="en-US"/>
              </w:rPr>
              <w:t>X</w:t>
            </w:r>
          </w:p>
        </w:tc>
        <w:tc>
          <w:tcPr>
            <w:tcW w:w="35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45C6BC61" w14:textId="77777777">
            <w:pPr>
              <w:spacing w:line="276" w:lineRule="auto"/>
              <w:ind w:firstLine="0"/>
              <w:jc w:val="center"/>
              <w:rPr>
                <w:rFonts w:ascii="Verdana" w:hAnsi="Verdana" w:eastAsia="Calibri" w:cs="Arial"/>
                <w:b/>
                <w:color w:val="007BC7"/>
                <w:sz w:val="18"/>
                <w:szCs w:val="18"/>
                <w:lang w:val="nl-NL" w:eastAsia="en-US"/>
              </w:rPr>
            </w:pP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7435B31F" w14:textId="77777777">
            <w:pPr>
              <w:spacing w:line="276" w:lineRule="auto"/>
              <w:ind w:firstLine="0"/>
              <w:rPr>
                <w:rFonts w:ascii="Verdana" w:hAnsi="Verdana" w:eastAsia="Calibri" w:cs="Arial"/>
                <w:sz w:val="18"/>
                <w:szCs w:val="18"/>
                <w:lang w:val="nl-NL" w:eastAsia="en-US"/>
              </w:rPr>
            </w:pPr>
            <w:r w:rsidRPr="00DE4A5E">
              <w:rPr>
                <w:rFonts w:ascii="Verdana" w:hAnsi="Verdana" w:eastAsia="Calibri" w:cs="Arial"/>
                <w:sz w:val="18"/>
                <w:szCs w:val="18"/>
                <w:lang w:val="nl-NL" w:eastAsia="en-US"/>
              </w:rPr>
              <w:t>II.20</w:t>
            </w:r>
          </w:p>
        </w:tc>
      </w:tr>
      <w:tr w:rsidRPr="00DE4A5E" w:rsidR="00BF75B4" w:rsidTr="00E80A06" w14:paraId="4C06B81A" w14:textId="77777777">
        <w:trPr>
          <w:gridAfter w:val="10"/>
          <w:wAfter w:w="1952" w:type="dxa"/>
          <w:cantSplit/>
          <w:trHeight w:val="403"/>
        </w:trPr>
        <w:tc>
          <w:tcPr>
            <w:tcW w:w="693" w:type="dxa"/>
            <w:shd w:val="clear" w:color="auto" w:fill="FFFFFF"/>
            <w:vAlign w:val="center"/>
          </w:tcPr>
          <w:p w:rsidRPr="00DE4A5E" w:rsidR="00BF75B4" w:rsidP="00BF75B4" w:rsidRDefault="00BF75B4" w14:paraId="7D031DAB" w14:textId="77777777">
            <w:pPr>
              <w:spacing w:line="276" w:lineRule="auto"/>
              <w:ind w:firstLine="0"/>
              <w:jc w:val="right"/>
              <w:rPr>
                <w:rFonts w:ascii="Verdana" w:hAnsi="Verdana" w:eastAsia="Calibri" w:cs="Arial"/>
                <w:sz w:val="18"/>
                <w:szCs w:val="18"/>
                <w:lang w:val="nl-NL" w:eastAsia="en-US"/>
              </w:rPr>
            </w:pPr>
          </w:p>
        </w:tc>
        <w:tc>
          <w:tcPr>
            <w:tcW w:w="6531" w:type="dxa"/>
            <w:gridSpan w:val="5"/>
            <w:shd w:val="clear" w:color="auto" w:fill="FFFFFF"/>
            <w:vAlign w:val="center"/>
          </w:tcPr>
          <w:p w:rsidRPr="00DE4A5E" w:rsidR="00BF75B4" w:rsidP="00BF75B4" w:rsidRDefault="00BF75B4" w14:paraId="7B9631F0" w14:textId="77777777">
            <w:pPr>
              <w:ind w:firstLine="0"/>
              <w:rPr>
                <w:rFonts w:ascii="Verdana" w:hAnsi="Verdana" w:cs="Arial"/>
                <w:i/>
                <w:sz w:val="18"/>
                <w:szCs w:val="18"/>
              </w:rPr>
            </w:pPr>
            <w:r w:rsidRPr="00DE4A5E">
              <w:rPr>
                <w:rFonts w:ascii="Verdana" w:hAnsi="Verdana" w:eastAsia="Calibri" w:cs="Arial"/>
                <w:i/>
                <w:sz w:val="18"/>
                <w:szCs w:val="18"/>
                <w:lang w:val="nl-NL" w:eastAsia="en-US"/>
              </w:rPr>
              <w:t>Voorkomingsmethodiek</w:t>
            </w:r>
          </w:p>
        </w:tc>
      </w:tr>
      <w:tr w:rsidRPr="00DE4A5E" w:rsidR="00BF75B4" w:rsidTr="00E80A06" w14:paraId="06511D66" w14:textId="77777777">
        <w:trPr>
          <w:trHeight w:val="255"/>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38D19749" w14:textId="77777777">
            <w:pPr>
              <w:spacing w:line="276" w:lineRule="auto"/>
              <w:ind w:firstLine="0"/>
              <w:jc w:val="right"/>
              <w:rPr>
                <w:rFonts w:ascii="Verdana" w:hAnsi="Verdana" w:eastAsia="Calibri" w:cs="Arial"/>
                <w:sz w:val="18"/>
                <w:szCs w:val="18"/>
                <w:lang w:val="nl-NL" w:eastAsia="en-US"/>
              </w:rPr>
            </w:pPr>
            <w:r w:rsidRPr="00DE4A5E">
              <w:rPr>
                <w:rFonts w:ascii="Verdana" w:hAnsi="Verdana" w:eastAsia="Calibri" w:cs="Arial"/>
                <w:sz w:val="18"/>
                <w:szCs w:val="18"/>
                <w:lang w:val="nl-NL" w:eastAsia="en-US"/>
              </w:rPr>
              <w:t>2.15.1</w:t>
            </w:r>
          </w:p>
        </w:tc>
        <w:tc>
          <w:tcPr>
            <w:tcW w:w="6373"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tcPr>
          <w:p w:rsidRPr="00DE4A5E" w:rsidR="00BF75B4" w:rsidP="00BF75B4" w:rsidRDefault="00BF75B4" w14:paraId="5BA59D31" w14:textId="77777777">
            <w:pPr>
              <w:spacing w:line="276" w:lineRule="auto"/>
              <w:ind w:firstLine="0"/>
              <w:rPr>
                <w:rFonts w:ascii="Verdana" w:hAnsi="Verdana" w:eastAsia="Calibri" w:cs="Arial"/>
                <w:color w:val="FFFFFF"/>
                <w:sz w:val="18"/>
                <w:szCs w:val="18"/>
                <w:lang w:val="nl-NL" w:eastAsia="en-US"/>
              </w:rPr>
            </w:pPr>
            <w:r w:rsidRPr="00DE4A5E">
              <w:rPr>
                <w:rFonts w:ascii="Verdana" w:hAnsi="Verdana" w:eastAsia="Calibri" w:cs="Arial"/>
                <w:color w:val="FFFFFF"/>
                <w:sz w:val="18"/>
                <w:szCs w:val="18"/>
                <w:lang w:val="nl-NL" w:eastAsia="en-US"/>
              </w:rPr>
              <w:t xml:space="preserve">Nederlandse voorkomingsmethodiek opgenomen </w:t>
            </w:r>
          </w:p>
        </w:tc>
        <w:tc>
          <w:tcPr>
            <w:tcW w:w="358"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7B8C3A30" w14:textId="77777777">
            <w:pPr>
              <w:spacing w:line="276" w:lineRule="auto"/>
              <w:ind w:firstLine="0"/>
              <w:jc w:val="center"/>
              <w:rPr>
                <w:rFonts w:ascii="Verdana" w:hAnsi="Verdana" w:eastAsia="Calibri" w:cs="Arial"/>
                <w:b/>
                <w:color w:val="007BC7"/>
                <w:sz w:val="18"/>
                <w:szCs w:val="18"/>
                <w:lang w:val="nl-NL" w:eastAsia="en-US"/>
              </w:rPr>
            </w:pPr>
            <w:r w:rsidRPr="00DE4A5E">
              <w:rPr>
                <w:rFonts w:ascii="Verdana" w:hAnsi="Verdana" w:eastAsia="Calibri" w:cs="Arial"/>
                <w:b/>
                <w:color w:val="007BC7"/>
                <w:sz w:val="18"/>
                <w:szCs w:val="18"/>
                <w:lang w:val="nl-NL" w:eastAsia="en-US"/>
              </w:rPr>
              <w:t>X</w:t>
            </w:r>
          </w:p>
        </w:tc>
        <w:tc>
          <w:tcPr>
            <w:tcW w:w="418"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4DA13807" w14:textId="77777777">
            <w:pPr>
              <w:spacing w:line="276" w:lineRule="auto"/>
              <w:ind w:firstLine="0"/>
              <w:jc w:val="center"/>
              <w:rPr>
                <w:rFonts w:ascii="Verdana" w:hAnsi="Verdana" w:eastAsia="Calibri" w:cs="Arial"/>
                <w:b/>
                <w:color w:val="007BC7"/>
                <w:sz w:val="18"/>
                <w:szCs w:val="18"/>
                <w:lang w:val="nl-NL" w:eastAsia="en-US"/>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3CEF304C" w14:textId="77777777">
            <w:pPr>
              <w:spacing w:line="276" w:lineRule="auto"/>
              <w:ind w:firstLine="0"/>
              <w:jc w:val="center"/>
              <w:rPr>
                <w:rFonts w:ascii="Verdana" w:hAnsi="Verdana" w:eastAsia="Calibri" w:cs="Arial"/>
                <w:b/>
                <w:color w:val="007BC7"/>
                <w:sz w:val="18"/>
                <w:szCs w:val="18"/>
                <w:lang w:val="nl-NL" w:eastAsia="en-US"/>
              </w:rPr>
            </w:pPr>
          </w:p>
        </w:tc>
        <w:tc>
          <w:tcPr>
            <w:tcW w:w="35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3F1C9F96" w14:textId="77777777">
            <w:pPr>
              <w:spacing w:line="276" w:lineRule="auto"/>
              <w:ind w:firstLine="0"/>
              <w:jc w:val="center"/>
              <w:rPr>
                <w:rFonts w:ascii="Verdana" w:hAnsi="Verdana" w:eastAsia="Calibri" w:cs="Arial"/>
                <w:b/>
                <w:color w:val="007BC7"/>
                <w:sz w:val="18"/>
                <w:szCs w:val="18"/>
                <w:lang w:val="nl-NL" w:eastAsia="en-US"/>
              </w:rPr>
            </w:pP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48231E60" w14:textId="77777777">
            <w:pPr>
              <w:spacing w:line="276" w:lineRule="auto"/>
              <w:ind w:firstLine="0"/>
              <w:rPr>
                <w:rFonts w:ascii="Verdana" w:hAnsi="Verdana" w:eastAsia="Calibri" w:cs="Arial"/>
                <w:sz w:val="18"/>
                <w:szCs w:val="18"/>
                <w:lang w:val="nl-NL" w:eastAsia="en-US"/>
              </w:rPr>
            </w:pPr>
            <w:r w:rsidRPr="00DE4A5E">
              <w:rPr>
                <w:rFonts w:ascii="Verdana" w:hAnsi="Verdana" w:eastAsia="Calibri" w:cs="Arial"/>
                <w:sz w:val="18"/>
                <w:szCs w:val="18"/>
                <w:lang w:val="nl-NL" w:eastAsia="en-US"/>
              </w:rPr>
              <w:t>II.23</w:t>
            </w:r>
          </w:p>
        </w:tc>
      </w:tr>
      <w:tr w:rsidRPr="00DE4A5E" w:rsidR="00BF75B4" w:rsidTr="00E80A06" w14:paraId="544A3592" w14:textId="77777777">
        <w:trPr>
          <w:trHeight w:val="255"/>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70E18155" w14:textId="77777777">
            <w:pPr>
              <w:spacing w:line="276" w:lineRule="auto"/>
              <w:ind w:firstLine="0"/>
              <w:jc w:val="right"/>
              <w:rPr>
                <w:rFonts w:ascii="Verdana" w:hAnsi="Verdana" w:eastAsia="Calibri" w:cs="Arial"/>
                <w:sz w:val="18"/>
                <w:szCs w:val="18"/>
                <w:lang w:val="nl-NL" w:eastAsia="en-US"/>
              </w:rPr>
            </w:pPr>
            <w:r w:rsidRPr="00DE4A5E">
              <w:rPr>
                <w:rFonts w:ascii="Verdana" w:hAnsi="Verdana" w:eastAsia="Calibri" w:cs="Arial"/>
                <w:sz w:val="18"/>
                <w:szCs w:val="18"/>
                <w:lang w:val="nl-NL" w:eastAsia="en-US"/>
              </w:rPr>
              <w:t>2.15.2</w:t>
            </w:r>
          </w:p>
        </w:tc>
        <w:tc>
          <w:tcPr>
            <w:tcW w:w="6373"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tcPr>
          <w:p w:rsidRPr="00DE4A5E" w:rsidR="00BF75B4" w:rsidP="00BF75B4" w:rsidRDefault="00BF75B4" w14:paraId="162B8B53" w14:textId="77777777">
            <w:pPr>
              <w:spacing w:line="276" w:lineRule="auto"/>
              <w:ind w:firstLine="0"/>
              <w:rPr>
                <w:rFonts w:ascii="Verdana" w:hAnsi="Verdana" w:eastAsia="Calibri" w:cs="Arial"/>
                <w:color w:val="FFFFFF"/>
                <w:sz w:val="18"/>
                <w:szCs w:val="18"/>
                <w:lang w:val="nl-NL" w:eastAsia="en-US"/>
              </w:rPr>
            </w:pPr>
            <w:r w:rsidRPr="00DE4A5E">
              <w:rPr>
                <w:rFonts w:ascii="Verdana" w:hAnsi="Verdana" w:eastAsia="Calibri" w:cs="Arial"/>
                <w:color w:val="FFFFFF"/>
                <w:sz w:val="18"/>
                <w:szCs w:val="18"/>
                <w:lang w:val="nl-NL" w:eastAsia="en-US"/>
              </w:rPr>
              <w:t>Geen tax sparing credit opgenomen</w:t>
            </w:r>
          </w:p>
        </w:tc>
        <w:tc>
          <w:tcPr>
            <w:tcW w:w="358"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1F8CA2EE" w14:textId="77777777">
            <w:pPr>
              <w:spacing w:line="276" w:lineRule="auto"/>
              <w:ind w:firstLine="0"/>
              <w:jc w:val="center"/>
              <w:rPr>
                <w:rFonts w:ascii="Verdana" w:hAnsi="Verdana" w:eastAsia="Calibri" w:cs="Arial"/>
                <w:b/>
                <w:color w:val="007BC7"/>
                <w:sz w:val="18"/>
                <w:szCs w:val="18"/>
                <w:lang w:val="nl-NL" w:eastAsia="en-US"/>
              </w:rPr>
            </w:pPr>
            <w:r w:rsidRPr="00DE4A5E">
              <w:rPr>
                <w:rFonts w:ascii="Verdana" w:hAnsi="Verdana" w:eastAsia="Calibri" w:cs="Arial"/>
                <w:b/>
                <w:color w:val="007BC7"/>
                <w:sz w:val="18"/>
                <w:szCs w:val="18"/>
                <w:lang w:val="nl-NL" w:eastAsia="en-US"/>
              </w:rPr>
              <w:t>X</w:t>
            </w:r>
          </w:p>
        </w:tc>
        <w:tc>
          <w:tcPr>
            <w:tcW w:w="418"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71534BA4" w14:textId="77777777">
            <w:pPr>
              <w:spacing w:line="276" w:lineRule="auto"/>
              <w:ind w:firstLine="0"/>
              <w:jc w:val="center"/>
              <w:rPr>
                <w:rFonts w:ascii="Verdana" w:hAnsi="Verdana" w:eastAsia="Calibri" w:cs="Arial"/>
                <w:b/>
                <w:color w:val="007BC7"/>
                <w:sz w:val="18"/>
                <w:szCs w:val="18"/>
                <w:lang w:val="nl-NL" w:eastAsia="en-US"/>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2389C1D9" w14:textId="77777777">
            <w:pPr>
              <w:spacing w:line="276" w:lineRule="auto"/>
              <w:ind w:firstLine="0"/>
              <w:jc w:val="center"/>
              <w:rPr>
                <w:rFonts w:ascii="Verdana" w:hAnsi="Verdana" w:eastAsia="Calibri" w:cs="Arial"/>
                <w:b/>
                <w:color w:val="007BC7"/>
                <w:sz w:val="18"/>
                <w:szCs w:val="18"/>
                <w:lang w:val="nl-NL" w:eastAsia="en-US"/>
              </w:rPr>
            </w:pPr>
          </w:p>
        </w:tc>
        <w:tc>
          <w:tcPr>
            <w:tcW w:w="35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76DE71A1" w14:textId="77777777">
            <w:pPr>
              <w:spacing w:line="276" w:lineRule="auto"/>
              <w:ind w:firstLine="0"/>
              <w:jc w:val="center"/>
              <w:rPr>
                <w:rFonts w:ascii="Verdana" w:hAnsi="Verdana" w:eastAsia="Calibri" w:cs="Arial"/>
                <w:b/>
                <w:color w:val="007BC7"/>
                <w:sz w:val="18"/>
                <w:szCs w:val="18"/>
                <w:lang w:val="nl-NL" w:eastAsia="en-US"/>
              </w:rPr>
            </w:pP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4EBA187C" w14:textId="77777777">
            <w:pPr>
              <w:spacing w:line="276" w:lineRule="auto"/>
              <w:ind w:firstLine="0"/>
              <w:rPr>
                <w:rFonts w:ascii="Verdana" w:hAnsi="Verdana" w:eastAsia="Calibri" w:cs="Arial"/>
                <w:sz w:val="18"/>
                <w:szCs w:val="18"/>
                <w:lang w:val="nl-NL" w:eastAsia="en-US"/>
              </w:rPr>
            </w:pPr>
            <w:r w:rsidRPr="00DE4A5E">
              <w:rPr>
                <w:rFonts w:ascii="Verdana" w:hAnsi="Verdana" w:eastAsia="Calibri" w:cs="Arial"/>
                <w:sz w:val="18"/>
                <w:szCs w:val="18"/>
                <w:lang w:val="nl-NL" w:eastAsia="en-US"/>
              </w:rPr>
              <w:t>II.23</w:t>
            </w:r>
          </w:p>
        </w:tc>
      </w:tr>
      <w:tr w:rsidRPr="00DE4A5E" w:rsidR="00BF75B4" w:rsidTr="00E80A06" w14:paraId="2187BDC7" w14:textId="77777777">
        <w:trPr>
          <w:gridAfter w:val="10"/>
          <w:wAfter w:w="1952" w:type="dxa"/>
          <w:cantSplit/>
          <w:trHeight w:val="403"/>
        </w:trPr>
        <w:tc>
          <w:tcPr>
            <w:tcW w:w="693" w:type="dxa"/>
            <w:shd w:val="clear" w:color="auto" w:fill="FFFFFF"/>
            <w:vAlign w:val="center"/>
          </w:tcPr>
          <w:p w:rsidRPr="00DE4A5E" w:rsidR="00BF75B4" w:rsidP="00BF75B4" w:rsidRDefault="00BF75B4" w14:paraId="3DF60ACA" w14:textId="77777777">
            <w:pPr>
              <w:spacing w:line="276" w:lineRule="auto"/>
              <w:ind w:firstLine="0"/>
              <w:jc w:val="right"/>
              <w:rPr>
                <w:rFonts w:ascii="Verdana" w:hAnsi="Verdana" w:eastAsia="Calibri" w:cs="Arial"/>
                <w:sz w:val="18"/>
                <w:szCs w:val="18"/>
                <w:lang w:val="nl-NL" w:eastAsia="en-US"/>
              </w:rPr>
            </w:pPr>
          </w:p>
        </w:tc>
        <w:tc>
          <w:tcPr>
            <w:tcW w:w="6531" w:type="dxa"/>
            <w:gridSpan w:val="5"/>
            <w:shd w:val="clear" w:color="auto" w:fill="FFFFFF"/>
            <w:vAlign w:val="center"/>
          </w:tcPr>
          <w:p w:rsidRPr="00DE4A5E" w:rsidR="00BF75B4" w:rsidP="00BF75B4" w:rsidRDefault="00BF75B4" w14:paraId="2308BEAD" w14:textId="77777777">
            <w:pPr>
              <w:ind w:firstLine="0"/>
              <w:rPr>
                <w:rFonts w:ascii="Verdana" w:hAnsi="Verdana" w:cs="Arial"/>
                <w:i/>
                <w:sz w:val="18"/>
                <w:szCs w:val="18"/>
              </w:rPr>
            </w:pPr>
            <w:r w:rsidRPr="00DE4A5E">
              <w:rPr>
                <w:rFonts w:ascii="Verdana" w:hAnsi="Verdana" w:eastAsia="Calibri" w:cs="Arial"/>
                <w:i/>
                <w:sz w:val="18"/>
                <w:szCs w:val="18"/>
                <w:lang w:val="nl-NL" w:eastAsia="en-US"/>
              </w:rPr>
              <w:t>Administratieve samenwerking en overig</w:t>
            </w:r>
          </w:p>
        </w:tc>
      </w:tr>
      <w:tr w:rsidRPr="00DE4A5E" w:rsidR="00BF75B4" w:rsidTr="00E80A06" w14:paraId="39858390" w14:textId="77777777">
        <w:trPr>
          <w:trHeight w:val="255"/>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6F884758" w14:textId="77777777">
            <w:pPr>
              <w:spacing w:line="276" w:lineRule="auto"/>
              <w:ind w:firstLine="0"/>
              <w:jc w:val="right"/>
              <w:rPr>
                <w:rFonts w:ascii="Verdana" w:hAnsi="Verdana" w:eastAsia="Calibri" w:cs="Arial"/>
                <w:sz w:val="18"/>
                <w:szCs w:val="18"/>
                <w:lang w:val="nl-NL" w:eastAsia="en-US"/>
              </w:rPr>
            </w:pPr>
            <w:r w:rsidRPr="00DE4A5E">
              <w:rPr>
                <w:rFonts w:ascii="Verdana" w:hAnsi="Verdana" w:eastAsia="Calibri" w:cs="Arial"/>
                <w:sz w:val="18"/>
                <w:szCs w:val="18"/>
                <w:lang w:val="nl-NL" w:eastAsia="en-US"/>
              </w:rPr>
              <w:t>2.16.1</w:t>
            </w:r>
          </w:p>
        </w:tc>
        <w:tc>
          <w:tcPr>
            <w:tcW w:w="6373"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tcPr>
          <w:p w:rsidRPr="00DE4A5E" w:rsidR="00BF75B4" w:rsidP="00BF75B4" w:rsidRDefault="00BF75B4" w14:paraId="5A25E2D1" w14:textId="77777777">
            <w:pPr>
              <w:spacing w:line="276" w:lineRule="auto"/>
              <w:ind w:firstLine="0"/>
              <w:rPr>
                <w:rFonts w:ascii="Verdana" w:hAnsi="Verdana" w:eastAsia="Calibri" w:cs="Arial"/>
                <w:color w:val="FFFFFF"/>
                <w:sz w:val="18"/>
                <w:szCs w:val="18"/>
                <w:lang w:val="nl-NL" w:eastAsia="en-US"/>
              </w:rPr>
            </w:pPr>
            <w:r w:rsidRPr="00DE4A5E">
              <w:rPr>
                <w:rFonts w:ascii="Verdana" w:hAnsi="Verdana" w:eastAsia="Calibri" w:cs="Arial"/>
                <w:color w:val="FFFFFF"/>
                <w:sz w:val="18"/>
                <w:szCs w:val="18"/>
                <w:lang w:val="nl-NL" w:eastAsia="en-US"/>
              </w:rPr>
              <w:t>Verdergaande informatie-uitwisseling mogelijk dan uitwisseling op verzoek</w:t>
            </w:r>
          </w:p>
        </w:tc>
        <w:tc>
          <w:tcPr>
            <w:tcW w:w="358"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7A7B62D5" w14:textId="77777777">
            <w:pPr>
              <w:spacing w:line="276" w:lineRule="auto"/>
              <w:ind w:firstLine="0"/>
              <w:jc w:val="center"/>
              <w:rPr>
                <w:rFonts w:ascii="Verdana" w:hAnsi="Verdana" w:eastAsia="Calibri" w:cs="Arial"/>
                <w:b/>
                <w:color w:val="007BC7"/>
                <w:sz w:val="18"/>
                <w:szCs w:val="18"/>
                <w:lang w:val="nl-NL" w:eastAsia="en-US"/>
              </w:rPr>
            </w:pPr>
            <w:r w:rsidRPr="00DE4A5E">
              <w:rPr>
                <w:rFonts w:ascii="Verdana" w:hAnsi="Verdana" w:eastAsia="Calibri" w:cs="Arial"/>
                <w:b/>
                <w:color w:val="007BC7"/>
                <w:sz w:val="18"/>
                <w:szCs w:val="18"/>
                <w:lang w:val="nl-NL" w:eastAsia="en-US"/>
              </w:rPr>
              <w:t>X</w:t>
            </w:r>
          </w:p>
        </w:tc>
        <w:tc>
          <w:tcPr>
            <w:tcW w:w="418"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6A8B8FB2" w14:textId="77777777">
            <w:pPr>
              <w:spacing w:line="276" w:lineRule="auto"/>
              <w:ind w:firstLine="0"/>
              <w:jc w:val="center"/>
              <w:rPr>
                <w:rFonts w:ascii="Verdana" w:hAnsi="Verdana" w:eastAsia="Calibri" w:cs="Arial"/>
                <w:b/>
                <w:color w:val="007BC7"/>
                <w:sz w:val="18"/>
                <w:szCs w:val="18"/>
                <w:lang w:val="nl-NL" w:eastAsia="en-US"/>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0714857F" w14:textId="77777777">
            <w:pPr>
              <w:spacing w:line="276" w:lineRule="auto"/>
              <w:ind w:firstLine="0"/>
              <w:jc w:val="center"/>
              <w:rPr>
                <w:rFonts w:ascii="Verdana" w:hAnsi="Verdana" w:eastAsia="Calibri" w:cs="Arial"/>
                <w:b/>
                <w:color w:val="007BC7"/>
                <w:sz w:val="18"/>
                <w:szCs w:val="18"/>
                <w:lang w:val="nl-NL" w:eastAsia="en-US"/>
              </w:rPr>
            </w:pPr>
          </w:p>
        </w:tc>
        <w:tc>
          <w:tcPr>
            <w:tcW w:w="35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395206D8" w14:textId="77777777">
            <w:pPr>
              <w:spacing w:line="276" w:lineRule="auto"/>
              <w:ind w:firstLine="0"/>
              <w:jc w:val="center"/>
              <w:rPr>
                <w:rFonts w:ascii="Verdana" w:hAnsi="Verdana" w:eastAsia="Calibri" w:cs="Arial"/>
                <w:b/>
                <w:color w:val="007BC7"/>
                <w:sz w:val="18"/>
                <w:szCs w:val="18"/>
                <w:lang w:val="nl-NL" w:eastAsia="en-US"/>
              </w:rPr>
            </w:pP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1ADD5EAB" w14:textId="77777777">
            <w:pPr>
              <w:spacing w:line="276" w:lineRule="auto"/>
              <w:ind w:firstLine="0"/>
              <w:rPr>
                <w:rFonts w:ascii="Verdana" w:hAnsi="Verdana" w:eastAsia="Calibri" w:cs="Arial"/>
                <w:sz w:val="18"/>
                <w:szCs w:val="18"/>
                <w:lang w:val="nl-NL" w:eastAsia="en-US"/>
              </w:rPr>
            </w:pPr>
            <w:r w:rsidRPr="00DE4A5E">
              <w:rPr>
                <w:rFonts w:ascii="Verdana" w:hAnsi="Verdana" w:eastAsia="Calibri" w:cs="Arial"/>
                <w:sz w:val="18"/>
                <w:szCs w:val="18"/>
                <w:lang w:val="nl-NL" w:eastAsia="en-US"/>
              </w:rPr>
              <w:t>II.26</w:t>
            </w:r>
          </w:p>
        </w:tc>
      </w:tr>
      <w:tr w:rsidRPr="00DE4A5E" w:rsidR="00BF75B4" w:rsidTr="00E80A06" w14:paraId="2F09B8C2" w14:textId="77777777">
        <w:trPr>
          <w:trHeight w:val="255"/>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5215030E" w14:textId="77777777">
            <w:pPr>
              <w:spacing w:line="276" w:lineRule="auto"/>
              <w:ind w:firstLine="0"/>
              <w:jc w:val="right"/>
              <w:rPr>
                <w:rFonts w:ascii="Verdana" w:hAnsi="Verdana" w:eastAsia="Calibri" w:cs="Arial"/>
                <w:sz w:val="18"/>
                <w:szCs w:val="18"/>
                <w:lang w:val="nl-NL" w:eastAsia="en-US"/>
              </w:rPr>
            </w:pPr>
            <w:r w:rsidRPr="00DE4A5E">
              <w:rPr>
                <w:rFonts w:ascii="Verdana" w:hAnsi="Verdana" w:eastAsia="Calibri" w:cs="Arial"/>
                <w:sz w:val="18"/>
                <w:szCs w:val="18"/>
                <w:lang w:val="nl-NL" w:eastAsia="en-US"/>
              </w:rPr>
              <w:t>2.16.2</w:t>
            </w:r>
          </w:p>
        </w:tc>
        <w:tc>
          <w:tcPr>
            <w:tcW w:w="6373"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tcPr>
          <w:p w:rsidRPr="00DE4A5E" w:rsidR="00BF75B4" w:rsidP="00BF75B4" w:rsidRDefault="00BF75B4" w14:paraId="0B22FE77" w14:textId="77777777">
            <w:pPr>
              <w:spacing w:line="276" w:lineRule="auto"/>
              <w:ind w:firstLine="0"/>
              <w:rPr>
                <w:rFonts w:ascii="Verdana" w:hAnsi="Verdana" w:eastAsia="Calibri" w:cs="Arial"/>
                <w:color w:val="FFFFFF"/>
                <w:sz w:val="18"/>
                <w:szCs w:val="18"/>
                <w:lang w:val="nl-NL" w:eastAsia="en-US"/>
              </w:rPr>
            </w:pPr>
            <w:r w:rsidRPr="00DE4A5E">
              <w:rPr>
                <w:rFonts w:ascii="Verdana" w:hAnsi="Verdana" w:eastAsia="Calibri" w:cs="Arial"/>
                <w:color w:val="FFFFFF"/>
                <w:sz w:val="18"/>
                <w:szCs w:val="18"/>
                <w:lang w:val="nl-NL" w:eastAsia="en-US"/>
              </w:rPr>
              <w:t>Invorderingsbepaling opgenomen</w:t>
            </w:r>
          </w:p>
        </w:tc>
        <w:tc>
          <w:tcPr>
            <w:tcW w:w="358"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5888CE8E" w14:textId="77777777">
            <w:pPr>
              <w:spacing w:line="276" w:lineRule="auto"/>
              <w:ind w:firstLine="0"/>
              <w:jc w:val="center"/>
              <w:rPr>
                <w:rFonts w:ascii="Verdana" w:hAnsi="Verdana" w:eastAsia="Calibri" w:cs="Arial"/>
                <w:b/>
                <w:color w:val="007BC7"/>
                <w:sz w:val="18"/>
                <w:szCs w:val="18"/>
                <w:lang w:val="nl-NL" w:eastAsia="en-US"/>
              </w:rPr>
            </w:pPr>
            <w:r w:rsidRPr="00DE4A5E">
              <w:rPr>
                <w:rFonts w:ascii="Verdana" w:hAnsi="Verdana" w:eastAsia="Calibri" w:cs="Arial"/>
                <w:b/>
                <w:color w:val="007BC7"/>
                <w:sz w:val="18"/>
                <w:szCs w:val="18"/>
                <w:lang w:val="nl-NL" w:eastAsia="en-US"/>
              </w:rPr>
              <w:t>X</w:t>
            </w:r>
          </w:p>
        </w:tc>
        <w:tc>
          <w:tcPr>
            <w:tcW w:w="418"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136907B0" w14:textId="77777777">
            <w:pPr>
              <w:spacing w:line="276" w:lineRule="auto"/>
              <w:ind w:firstLine="0"/>
              <w:jc w:val="center"/>
              <w:rPr>
                <w:rFonts w:ascii="Verdana" w:hAnsi="Verdana" w:eastAsia="Calibri" w:cs="Arial"/>
                <w:b/>
                <w:color w:val="007BC7"/>
                <w:sz w:val="18"/>
                <w:szCs w:val="18"/>
                <w:lang w:val="nl-NL" w:eastAsia="en-US"/>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3F58A635" w14:textId="77777777">
            <w:pPr>
              <w:spacing w:line="276" w:lineRule="auto"/>
              <w:ind w:firstLine="0"/>
              <w:jc w:val="center"/>
              <w:rPr>
                <w:rFonts w:ascii="Verdana" w:hAnsi="Verdana" w:eastAsia="Calibri" w:cs="Arial"/>
                <w:b/>
                <w:color w:val="007BC7"/>
                <w:sz w:val="18"/>
                <w:szCs w:val="18"/>
                <w:lang w:val="nl-NL" w:eastAsia="en-US"/>
              </w:rPr>
            </w:pPr>
          </w:p>
        </w:tc>
        <w:tc>
          <w:tcPr>
            <w:tcW w:w="35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46ED0CBB" w14:textId="77777777">
            <w:pPr>
              <w:spacing w:line="276" w:lineRule="auto"/>
              <w:ind w:firstLine="0"/>
              <w:jc w:val="center"/>
              <w:rPr>
                <w:rFonts w:ascii="Verdana" w:hAnsi="Verdana" w:eastAsia="Calibri" w:cs="Arial"/>
                <w:b/>
                <w:color w:val="007BC7"/>
                <w:sz w:val="18"/>
                <w:szCs w:val="18"/>
                <w:lang w:val="nl-NL" w:eastAsia="en-US"/>
              </w:rPr>
            </w:pP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0F0E34BC" w14:textId="77777777">
            <w:pPr>
              <w:spacing w:line="276" w:lineRule="auto"/>
              <w:ind w:firstLine="0"/>
              <w:rPr>
                <w:rFonts w:ascii="Verdana" w:hAnsi="Verdana" w:eastAsia="Calibri" w:cs="Arial"/>
                <w:sz w:val="18"/>
                <w:szCs w:val="18"/>
                <w:lang w:val="nl-NL" w:eastAsia="en-US"/>
              </w:rPr>
            </w:pPr>
            <w:r w:rsidRPr="00DE4A5E">
              <w:rPr>
                <w:rFonts w:ascii="Verdana" w:hAnsi="Verdana" w:eastAsia="Calibri" w:cs="Arial"/>
                <w:sz w:val="18"/>
                <w:szCs w:val="18"/>
                <w:lang w:val="nl-NL" w:eastAsia="en-US"/>
              </w:rPr>
              <w:t>II.27</w:t>
            </w:r>
          </w:p>
        </w:tc>
      </w:tr>
      <w:tr w:rsidRPr="00DE4A5E" w:rsidR="00BF75B4" w:rsidTr="00E80A06" w14:paraId="4CDBFFAB" w14:textId="77777777">
        <w:trPr>
          <w:trHeight w:val="255"/>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2301C79D" w14:textId="77777777">
            <w:pPr>
              <w:spacing w:line="276" w:lineRule="auto"/>
              <w:ind w:firstLine="0"/>
              <w:jc w:val="right"/>
              <w:rPr>
                <w:rFonts w:ascii="Verdana" w:hAnsi="Verdana" w:eastAsia="Calibri" w:cs="Arial"/>
                <w:sz w:val="18"/>
                <w:szCs w:val="18"/>
                <w:lang w:val="nl-NL" w:eastAsia="en-US"/>
              </w:rPr>
            </w:pPr>
            <w:r w:rsidRPr="00DE4A5E">
              <w:rPr>
                <w:rFonts w:ascii="Verdana" w:hAnsi="Verdana" w:eastAsia="Calibri" w:cs="Arial"/>
                <w:sz w:val="18"/>
                <w:szCs w:val="18"/>
                <w:lang w:val="nl-NL" w:eastAsia="en-US"/>
              </w:rPr>
              <w:t>2.17.1</w:t>
            </w:r>
          </w:p>
        </w:tc>
        <w:tc>
          <w:tcPr>
            <w:tcW w:w="6373"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tcPr>
          <w:p w:rsidRPr="00DE4A5E" w:rsidR="00BF75B4" w:rsidP="00BF75B4" w:rsidRDefault="00BF75B4" w14:paraId="1653A369" w14:textId="77777777">
            <w:pPr>
              <w:spacing w:line="276" w:lineRule="auto"/>
              <w:ind w:firstLine="0"/>
              <w:rPr>
                <w:rFonts w:ascii="Verdana" w:hAnsi="Verdana" w:eastAsia="Calibri" w:cs="Arial"/>
                <w:color w:val="FFFFFF"/>
                <w:sz w:val="18"/>
                <w:szCs w:val="18"/>
                <w:lang w:val="nl-NL" w:eastAsia="en-US"/>
              </w:rPr>
            </w:pPr>
            <w:r w:rsidRPr="00DE4A5E">
              <w:rPr>
                <w:rFonts w:ascii="Verdana" w:hAnsi="Verdana" w:eastAsia="Calibri" w:cs="Arial"/>
                <w:color w:val="FFFFFF"/>
                <w:sz w:val="18"/>
                <w:szCs w:val="18"/>
                <w:lang w:val="nl-NL" w:eastAsia="en-US"/>
              </w:rPr>
              <w:t>Arbitragemogelijkheid opgenomen</w:t>
            </w:r>
          </w:p>
        </w:tc>
        <w:tc>
          <w:tcPr>
            <w:tcW w:w="358"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21B0B0AA" w14:textId="77777777">
            <w:pPr>
              <w:spacing w:line="276" w:lineRule="auto"/>
              <w:ind w:firstLine="0"/>
              <w:jc w:val="center"/>
              <w:rPr>
                <w:rFonts w:ascii="Verdana" w:hAnsi="Verdana" w:eastAsia="Calibri" w:cs="Arial"/>
                <w:b/>
                <w:color w:val="007BC7"/>
                <w:sz w:val="18"/>
                <w:szCs w:val="18"/>
                <w:lang w:val="nl-NL" w:eastAsia="en-US"/>
              </w:rPr>
            </w:pPr>
          </w:p>
        </w:tc>
        <w:tc>
          <w:tcPr>
            <w:tcW w:w="418"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1276221B" w14:textId="77777777">
            <w:pPr>
              <w:spacing w:line="276" w:lineRule="auto"/>
              <w:ind w:firstLine="0"/>
              <w:jc w:val="center"/>
              <w:rPr>
                <w:rFonts w:ascii="Verdana" w:hAnsi="Verdana" w:eastAsia="Calibri" w:cs="Arial"/>
                <w:b/>
                <w:color w:val="007BC7"/>
                <w:sz w:val="18"/>
                <w:szCs w:val="18"/>
                <w:lang w:val="nl-NL" w:eastAsia="en-US"/>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592591" w14:paraId="59073010" w14:textId="77777777">
            <w:pPr>
              <w:spacing w:line="276" w:lineRule="auto"/>
              <w:ind w:firstLine="0"/>
              <w:jc w:val="center"/>
              <w:rPr>
                <w:rFonts w:ascii="Verdana" w:hAnsi="Verdana" w:eastAsia="Calibri" w:cs="Arial"/>
                <w:b/>
                <w:color w:val="007BC7"/>
                <w:sz w:val="18"/>
                <w:szCs w:val="18"/>
                <w:lang w:val="nl-NL" w:eastAsia="en-US"/>
              </w:rPr>
            </w:pPr>
            <w:r w:rsidRPr="00DE4A5E">
              <w:rPr>
                <w:rFonts w:ascii="Verdana" w:hAnsi="Verdana" w:eastAsia="Calibri" w:cs="Arial"/>
                <w:b/>
                <w:color w:val="007BC7"/>
                <w:sz w:val="18"/>
                <w:szCs w:val="18"/>
                <w:lang w:val="nl-NL" w:eastAsia="en-US"/>
              </w:rPr>
              <w:t>X</w:t>
            </w:r>
          </w:p>
        </w:tc>
        <w:tc>
          <w:tcPr>
            <w:tcW w:w="35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03CBAFE1" w14:textId="77777777">
            <w:pPr>
              <w:spacing w:line="276" w:lineRule="auto"/>
              <w:ind w:firstLine="0"/>
              <w:jc w:val="center"/>
              <w:rPr>
                <w:rFonts w:ascii="Verdana" w:hAnsi="Verdana" w:eastAsia="Calibri" w:cs="Arial"/>
                <w:b/>
                <w:color w:val="007BC7"/>
                <w:sz w:val="18"/>
                <w:szCs w:val="18"/>
                <w:lang w:val="nl-NL" w:eastAsia="en-US"/>
              </w:rPr>
            </w:pP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38270AF4" w14:textId="77777777">
            <w:pPr>
              <w:spacing w:line="276" w:lineRule="auto"/>
              <w:ind w:firstLine="0"/>
              <w:rPr>
                <w:rFonts w:ascii="Verdana" w:hAnsi="Verdana" w:eastAsia="Calibri" w:cs="Arial"/>
                <w:sz w:val="18"/>
                <w:szCs w:val="18"/>
                <w:lang w:val="nl-NL" w:eastAsia="en-US"/>
              </w:rPr>
            </w:pPr>
            <w:r w:rsidRPr="00DE4A5E">
              <w:rPr>
                <w:rFonts w:ascii="Verdana" w:hAnsi="Verdana" w:eastAsia="Calibri" w:cs="Arial"/>
                <w:sz w:val="18"/>
                <w:szCs w:val="18"/>
                <w:lang w:val="nl-NL" w:eastAsia="en-US"/>
              </w:rPr>
              <w:t>II.24</w:t>
            </w:r>
          </w:p>
        </w:tc>
      </w:tr>
      <w:tr w:rsidRPr="00DE4A5E" w:rsidR="00BF75B4" w:rsidTr="00E80A06" w14:paraId="64B1A617" w14:textId="77777777">
        <w:trPr>
          <w:trHeight w:val="255"/>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2EEC1279" w14:textId="77777777">
            <w:pPr>
              <w:spacing w:line="276" w:lineRule="auto"/>
              <w:ind w:firstLine="0"/>
              <w:jc w:val="right"/>
              <w:rPr>
                <w:rFonts w:ascii="Verdana" w:hAnsi="Verdana" w:eastAsia="Calibri" w:cs="Arial"/>
                <w:sz w:val="18"/>
                <w:szCs w:val="18"/>
                <w:lang w:val="nl-NL" w:eastAsia="en-US"/>
              </w:rPr>
            </w:pPr>
            <w:r w:rsidRPr="00DE4A5E">
              <w:rPr>
                <w:rFonts w:ascii="Verdana" w:hAnsi="Verdana" w:eastAsia="Calibri" w:cs="Arial"/>
                <w:sz w:val="18"/>
                <w:szCs w:val="18"/>
                <w:lang w:val="nl-NL" w:eastAsia="en-US"/>
              </w:rPr>
              <w:t>2.17.1</w:t>
            </w:r>
          </w:p>
        </w:tc>
        <w:tc>
          <w:tcPr>
            <w:tcW w:w="6373"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tcPr>
          <w:p w:rsidRPr="00DE4A5E" w:rsidR="00BF75B4" w:rsidP="00BF75B4" w:rsidRDefault="00BF75B4" w14:paraId="318D6D25" w14:textId="77777777">
            <w:pPr>
              <w:spacing w:line="276" w:lineRule="auto"/>
              <w:ind w:firstLine="0"/>
              <w:rPr>
                <w:rFonts w:ascii="Verdana" w:hAnsi="Verdana" w:eastAsia="Calibri" w:cs="Arial"/>
                <w:color w:val="FFFFFF"/>
                <w:sz w:val="18"/>
                <w:szCs w:val="18"/>
                <w:lang w:val="nl-NL" w:eastAsia="en-US"/>
              </w:rPr>
            </w:pPr>
            <w:r w:rsidRPr="00DE4A5E">
              <w:rPr>
                <w:rFonts w:ascii="Verdana" w:hAnsi="Verdana" w:eastAsia="Calibri" w:cs="Arial"/>
                <w:color w:val="FFFFFF"/>
                <w:sz w:val="18"/>
                <w:szCs w:val="18"/>
                <w:lang w:val="nl-NL" w:eastAsia="en-US"/>
              </w:rPr>
              <w:t>Arbitrage ook mogelijk in gevallen waarin definitieve gerechtelijke uitspraak is gedaan</w:t>
            </w:r>
          </w:p>
        </w:tc>
        <w:tc>
          <w:tcPr>
            <w:tcW w:w="358"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19A0FF55" w14:textId="77777777">
            <w:pPr>
              <w:spacing w:line="276" w:lineRule="auto"/>
              <w:ind w:firstLine="0"/>
              <w:jc w:val="center"/>
              <w:rPr>
                <w:rFonts w:ascii="Verdana" w:hAnsi="Verdana" w:eastAsia="Calibri" w:cs="Arial"/>
                <w:b/>
                <w:color w:val="007BC7"/>
                <w:sz w:val="18"/>
                <w:szCs w:val="18"/>
                <w:lang w:val="nl-NL" w:eastAsia="en-US"/>
              </w:rPr>
            </w:pPr>
          </w:p>
        </w:tc>
        <w:tc>
          <w:tcPr>
            <w:tcW w:w="418"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50702004" w14:textId="77777777">
            <w:pPr>
              <w:spacing w:line="276" w:lineRule="auto"/>
              <w:ind w:firstLine="0"/>
              <w:jc w:val="center"/>
              <w:rPr>
                <w:rFonts w:ascii="Verdana" w:hAnsi="Verdana" w:eastAsia="Calibri" w:cs="Arial"/>
                <w:b/>
                <w:color w:val="007BC7"/>
                <w:sz w:val="18"/>
                <w:szCs w:val="18"/>
                <w:lang w:val="nl-NL" w:eastAsia="en-US"/>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592591" w14:paraId="788925DF" w14:textId="77777777">
            <w:pPr>
              <w:spacing w:line="276" w:lineRule="auto"/>
              <w:ind w:firstLine="0"/>
              <w:jc w:val="center"/>
              <w:rPr>
                <w:rFonts w:ascii="Verdana" w:hAnsi="Verdana" w:eastAsia="Calibri" w:cs="Arial"/>
                <w:b/>
                <w:color w:val="007BC7"/>
                <w:sz w:val="18"/>
                <w:szCs w:val="18"/>
                <w:lang w:val="nl-NL" w:eastAsia="en-US"/>
              </w:rPr>
            </w:pPr>
            <w:r w:rsidRPr="00DE4A5E">
              <w:rPr>
                <w:rFonts w:ascii="Verdana" w:hAnsi="Verdana" w:eastAsia="Calibri" w:cs="Arial"/>
                <w:b/>
                <w:color w:val="007BC7"/>
                <w:sz w:val="18"/>
                <w:szCs w:val="18"/>
                <w:lang w:val="nl-NL" w:eastAsia="en-US"/>
              </w:rPr>
              <w:t>X</w:t>
            </w:r>
          </w:p>
        </w:tc>
        <w:tc>
          <w:tcPr>
            <w:tcW w:w="35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407ED5D8" w14:textId="77777777">
            <w:pPr>
              <w:spacing w:line="276" w:lineRule="auto"/>
              <w:ind w:firstLine="0"/>
              <w:jc w:val="center"/>
              <w:rPr>
                <w:rFonts w:ascii="Verdana" w:hAnsi="Verdana" w:eastAsia="Calibri" w:cs="Arial"/>
                <w:b/>
                <w:color w:val="007BC7"/>
                <w:sz w:val="18"/>
                <w:szCs w:val="18"/>
                <w:lang w:val="nl-NL" w:eastAsia="en-US"/>
              </w:rPr>
            </w:pP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E46505" w14:paraId="5CDEA6CB" w14:textId="77777777">
            <w:pPr>
              <w:spacing w:line="276" w:lineRule="auto"/>
              <w:ind w:firstLine="0"/>
              <w:rPr>
                <w:rFonts w:ascii="Verdana" w:hAnsi="Verdana" w:eastAsia="Calibri" w:cs="Arial"/>
                <w:sz w:val="18"/>
                <w:szCs w:val="18"/>
                <w:lang w:val="nl-NL" w:eastAsia="en-US"/>
              </w:rPr>
            </w:pPr>
            <w:r w:rsidRPr="00DE4A5E">
              <w:rPr>
                <w:rFonts w:ascii="Verdana" w:hAnsi="Verdana" w:eastAsia="Calibri" w:cs="Arial"/>
                <w:sz w:val="18"/>
                <w:szCs w:val="18"/>
                <w:lang w:val="nl-NL" w:eastAsia="en-US"/>
              </w:rPr>
              <w:t>II.24</w:t>
            </w:r>
          </w:p>
        </w:tc>
      </w:tr>
      <w:tr w:rsidRPr="00DE4A5E" w:rsidR="00BF75B4" w:rsidTr="00E80A06" w14:paraId="743488F9" w14:textId="77777777">
        <w:trPr>
          <w:trHeight w:val="255"/>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0E3DB339" w14:textId="77777777">
            <w:pPr>
              <w:spacing w:line="276" w:lineRule="auto"/>
              <w:ind w:firstLine="0"/>
              <w:jc w:val="right"/>
              <w:rPr>
                <w:rFonts w:ascii="Verdana" w:hAnsi="Verdana" w:eastAsia="Calibri" w:cs="Arial"/>
                <w:sz w:val="18"/>
                <w:szCs w:val="18"/>
                <w:lang w:val="nl-NL" w:eastAsia="en-US"/>
              </w:rPr>
            </w:pPr>
            <w:r w:rsidRPr="00DE4A5E">
              <w:rPr>
                <w:rFonts w:ascii="Verdana" w:hAnsi="Verdana" w:eastAsia="Calibri" w:cs="Arial"/>
                <w:sz w:val="18"/>
                <w:szCs w:val="18"/>
                <w:lang w:val="nl-NL" w:eastAsia="en-US"/>
              </w:rPr>
              <w:t>2.21</w:t>
            </w:r>
          </w:p>
        </w:tc>
        <w:tc>
          <w:tcPr>
            <w:tcW w:w="6373"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tcPr>
          <w:p w:rsidRPr="00DE4A5E" w:rsidR="00BF75B4" w:rsidP="00BF75B4" w:rsidRDefault="00BF75B4" w14:paraId="701156A3" w14:textId="77777777">
            <w:pPr>
              <w:spacing w:line="276" w:lineRule="auto"/>
              <w:ind w:firstLine="0"/>
              <w:rPr>
                <w:rFonts w:ascii="Verdana" w:hAnsi="Verdana" w:eastAsia="Calibri" w:cs="Arial"/>
                <w:color w:val="FFFFFF"/>
                <w:sz w:val="18"/>
                <w:szCs w:val="18"/>
                <w:lang w:val="nl-NL" w:eastAsia="en-US"/>
              </w:rPr>
            </w:pPr>
            <w:r w:rsidRPr="00DE4A5E">
              <w:rPr>
                <w:rFonts w:ascii="Verdana" w:hAnsi="Verdana" w:eastAsia="Calibri" w:cs="Arial"/>
                <w:color w:val="FFFFFF"/>
                <w:sz w:val="18"/>
                <w:szCs w:val="18"/>
                <w:lang w:val="nl-NL" w:eastAsia="en-US"/>
              </w:rPr>
              <w:t>Terug- en overnameclausule opgenomen in geval regeling nog niet was overeengekomen</w:t>
            </w:r>
          </w:p>
        </w:tc>
        <w:tc>
          <w:tcPr>
            <w:tcW w:w="358"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6435AF9C" w14:textId="77777777">
            <w:pPr>
              <w:spacing w:line="276" w:lineRule="auto"/>
              <w:ind w:firstLine="0"/>
              <w:jc w:val="center"/>
              <w:rPr>
                <w:rFonts w:ascii="Verdana" w:hAnsi="Verdana" w:eastAsia="Calibri" w:cs="Arial"/>
                <w:b/>
                <w:color w:val="007BC7"/>
                <w:sz w:val="18"/>
                <w:szCs w:val="18"/>
                <w:lang w:val="nl-NL" w:eastAsia="en-US"/>
              </w:rPr>
            </w:pPr>
          </w:p>
        </w:tc>
        <w:tc>
          <w:tcPr>
            <w:tcW w:w="418"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7A9EF25F" w14:textId="77777777">
            <w:pPr>
              <w:spacing w:line="276" w:lineRule="auto"/>
              <w:ind w:firstLine="0"/>
              <w:jc w:val="center"/>
              <w:rPr>
                <w:rFonts w:ascii="Verdana" w:hAnsi="Verdana" w:eastAsia="Calibri" w:cs="Arial"/>
                <w:b/>
                <w:color w:val="007BC7"/>
                <w:sz w:val="18"/>
                <w:szCs w:val="18"/>
                <w:lang w:val="nl-NL" w:eastAsia="en-US"/>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3EC52CA2" w14:textId="77777777">
            <w:pPr>
              <w:spacing w:line="276" w:lineRule="auto"/>
              <w:ind w:firstLine="0"/>
              <w:jc w:val="center"/>
              <w:rPr>
                <w:rFonts w:ascii="Verdana" w:hAnsi="Verdana" w:eastAsia="Calibri" w:cs="Arial"/>
                <w:b/>
                <w:color w:val="007BC7"/>
                <w:sz w:val="18"/>
                <w:szCs w:val="18"/>
                <w:lang w:val="nl-NL" w:eastAsia="en-US"/>
              </w:rPr>
            </w:pPr>
          </w:p>
        </w:tc>
        <w:tc>
          <w:tcPr>
            <w:tcW w:w="35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2D4E2216" w14:textId="77777777">
            <w:pPr>
              <w:spacing w:line="276" w:lineRule="auto"/>
              <w:ind w:firstLine="0"/>
              <w:jc w:val="center"/>
              <w:rPr>
                <w:rFonts w:ascii="Verdana" w:hAnsi="Verdana" w:eastAsia="Calibri" w:cs="Arial"/>
                <w:b/>
                <w:color w:val="007BC7"/>
                <w:sz w:val="18"/>
                <w:szCs w:val="18"/>
                <w:lang w:val="nl-NL" w:eastAsia="en-US"/>
              </w:rPr>
            </w:pPr>
            <w:r w:rsidRPr="00DE4A5E">
              <w:rPr>
                <w:rFonts w:ascii="Verdana" w:hAnsi="Verdana" w:eastAsia="Calibri" w:cs="Arial"/>
                <w:b/>
                <w:color w:val="007BC7"/>
                <w:sz w:val="18"/>
                <w:szCs w:val="18"/>
                <w:lang w:val="nl-NL" w:eastAsia="en-US"/>
              </w:rPr>
              <w:t>X</w:t>
            </w: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297E7AAA" w14:textId="77777777">
            <w:pPr>
              <w:spacing w:line="276" w:lineRule="auto"/>
              <w:ind w:firstLine="0"/>
              <w:rPr>
                <w:rFonts w:ascii="Verdana" w:hAnsi="Verdana" w:eastAsia="Calibri" w:cs="Arial"/>
                <w:sz w:val="18"/>
                <w:szCs w:val="18"/>
                <w:lang w:val="nl-NL" w:eastAsia="en-US"/>
              </w:rPr>
            </w:pPr>
          </w:p>
        </w:tc>
      </w:tr>
      <w:tr w:rsidRPr="00DE4A5E" w:rsidR="00BF75B4" w:rsidTr="00E80A06" w14:paraId="79CF5221" w14:textId="77777777">
        <w:trPr>
          <w:gridAfter w:val="10"/>
          <w:wAfter w:w="1952" w:type="dxa"/>
          <w:cantSplit/>
          <w:trHeight w:val="403"/>
        </w:trPr>
        <w:tc>
          <w:tcPr>
            <w:tcW w:w="693" w:type="dxa"/>
            <w:shd w:val="clear" w:color="auto" w:fill="FFFFFF"/>
            <w:vAlign w:val="center"/>
          </w:tcPr>
          <w:p w:rsidRPr="00DE4A5E" w:rsidR="00BF75B4" w:rsidP="00BF75B4" w:rsidRDefault="00BF75B4" w14:paraId="1E77A1A9" w14:textId="77777777">
            <w:pPr>
              <w:spacing w:line="276" w:lineRule="auto"/>
              <w:ind w:firstLine="0"/>
              <w:jc w:val="right"/>
              <w:rPr>
                <w:rFonts w:ascii="Verdana" w:hAnsi="Verdana" w:eastAsia="Calibri" w:cs="Arial"/>
                <w:sz w:val="18"/>
                <w:szCs w:val="18"/>
                <w:lang w:val="nl-NL" w:eastAsia="en-US"/>
              </w:rPr>
            </w:pPr>
          </w:p>
        </w:tc>
        <w:tc>
          <w:tcPr>
            <w:tcW w:w="6531" w:type="dxa"/>
            <w:gridSpan w:val="5"/>
            <w:shd w:val="clear" w:color="auto" w:fill="FFFFFF"/>
            <w:vAlign w:val="center"/>
          </w:tcPr>
          <w:p w:rsidRPr="00DE4A5E" w:rsidR="00BF75B4" w:rsidP="00BF75B4" w:rsidRDefault="00BF75B4" w14:paraId="6E8184C4" w14:textId="77777777">
            <w:pPr>
              <w:ind w:firstLine="0"/>
              <w:rPr>
                <w:rFonts w:ascii="Verdana" w:hAnsi="Verdana" w:cs="Arial"/>
                <w:i/>
                <w:sz w:val="18"/>
                <w:szCs w:val="18"/>
              </w:rPr>
            </w:pPr>
            <w:r w:rsidRPr="00DE4A5E">
              <w:rPr>
                <w:rFonts w:ascii="Verdana" w:hAnsi="Verdana" w:eastAsia="Calibri" w:cs="Arial"/>
                <w:i/>
                <w:sz w:val="18"/>
                <w:szCs w:val="18"/>
                <w:lang w:val="nl-NL" w:eastAsia="en-US"/>
              </w:rPr>
              <w:t>Instrumentarium voorkomen verdragsmisbruik</w:t>
            </w:r>
          </w:p>
        </w:tc>
      </w:tr>
      <w:tr w:rsidRPr="00DE4A5E" w:rsidR="00BF75B4" w:rsidTr="00E80A06" w14:paraId="128CCF37" w14:textId="77777777">
        <w:trPr>
          <w:trHeight w:val="255"/>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218EB0CE" w14:textId="77777777">
            <w:pPr>
              <w:spacing w:line="276" w:lineRule="auto"/>
              <w:ind w:firstLine="0"/>
              <w:jc w:val="right"/>
              <w:rPr>
                <w:rFonts w:ascii="Verdana" w:hAnsi="Verdana" w:eastAsia="Calibri" w:cs="Arial"/>
                <w:sz w:val="18"/>
                <w:szCs w:val="18"/>
                <w:lang w:val="nl-NL" w:eastAsia="en-US"/>
              </w:rPr>
            </w:pPr>
            <w:r w:rsidRPr="00DE4A5E">
              <w:rPr>
                <w:rFonts w:ascii="Verdana" w:hAnsi="Verdana" w:eastAsia="Calibri" w:cs="Arial"/>
                <w:sz w:val="18"/>
                <w:szCs w:val="18"/>
                <w:lang w:val="nl-NL" w:eastAsia="en-US"/>
              </w:rPr>
              <w:t>2.20.1</w:t>
            </w:r>
          </w:p>
        </w:tc>
        <w:tc>
          <w:tcPr>
            <w:tcW w:w="6373"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tcPr>
          <w:p w:rsidRPr="00DE4A5E" w:rsidR="00BF75B4" w:rsidP="00BF75B4" w:rsidRDefault="00BF75B4" w14:paraId="7A218934" w14:textId="77777777">
            <w:pPr>
              <w:spacing w:line="276" w:lineRule="auto"/>
              <w:ind w:firstLine="0"/>
              <w:rPr>
                <w:rFonts w:ascii="Verdana" w:hAnsi="Verdana" w:eastAsia="Calibri" w:cs="Arial"/>
                <w:color w:val="FFFFFF"/>
                <w:sz w:val="18"/>
                <w:szCs w:val="18"/>
                <w:lang w:val="nl-NL" w:eastAsia="en-US"/>
              </w:rPr>
            </w:pPr>
            <w:r w:rsidRPr="00DE4A5E">
              <w:rPr>
                <w:rFonts w:ascii="Verdana" w:hAnsi="Verdana" w:eastAsia="Calibri" w:cs="Arial"/>
                <w:color w:val="FFFFFF"/>
                <w:sz w:val="18"/>
                <w:szCs w:val="18"/>
                <w:lang w:val="nl-NL" w:eastAsia="en-US"/>
              </w:rPr>
              <w:t>Indien aansluiting is gezocht bij nationale antimisbruikleerstukken is consultatie en/of onderlingoverlegmogelijkheid overeengekomen</w:t>
            </w:r>
          </w:p>
        </w:tc>
        <w:tc>
          <w:tcPr>
            <w:tcW w:w="358"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73997CD5" w14:textId="77777777">
            <w:pPr>
              <w:spacing w:line="276" w:lineRule="auto"/>
              <w:ind w:firstLine="0"/>
              <w:jc w:val="center"/>
              <w:rPr>
                <w:rFonts w:ascii="Verdana" w:hAnsi="Verdana" w:eastAsia="Calibri" w:cs="Arial"/>
                <w:b/>
                <w:color w:val="007BC7"/>
                <w:sz w:val="18"/>
                <w:szCs w:val="18"/>
                <w:lang w:val="nl-NL" w:eastAsia="en-US"/>
              </w:rPr>
            </w:pPr>
          </w:p>
        </w:tc>
        <w:tc>
          <w:tcPr>
            <w:tcW w:w="418"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6256FBC7" w14:textId="77777777">
            <w:pPr>
              <w:spacing w:line="276" w:lineRule="auto"/>
              <w:ind w:firstLine="0"/>
              <w:jc w:val="center"/>
              <w:rPr>
                <w:rFonts w:ascii="Verdana" w:hAnsi="Verdana" w:eastAsia="Calibri" w:cs="Arial"/>
                <w:b/>
                <w:color w:val="007BC7"/>
                <w:sz w:val="18"/>
                <w:szCs w:val="18"/>
                <w:lang w:val="nl-NL" w:eastAsia="en-US"/>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3E05D9A2" w14:textId="77777777">
            <w:pPr>
              <w:spacing w:line="276" w:lineRule="auto"/>
              <w:ind w:firstLine="0"/>
              <w:jc w:val="center"/>
              <w:rPr>
                <w:rFonts w:ascii="Verdana" w:hAnsi="Verdana" w:eastAsia="Calibri" w:cs="Arial"/>
                <w:b/>
                <w:color w:val="007BC7"/>
                <w:sz w:val="18"/>
                <w:szCs w:val="18"/>
                <w:lang w:val="nl-NL" w:eastAsia="en-US"/>
              </w:rPr>
            </w:pPr>
          </w:p>
        </w:tc>
        <w:tc>
          <w:tcPr>
            <w:tcW w:w="35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017AFB9D" w14:textId="77777777">
            <w:pPr>
              <w:spacing w:line="276" w:lineRule="auto"/>
              <w:ind w:firstLine="0"/>
              <w:jc w:val="center"/>
              <w:rPr>
                <w:rFonts w:ascii="Verdana" w:hAnsi="Verdana" w:eastAsia="Calibri" w:cs="Arial"/>
                <w:b/>
                <w:color w:val="007BC7"/>
                <w:sz w:val="18"/>
                <w:szCs w:val="18"/>
                <w:lang w:val="nl-NL" w:eastAsia="en-US"/>
              </w:rPr>
            </w:pPr>
            <w:r w:rsidRPr="00DE4A5E">
              <w:rPr>
                <w:rFonts w:ascii="Verdana" w:hAnsi="Verdana" w:eastAsia="Calibri" w:cs="Arial"/>
                <w:b/>
                <w:color w:val="007BC7"/>
                <w:sz w:val="18"/>
                <w:szCs w:val="18"/>
                <w:lang w:val="nl-NL" w:eastAsia="en-US"/>
              </w:rPr>
              <w:t>X</w:t>
            </w: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66136EC1" w14:textId="77777777">
            <w:pPr>
              <w:spacing w:line="276" w:lineRule="auto"/>
              <w:ind w:firstLine="0"/>
              <w:rPr>
                <w:rFonts w:ascii="Verdana" w:hAnsi="Verdana" w:eastAsia="Calibri" w:cs="Arial"/>
                <w:sz w:val="18"/>
                <w:szCs w:val="18"/>
                <w:lang w:val="nl-NL" w:eastAsia="en-US"/>
              </w:rPr>
            </w:pPr>
          </w:p>
        </w:tc>
      </w:tr>
      <w:tr w:rsidRPr="00DE4A5E" w:rsidR="00BF75B4" w:rsidTr="00E80A06" w14:paraId="011C1268" w14:textId="77777777">
        <w:trPr>
          <w:trHeight w:val="255"/>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3EF61B8A" w14:textId="77777777">
            <w:pPr>
              <w:spacing w:line="276" w:lineRule="auto"/>
              <w:ind w:firstLine="0"/>
              <w:jc w:val="right"/>
              <w:rPr>
                <w:rFonts w:ascii="Verdana" w:hAnsi="Verdana" w:eastAsia="Calibri" w:cs="Arial"/>
                <w:sz w:val="18"/>
                <w:szCs w:val="18"/>
                <w:lang w:val="nl-NL" w:eastAsia="en-US"/>
              </w:rPr>
            </w:pPr>
            <w:r w:rsidRPr="00DE4A5E">
              <w:rPr>
                <w:rFonts w:ascii="Verdana" w:hAnsi="Verdana" w:eastAsia="Calibri" w:cs="Arial"/>
                <w:sz w:val="18"/>
                <w:szCs w:val="18"/>
                <w:lang w:val="nl-NL" w:eastAsia="en-US"/>
              </w:rPr>
              <w:t>2.20.2</w:t>
            </w:r>
          </w:p>
        </w:tc>
        <w:tc>
          <w:tcPr>
            <w:tcW w:w="6373"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tcPr>
          <w:p w:rsidRPr="00DE4A5E" w:rsidR="00BF75B4" w:rsidP="00BF75B4" w:rsidRDefault="00BF75B4" w14:paraId="028B5D92" w14:textId="77777777">
            <w:pPr>
              <w:spacing w:line="276" w:lineRule="auto"/>
              <w:ind w:firstLine="0"/>
              <w:rPr>
                <w:rFonts w:ascii="Verdana" w:hAnsi="Verdana" w:eastAsia="Calibri" w:cs="Arial"/>
                <w:color w:val="FFFFFF"/>
                <w:sz w:val="18"/>
                <w:szCs w:val="18"/>
                <w:lang w:val="nl-NL" w:eastAsia="en-US"/>
              </w:rPr>
            </w:pPr>
            <w:r w:rsidRPr="00DE4A5E">
              <w:rPr>
                <w:rFonts w:ascii="Verdana" w:hAnsi="Verdana" w:eastAsia="Calibri" w:cs="Arial"/>
                <w:color w:val="FFFFFF"/>
                <w:sz w:val="18"/>
                <w:szCs w:val="18"/>
                <w:lang w:val="nl-NL" w:eastAsia="en-US"/>
              </w:rPr>
              <w:t>Verdragsvoordeelbeperkende bepalingen opgenomen waar interactie tussen betrokken stelsels verdragsmisbruik meebrengen</w:t>
            </w:r>
          </w:p>
        </w:tc>
        <w:tc>
          <w:tcPr>
            <w:tcW w:w="358"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379154C0" w14:textId="77777777">
            <w:pPr>
              <w:spacing w:line="276" w:lineRule="auto"/>
              <w:ind w:firstLine="0"/>
              <w:jc w:val="center"/>
              <w:rPr>
                <w:rFonts w:ascii="Verdana" w:hAnsi="Verdana" w:eastAsia="Calibri" w:cs="Arial"/>
                <w:b/>
                <w:color w:val="007BC7"/>
                <w:sz w:val="18"/>
                <w:szCs w:val="18"/>
                <w:lang w:val="nl-NL" w:eastAsia="en-US"/>
              </w:rPr>
            </w:pPr>
            <w:r w:rsidRPr="00DE4A5E">
              <w:rPr>
                <w:rFonts w:ascii="Verdana" w:hAnsi="Verdana" w:eastAsia="Calibri" w:cs="Arial"/>
                <w:b/>
                <w:color w:val="007BC7"/>
                <w:sz w:val="18"/>
                <w:szCs w:val="18"/>
                <w:lang w:val="nl-NL" w:eastAsia="en-US"/>
              </w:rPr>
              <w:t>X</w:t>
            </w:r>
          </w:p>
        </w:tc>
        <w:tc>
          <w:tcPr>
            <w:tcW w:w="418"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5D6D11C2" w14:textId="77777777">
            <w:pPr>
              <w:spacing w:line="276" w:lineRule="auto"/>
              <w:ind w:firstLine="0"/>
              <w:jc w:val="center"/>
              <w:rPr>
                <w:rFonts w:ascii="Verdana" w:hAnsi="Verdana" w:eastAsia="Calibri" w:cs="Arial"/>
                <w:b/>
                <w:color w:val="007BC7"/>
                <w:sz w:val="18"/>
                <w:szCs w:val="18"/>
                <w:lang w:val="nl-NL" w:eastAsia="en-US"/>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3C4F1F4F" w14:textId="77777777">
            <w:pPr>
              <w:spacing w:line="276" w:lineRule="auto"/>
              <w:ind w:firstLine="0"/>
              <w:jc w:val="center"/>
              <w:rPr>
                <w:rFonts w:ascii="Verdana" w:hAnsi="Verdana" w:eastAsia="Calibri" w:cs="Arial"/>
                <w:b/>
                <w:color w:val="007BC7"/>
                <w:sz w:val="18"/>
                <w:szCs w:val="18"/>
                <w:lang w:val="nl-NL" w:eastAsia="en-US"/>
              </w:rPr>
            </w:pPr>
          </w:p>
        </w:tc>
        <w:tc>
          <w:tcPr>
            <w:tcW w:w="35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4270FFC0" w14:textId="77777777">
            <w:pPr>
              <w:spacing w:line="276" w:lineRule="auto"/>
              <w:ind w:firstLine="0"/>
              <w:jc w:val="center"/>
              <w:rPr>
                <w:rFonts w:ascii="Verdana" w:hAnsi="Verdana" w:eastAsia="Calibri" w:cs="Arial"/>
                <w:b/>
                <w:color w:val="007BC7"/>
                <w:sz w:val="18"/>
                <w:szCs w:val="18"/>
                <w:lang w:val="nl-NL" w:eastAsia="en-US"/>
              </w:rPr>
            </w:pP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041051BB" w14:textId="77777777">
            <w:pPr>
              <w:spacing w:line="276" w:lineRule="auto"/>
              <w:ind w:firstLine="0"/>
              <w:rPr>
                <w:rFonts w:ascii="Verdana" w:hAnsi="Verdana" w:eastAsia="Calibri" w:cs="Arial"/>
                <w:sz w:val="18"/>
                <w:szCs w:val="18"/>
                <w:lang w:val="nl-NL" w:eastAsia="en-US"/>
              </w:rPr>
            </w:pPr>
            <w:r w:rsidRPr="00DE4A5E">
              <w:rPr>
                <w:rFonts w:ascii="Verdana" w:hAnsi="Verdana" w:eastAsia="Calibri" w:cs="Arial"/>
                <w:sz w:val="18"/>
                <w:szCs w:val="18"/>
                <w:lang w:val="nl-NL" w:eastAsia="en-US"/>
              </w:rPr>
              <w:t>I.3</w:t>
            </w:r>
          </w:p>
        </w:tc>
      </w:tr>
      <w:tr w:rsidRPr="00DE4A5E" w:rsidR="00BF75B4" w:rsidTr="00E80A06" w14:paraId="7DAF6903" w14:textId="77777777">
        <w:trPr>
          <w:gridAfter w:val="10"/>
          <w:wAfter w:w="1952" w:type="dxa"/>
          <w:cantSplit/>
          <w:trHeight w:val="403"/>
        </w:trPr>
        <w:tc>
          <w:tcPr>
            <w:tcW w:w="693" w:type="dxa"/>
            <w:shd w:val="clear" w:color="auto" w:fill="FFFFFF"/>
            <w:vAlign w:val="center"/>
          </w:tcPr>
          <w:p w:rsidRPr="00DE4A5E" w:rsidR="00BF75B4" w:rsidP="00BF75B4" w:rsidRDefault="00BF75B4" w14:paraId="2CFADE59" w14:textId="77777777">
            <w:pPr>
              <w:spacing w:line="276" w:lineRule="auto"/>
              <w:ind w:firstLine="0"/>
              <w:jc w:val="center"/>
              <w:rPr>
                <w:rFonts w:ascii="Verdana" w:hAnsi="Verdana" w:eastAsia="Calibri" w:cs="Arial"/>
                <w:b/>
                <w:sz w:val="18"/>
                <w:szCs w:val="18"/>
                <w:lang w:val="nl-NL" w:eastAsia="en-US"/>
              </w:rPr>
            </w:pPr>
          </w:p>
        </w:tc>
        <w:tc>
          <w:tcPr>
            <w:tcW w:w="6531" w:type="dxa"/>
            <w:gridSpan w:val="5"/>
            <w:shd w:val="clear" w:color="auto" w:fill="FFFFFF"/>
            <w:vAlign w:val="center"/>
          </w:tcPr>
          <w:p w:rsidRPr="00DE4A5E" w:rsidR="00BF75B4" w:rsidP="00BF75B4" w:rsidRDefault="00BF75B4" w14:paraId="2F30C983" w14:textId="77777777">
            <w:pPr>
              <w:ind w:firstLine="0"/>
              <w:rPr>
                <w:rFonts w:ascii="Verdana" w:hAnsi="Verdana" w:eastAsia="Calibri" w:cs="Arial"/>
                <w:b/>
                <w:sz w:val="18"/>
                <w:szCs w:val="18"/>
                <w:lang w:val="nl-NL" w:eastAsia="en-US"/>
              </w:rPr>
            </w:pPr>
            <w:r w:rsidRPr="00DE4A5E">
              <w:rPr>
                <w:rFonts w:ascii="Verdana" w:hAnsi="Verdana" w:eastAsia="Calibri" w:cs="Arial"/>
                <w:b/>
                <w:sz w:val="18"/>
                <w:szCs w:val="18"/>
                <w:lang w:val="nl-NL" w:eastAsia="en-US"/>
              </w:rPr>
              <w:t>Ontwikkelingslanden</w:t>
            </w:r>
          </w:p>
        </w:tc>
      </w:tr>
      <w:tr w:rsidRPr="00DE4A5E" w:rsidR="00BF75B4" w:rsidTr="00E80A06" w14:paraId="062935DD" w14:textId="77777777">
        <w:trPr>
          <w:trHeight w:val="255"/>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4D5C860C" w14:textId="77777777">
            <w:pPr>
              <w:spacing w:line="276" w:lineRule="auto"/>
              <w:ind w:firstLine="0"/>
              <w:jc w:val="right"/>
              <w:rPr>
                <w:rFonts w:ascii="Verdana" w:hAnsi="Verdana" w:eastAsia="Calibri" w:cs="Arial"/>
                <w:sz w:val="18"/>
                <w:szCs w:val="18"/>
                <w:lang w:val="nl-NL" w:eastAsia="en-US"/>
              </w:rPr>
            </w:pPr>
            <w:r w:rsidRPr="00DE4A5E">
              <w:rPr>
                <w:rFonts w:ascii="Verdana" w:hAnsi="Verdana" w:eastAsia="Calibri" w:cs="Arial"/>
                <w:sz w:val="18"/>
                <w:szCs w:val="18"/>
                <w:lang w:val="nl-NL" w:eastAsia="en-US"/>
              </w:rPr>
              <w:t>2.6.2</w:t>
            </w:r>
          </w:p>
        </w:tc>
        <w:tc>
          <w:tcPr>
            <w:tcW w:w="6373"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tcPr>
          <w:p w:rsidRPr="00DE4A5E" w:rsidR="00BF75B4" w:rsidP="00BF75B4" w:rsidRDefault="00BF75B4" w14:paraId="718F5672" w14:textId="77777777">
            <w:pPr>
              <w:spacing w:line="276" w:lineRule="auto"/>
              <w:ind w:firstLine="0"/>
              <w:rPr>
                <w:rFonts w:ascii="Verdana" w:hAnsi="Verdana" w:eastAsia="Calibri" w:cs="Arial"/>
                <w:color w:val="FFFFFF"/>
                <w:sz w:val="18"/>
                <w:szCs w:val="18"/>
                <w:lang w:val="nl-NL" w:eastAsia="en-US"/>
              </w:rPr>
            </w:pPr>
            <w:r w:rsidRPr="00DE4A5E">
              <w:rPr>
                <w:rFonts w:ascii="Verdana" w:hAnsi="Verdana" w:eastAsia="Calibri" w:cs="Arial"/>
                <w:color w:val="FFFFFF"/>
                <w:sz w:val="18"/>
                <w:szCs w:val="18"/>
                <w:lang w:val="nl-NL" w:eastAsia="en-US"/>
              </w:rPr>
              <w:t>Uitgebreidere definitie ‘vaste inrichting’</w:t>
            </w:r>
          </w:p>
        </w:tc>
        <w:tc>
          <w:tcPr>
            <w:tcW w:w="283"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22F43652" w14:textId="77777777">
            <w:pPr>
              <w:spacing w:line="276" w:lineRule="auto"/>
              <w:ind w:firstLine="0"/>
              <w:jc w:val="center"/>
              <w:rPr>
                <w:rFonts w:ascii="Verdana" w:hAnsi="Verdana" w:eastAsia="Calibri" w:cs="Arial"/>
                <w:b/>
                <w:color w:val="007BC7"/>
                <w:sz w:val="18"/>
                <w:szCs w:val="18"/>
                <w:lang w:val="nl-NL" w:eastAsia="en-US"/>
              </w:rPr>
            </w:pPr>
          </w:p>
        </w:tc>
        <w:tc>
          <w:tcPr>
            <w:tcW w:w="493"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0DD4B8A4" w14:textId="77777777">
            <w:pPr>
              <w:spacing w:line="276" w:lineRule="auto"/>
              <w:ind w:firstLine="0"/>
              <w:jc w:val="center"/>
              <w:rPr>
                <w:rFonts w:ascii="Verdana" w:hAnsi="Verdana" w:eastAsia="Calibri" w:cs="Arial"/>
                <w:b/>
                <w:color w:val="007BC7"/>
                <w:sz w:val="18"/>
                <w:szCs w:val="18"/>
                <w:lang w:val="nl-NL" w:eastAsia="en-US"/>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34BC1EAE" w14:textId="77777777">
            <w:pPr>
              <w:spacing w:line="276" w:lineRule="auto"/>
              <w:ind w:firstLine="0"/>
              <w:jc w:val="center"/>
              <w:rPr>
                <w:rFonts w:ascii="Verdana" w:hAnsi="Verdana" w:eastAsia="Calibri" w:cs="Arial"/>
                <w:b/>
                <w:color w:val="007BC7"/>
                <w:sz w:val="18"/>
                <w:szCs w:val="18"/>
                <w:lang w:val="nl-NL" w:eastAsia="en-US"/>
              </w:rPr>
            </w:pPr>
          </w:p>
        </w:tc>
        <w:tc>
          <w:tcPr>
            <w:tcW w:w="35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592591" w14:paraId="2FF1CE68" w14:textId="77777777">
            <w:pPr>
              <w:spacing w:line="276" w:lineRule="auto"/>
              <w:ind w:firstLine="0"/>
              <w:jc w:val="center"/>
              <w:rPr>
                <w:rFonts w:ascii="Verdana" w:hAnsi="Verdana" w:eastAsia="Calibri" w:cs="Arial"/>
                <w:b/>
                <w:color w:val="007BC7"/>
                <w:sz w:val="18"/>
                <w:szCs w:val="18"/>
                <w:lang w:val="nl-NL" w:eastAsia="en-US"/>
              </w:rPr>
            </w:pPr>
            <w:r w:rsidRPr="00DE4A5E">
              <w:rPr>
                <w:rFonts w:ascii="Verdana" w:hAnsi="Verdana" w:eastAsia="Calibri" w:cs="Arial"/>
                <w:b/>
                <w:color w:val="007BC7"/>
                <w:sz w:val="18"/>
                <w:szCs w:val="18"/>
                <w:lang w:val="nl-NL" w:eastAsia="en-US"/>
              </w:rPr>
              <w:t>X</w:t>
            </w: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6A883369" w14:textId="77777777">
            <w:pPr>
              <w:spacing w:line="276" w:lineRule="auto"/>
              <w:ind w:firstLine="0"/>
              <w:rPr>
                <w:rFonts w:ascii="Verdana" w:hAnsi="Verdana" w:eastAsia="Calibri" w:cs="Arial"/>
                <w:sz w:val="18"/>
                <w:szCs w:val="18"/>
                <w:lang w:val="nl-NL" w:eastAsia="en-US"/>
              </w:rPr>
            </w:pPr>
          </w:p>
        </w:tc>
      </w:tr>
      <w:tr w:rsidRPr="00DE4A5E" w:rsidR="00BF75B4" w:rsidTr="00E80A06" w14:paraId="76D6E6B1" w14:textId="77777777">
        <w:trPr>
          <w:trHeight w:val="255"/>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76041648" w14:textId="77777777">
            <w:pPr>
              <w:spacing w:line="276" w:lineRule="auto"/>
              <w:ind w:firstLine="0"/>
              <w:jc w:val="right"/>
              <w:rPr>
                <w:rFonts w:ascii="Verdana" w:hAnsi="Verdana" w:eastAsia="Calibri" w:cs="Arial"/>
                <w:sz w:val="18"/>
                <w:szCs w:val="18"/>
                <w:lang w:val="nl-NL" w:eastAsia="en-US"/>
              </w:rPr>
            </w:pPr>
            <w:r w:rsidRPr="00DE4A5E">
              <w:rPr>
                <w:rFonts w:ascii="Verdana" w:hAnsi="Verdana" w:eastAsia="Calibri" w:cs="Arial"/>
                <w:sz w:val="18"/>
                <w:szCs w:val="18"/>
                <w:lang w:val="nl-NL" w:eastAsia="en-US"/>
              </w:rPr>
              <w:t>2.7.1</w:t>
            </w:r>
          </w:p>
        </w:tc>
        <w:tc>
          <w:tcPr>
            <w:tcW w:w="6373"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tcPr>
          <w:p w:rsidRPr="00DE4A5E" w:rsidR="00BF75B4" w:rsidP="00BF75B4" w:rsidRDefault="00BF75B4" w14:paraId="15D7AE70" w14:textId="77777777">
            <w:pPr>
              <w:spacing w:line="276" w:lineRule="auto"/>
              <w:ind w:firstLine="0"/>
              <w:rPr>
                <w:rFonts w:ascii="Verdana" w:hAnsi="Verdana" w:eastAsia="Calibri" w:cs="Arial"/>
                <w:color w:val="FFFFFF"/>
                <w:sz w:val="18"/>
                <w:szCs w:val="18"/>
                <w:lang w:val="nl-NL" w:eastAsia="en-US"/>
              </w:rPr>
            </w:pPr>
            <w:r w:rsidRPr="00DE4A5E">
              <w:rPr>
                <w:rFonts w:ascii="Verdana" w:hAnsi="Verdana" w:eastAsia="Calibri" w:cs="Arial"/>
                <w:color w:val="FFFFFF"/>
                <w:sz w:val="18"/>
                <w:szCs w:val="18"/>
                <w:lang w:val="nl-NL" w:eastAsia="en-US"/>
              </w:rPr>
              <w:t>Bronbelasting op deelnemingsdividenden toegestaan</w:t>
            </w:r>
          </w:p>
        </w:tc>
        <w:tc>
          <w:tcPr>
            <w:tcW w:w="283"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0E4BAFEB" w14:textId="77777777">
            <w:pPr>
              <w:spacing w:line="276" w:lineRule="auto"/>
              <w:ind w:firstLine="0"/>
              <w:jc w:val="center"/>
              <w:rPr>
                <w:rFonts w:ascii="Verdana" w:hAnsi="Verdana" w:eastAsia="Calibri" w:cs="Arial"/>
                <w:b/>
                <w:color w:val="007BC7"/>
                <w:sz w:val="18"/>
                <w:szCs w:val="18"/>
                <w:lang w:val="nl-NL" w:eastAsia="en-US"/>
              </w:rPr>
            </w:pPr>
          </w:p>
        </w:tc>
        <w:tc>
          <w:tcPr>
            <w:tcW w:w="493"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08A88AD0" w14:textId="77777777">
            <w:pPr>
              <w:spacing w:line="276" w:lineRule="auto"/>
              <w:ind w:firstLine="0"/>
              <w:jc w:val="center"/>
              <w:rPr>
                <w:rFonts w:ascii="Verdana" w:hAnsi="Verdana" w:eastAsia="Calibri" w:cs="Arial"/>
                <w:b/>
                <w:color w:val="007BC7"/>
                <w:sz w:val="18"/>
                <w:szCs w:val="18"/>
                <w:lang w:val="nl-NL" w:eastAsia="en-US"/>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44E20921" w14:textId="77777777">
            <w:pPr>
              <w:spacing w:line="276" w:lineRule="auto"/>
              <w:ind w:firstLine="0"/>
              <w:jc w:val="center"/>
              <w:rPr>
                <w:rFonts w:ascii="Verdana" w:hAnsi="Verdana" w:eastAsia="Calibri" w:cs="Arial"/>
                <w:b/>
                <w:color w:val="007BC7"/>
                <w:sz w:val="18"/>
                <w:szCs w:val="18"/>
                <w:lang w:val="nl-NL" w:eastAsia="en-US"/>
              </w:rPr>
            </w:pPr>
          </w:p>
        </w:tc>
        <w:tc>
          <w:tcPr>
            <w:tcW w:w="35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592591" w14:paraId="2E852057" w14:textId="77777777">
            <w:pPr>
              <w:spacing w:line="276" w:lineRule="auto"/>
              <w:ind w:firstLine="0"/>
              <w:jc w:val="center"/>
              <w:rPr>
                <w:rFonts w:ascii="Verdana" w:hAnsi="Verdana" w:eastAsia="Calibri" w:cs="Arial"/>
                <w:b/>
                <w:color w:val="007BC7"/>
                <w:sz w:val="18"/>
                <w:szCs w:val="18"/>
                <w:lang w:val="nl-NL" w:eastAsia="en-US"/>
              </w:rPr>
            </w:pPr>
            <w:r w:rsidRPr="00DE4A5E">
              <w:rPr>
                <w:rFonts w:ascii="Verdana" w:hAnsi="Verdana" w:eastAsia="Calibri" w:cs="Arial"/>
                <w:b/>
                <w:color w:val="007BC7"/>
                <w:sz w:val="18"/>
                <w:szCs w:val="18"/>
                <w:lang w:val="nl-NL" w:eastAsia="en-US"/>
              </w:rPr>
              <w:t>X</w:t>
            </w: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44366BEB" w14:textId="77777777">
            <w:pPr>
              <w:spacing w:line="276" w:lineRule="auto"/>
              <w:ind w:firstLine="0"/>
              <w:rPr>
                <w:rFonts w:ascii="Verdana" w:hAnsi="Verdana" w:eastAsia="Calibri" w:cs="Arial"/>
                <w:sz w:val="18"/>
                <w:szCs w:val="18"/>
                <w:lang w:val="nl-NL" w:eastAsia="en-US"/>
              </w:rPr>
            </w:pPr>
          </w:p>
        </w:tc>
      </w:tr>
      <w:tr w:rsidRPr="00DE4A5E" w:rsidR="00BF75B4" w:rsidTr="00E80A06" w14:paraId="693CE04F" w14:textId="77777777">
        <w:trPr>
          <w:trHeight w:val="255"/>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2D5D09B7" w14:textId="77777777">
            <w:pPr>
              <w:spacing w:line="276" w:lineRule="auto"/>
              <w:ind w:firstLine="0"/>
              <w:jc w:val="right"/>
              <w:rPr>
                <w:rFonts w:ascii="Verdana" w:hAnsi="Verdana" w:eastAsia="Calibri" w:cs="Arial"/>
                <w:sz w:val="18"/>
                <w:szCs w:val="18"/>
                <w:lang w:val="nl-NL" w:eastAsia="en-US"/>
              </w:rPr>
            </w:pPr>
            <w:r w:rsidRPr="00DE4A5E">
              <w:rPr>
                <w:rFonts w:ascii="Verdana" w:hAnsi="Verdana" w:eastAsia="Calibri" w:cs="Arial"/>
                <w:sz w:val="18"/>
                <w:szCs w:val="18"/>
                <w:lang w:val="nl-NL" w:eastAsia="en-US"/>
              </w:rPr>
              <w:t>2.8.1</w:t>
            </w:r>
          </w:p>
        </w:tc>
        <w:tc>
          <w:tcPr>
            <w:tcW w:w="6373"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tcPr>
          <w:p w:rsidRPr="00DE4A5E" w:rsidR="00BF75B4" w:rsidP="00BF75B4" w:rsidRDefault="00BF75B4" w14:paraId="654A7D3B" w14:textId="77777777">
            <w:pPr>
              <w:spacing w:line="276" w:lineRule="auto"/>
              <w:ind w:firstLine="0"/>
              <w:rPr>
                <w:rFonts w:ascii="Verdana" w:hAnsi="Verdana" w:eastAsia="Calibri" w:cs="Arial"/>
                <w:color w:val="FFFFFF"/>
                <w:sz w:val="18"/>
                <w:szCs w:val="18"/>
                <w:lang w:val="nl-NL" w:eastAsia="en-US"/>
              </w:rPr>
            </w:pPr>
            <w:r w:rsidRPr="00DE4A5E">
              <w:rPr>
                <w:rFonts w:ascii="Verdana" w:hAnsi="Verdana" w:eastAsia="Calibri" w:cs="Arial"/>
                <w:color w:val="FFFFFF"/>
                <w:sz w:val="18"/>
                <w:szCs w:val="18"/>
                <w:lang w:val="nl-NL" w:eastAsia="en-US"/>
              </w:rPr>
              <w:t>Bronbelasting op interest &amp; royalty</w:t>
            </w:r>
            <w:r w:rsidRPr="00DE4A5E" w:rsidR="005D6123">
              <w:rPr>
                <w:rFonts w:ascii="Verdana" w:hAnsi="Verdana" w:eastAsia="Calibri" w:cs="Arial"/>
                <w:color w:val="FFFFFF"/>
                <w:sz w:val="18"/>
                <w:szCs w:val="18"/>
                <w:lang w:val="nl-NL" w:eastAsia="en-US"/>
              </w:rPr>
              <w:t>’</w:t>
            </w:r>
            <w:r w:rsidRPr="00DE4A5E">
              <w:rPr>
                <w:rFonts w:ascii="Verdana" w:hAnsi="Verdana" w:eastAsia="Calibri" w:cs="Arial"/>
                <w:color w:val="FFFFFF"/>
                <w:sz w:val="18"/>
                <w:szCs w:val="18"/>
                <w:lang w:val="nl-NL" w:eastAsia="en-US"/>
              </w:rPr>
              <w:t>s toegestaan</w:t>
            </w:r>
          </w:p>
        </w:tc>
        <w:tc>
          <w:tcPr>
            <w:tcW w:w="283"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75B332C5" w14:textId="77777777">
            <w:pPr>
              <w:spacing w:line="276" w:lineRule="auto"/>
              <w:ind w:firstLine="0"/>
              <w:jc w:val="center"/>
              <w:rPr>
                <w:rFonts w:ascii="Verdana" w:hAnsi="Verdana" w:eastAsia="Calibri" w:cs="Arial"/>
                <w:b/>
                <w:color w:val="007BC7"/>
                <w:sz w:val="18"/>
                <w:szCs w:val="18"/>
                <w:lang w:val="nl-NL" w:eastAsia="en-US"/>
              </w:rPr>
            </w:pPr>
          </w:p>
        </w:tc>
        <w:tc>
          <w:tcPr>
            <w:tcW w:w="493"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76AFB6CF" w14:textId="77777777">
            <w:pPr>
              <w:spacing w:line="276" w:lineRule="auto"/>
              <w:ind w:firstLine="0"/>
              <w:jc w:val="center"/>
              <w:rPr>
                <w:rFonts w:ascii="Verdana" w:hAnsi="Verdana" w:eastAsia="Calibri" w:cs="Arial"/>
                <w:b/>
                <w:color w:val="007BC7"/>
                <w:sz w:val="18"/>
                <w:szCs w:val="18"/>
                <w:lang w:val="nl-NL" w:eastAsia="en-US"/>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4E051E28" w14:textId="77777777">
            <w:pPr>
              <w:spacing w:line="276" w:lineRule="auto"/>
              <w:ind w:firstLine="0"/>
              <w:jc w:val="center"/>
              <w:rPr>
                <w:rFonts w:ascii="Verdana" w:hAnsi="Verdana" w:eastAsia="Calibri" w:cs="Arial"/>
                <w:b/>
                <w:color w:val="007BC7"/>
                <w:sz w:val="18"/>
                <w:szCs w:val="18"/>
                <w:lang w:val="nl-NL" w:eastAsia="en-US"/>
              </w:rPr>
            </w:pPr>
          </w:p>
        </w:tc>
        <w:tc>
          <w:tcPr>
            <w:tcW w:w="35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592591" w14:paraId="3562C138" w14:textId="77777777">
            <w:pPr>
              <w:spacing w:line="276" w:lineRule="auto"/>
              <w:ind w:firstLine="0"/>
              <w:jc w:val="center"/>
              <w:rPr>
                <w:rFonts w:ascii="Verdana" w:hAnsi="Verdana" w:eastAsia="Calibri" w:cs="Arial"/>
                <w:b/>
                <w:color w:val="007BC7"/>
                <w:sz w:val="18"/>
                <w:szCs w:val="18"/>
                <w:lang w:val="nl-NL" w:eastAsia="en-US"/>
              </w:rPr>
            </w:pPr>
            <w:r w:rsidRPr="00DE4A5E">
              <w:rPr>
                <w:rFonts w:ascii="Verdana" w:hAnsi="Verdana" w:eastAsia="Calibri" w:cs="Arial"/>
                <w:b/>
                <w:color w:val="007BC7"/>
                <w:sz w:val="18"/>
                <w:szCs w:val="18"/>
                <w:lang w:val="nl-NL" w:eastAsia="en-US"/>
              </w:rPr>
              <w:t>X</w:t>
            </w: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289B4F45" w14:textId="77777777">
            <w:pPr>
              <w:spacing w:line="276" w:lineRule="auto"/>
              <w:ind w:firstLine="0"/>
              <w:rPr>
                <w:rFonts w:ascii="Verdana" w:hAnsi="Verdana" w:eastAsia="Calibri" w:cs="Arial"/>
                <w:sz w:val="18"/>
                <w:szCs w:val="18"/>
                <w:lang w:val="nl-NL" w:eastAsia="en-US"/>
              </w:rPr>
            </w:pPr>
            <w:r w:rsidRPr="00DE4A5E">
              <w:rPr>
                <w:rFonts w:ascii="Verdana" w:hAnsi="Verdana" w:eastAsia="Calibri" w:cs="Arial"/>
                <w:sz w:val="18"/>
                <w:szCs w:val="18"/>
                <w:lang w:val="nl-NL" w:eastAsia="en-US"/>
              </w:rPr>
              <w:br/>
            </w:r>
          </w:p>
        </w:tc>
      </w:tr>
      <w:tr w:rsidRPr="00DE4A5E" w:rsidR="00BF75B4" w:rsidTr="00E80A06" w14:paraId="1C6B96D2" w14:textId="77777777">
        <w:trPr>
          <w:trHeight w:val="255"/>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5F761329" w14:textId="77777777">
            <w:pPr>
              <w:spacing w:line="276" w:lineRule="auto"/>
              <w:ind w:firstLine="0"/>
              <w:jc w:val="right"/>
              <w:rPr>
                <w:rFonts w:ascii="Verdana" w:hAnsi="Verdana" w:eastAsia="Calibri" w:cs="Arial"/>
                <w:sz w:val="18"/>
                <w:szCs w:val="18"/>
                <w:lang w:val="nl-NL" w:eastAsia="en-US"/>
              </w:rPr>
            </w:pPr>
          </w:p>
        </w:tc>
        <w:tc>
          <w:tcPr>
            <w:tcW w:w="6373"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tcPr>
          <w:p w:rsidRPr="00DE4A5E" w:rsidR="00BF75B4" w:rsidP="00BF75B4" w:rsidRDefault="00BF75B4" w14:paraId="4FC9EB47" w14:textId="77777777">
            <w:pPr>
              <w:spacing w:line="276" w:lineRule="auto"/>
              <w:ind w:firstLine="0"/>
              <w:rPr>
                <w:rFonts w:ascii="Verdana" w:hAnsi="Verdana" w:eastAsia="Calibri" w:cs="Arial"/>
                <w:color w:val="FFFFFF"/>
                <w:sz w:val="18"/>
                <w:szCs w:val="18"/>
                <w:lang w:val="nl-NL" w:eastAsia="en-US"/>
              </w:rPr>
            </w:pPr>
            <w:r w:rsidRPr="00DE4A5E">
              <w:rPr>
                <w:rFonts w:ascii="Verdana" w:hAnsi="Verdana" w:eastAsia="Calibri" w:cs="Arial"/>
                <w:color w:val="FFFFFF"/>
                <w:sz w:val="18"/>
                <w:szCs w:val="18"/>
                <w:lang w:val="nl-NL" w:eastAsia="en-US"/>
              </w:rPr>
              <w:t xml:space="preserve">Risico’s verdragsmisbruik tijdens onderhandelingen op initiatief van Nederland besproken en zo nodig geadresseerd in het verdrag </w:t>
            </w:r>
          </w:p>
        </w:tc>
        <w:tc>
          <w:tcPr>
            <w:tcW w:w="283"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1053E567" w14:textId="77777777">
            <w:pPr>
              <w:spacing w:line="276" w:lineRule="auto"/>
              <w:ind w:firstLine="0"/>
              <w:jc w:val="center"/>
              <w:rPr>
                <w:rFonts w:ascii="Verdana" w:hAnsi="Verdana" w:eastAsia="Calibri" w:cs="Arial"/>
                <w:b/>
                <w:color w:val="007BC7"/>
                <w:sz w:val="18"/>
                <w:szCs w:val="18"/>
                <w:lang w:val="nl-NL" w:eastAsia="en-US"/>
              </w:rPr>
            </w:pPr>
          </w:p>
        </w:tc>
        <w:tc>
          <w:tcPr>
            <w:tcW w:w="493"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7D945564" w14:textId="77777777">
            <w:pPr>
              <w:spacing w:line="276" w:lineRule="auto"/>
              <w:ind w:firstLine="0"/>
              <w:jc w:val="center"/>
              <w:rPr>
                <w:rFonts w:ascii="Verdana" w:hAnsi="Verdana" w:eastAsia="Calibri" w:cs="Arial"/>
                <w:b/>
                <w:color w:val="007BC7"/>
                <w:sz w:val="18"/>
                <w:szCs w:val="18"/>
                <w:lang w:val="nl-NL" w:eastAsia="en-US"/>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3E9CC747" w14:textId="77777777">
            <w:pPr>
              <w:spacing w:line="276" w:lineRule="auto"/>
              <w:ind w:firstLine="0"/>
              <w:jc w:val="center"/>
              <w:rPr>
                <w:rFonts w:ascii="Verdana" w:hAnsi="Verdana" w:eastAsia="Calibri" w:cs="Arial"/>
                <w:b/>
                <w:color w:val="007BC7"/>
                <w:sz w:val="18"/>
                <w:szCs w:val="18"/>
                <w:lang w:val="nl-NL" w:eastAsia="en-US"/>
              </w:rPr>
            </w:pPr>
          </w:p>
        </w:tc>
        <w:tc>
          <w:tcPr>
            <w:tcW w:w="35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592591" w14:paraId="1F95C2A4" w14:textId="77777777">
            <w:pPr>
              <w:spacing w:line="276" w:lineRule="auto"/>
              <w:ind w:firstLine="0"/>
              <w:rPr>
                <w:rFonts w:ascii="Verdana" w:hAnsi="Verdana" w:eastAsia="Calibri" w:cs="Arial"/>
                <w:b/>
                <w:color w:val="007BC7"/>
                <w:sz w:val="18"/>
                <w:szCs w:val="18"/>
                <w:lang w:val="nl-NL" w:eastAsia="en-US"/>
              </w:rPr>
            </w:pPr>
            <w:r w:rsidRPr="00DE4A5E">
              <w:rPr>
                <w:rFonts w:ascii="Verdana" w:hAnsi="Verdana" w:eastAsia="Calibri" w:cs="Arial"/>
                <w:b/>
                <w:color w:val="007BC7"/>
                <w:sz w:val="18"/>
                <w:szCs w:val="18"/>
                <w:lang w:val="nl-NL" w:eastAsia="en-US"/>
              </w:rPr>
              <w:t xml:space="preserve"> X</w:t>
            </w: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4F58CADE" w14:textId="77777777">
            <w:pPr>
              <w:spacing w:line="276" w:lineRule="auto"/>
              <w:ind w:firstLine="0"/>
              <w:rPr>
                <w:rFonts w:ascii="Verdana" w:hAnsi="Verdana" w:eastAsia="Calibri" w:cs="Arial"/>
                <w:sz w:val="18"/>
                <w:szCs w:val="18"/>
                <w:lang w:val="nl-NL" w:eastAsia="en-US"/>
              </w:rPr>
            </w:pPr>
          </w:p>
        </w:tc>
      </w:tr>
      <w:tr w:rsidRPr="00DE4A5E" w:rsidR="00BF75B4" w:rsidTr="00E80A06" w14:paraId="2FF4DB12" w14:textId="77777777">
        <w:trPr>
          <w:trHeight w:val="255"/>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6685A68A" w14:textId="77777777">
            <w:pPr>
              <w:spacing w:line="276" w:lineRule="auto"/>
              <w:ind w:firstLine="0"/>
              <w:jc w:val="right"/>
              <w:rPr>
                <w:rFonts w:ascii="Verdana" w:hAnsi="Verdana" w:eastAsia="Calibri" w:cs="Arial"/>
                <w:sz w:val="18"/>
                <w:szCs w:val="18"/>
                <w:lang w:val="nl-NL" w:eastAsia="en-US"/>
              </w:rPr>
            </w:pPr>
            <w:r w:rsidRPr="00DE4A5E">
              <w:rPr>
                <w:rFonts w:ascii="Verdana" w:hAnsi="Verdana" w:eastAsia="Calibri" w:cs="Arial"/>
                <w:sz w:val="18"/>
                <w:szCs w:val="18"/>
                <w:lang w:val="nl-NL" w:eastAsia="en-US"/>
              </w:rPr>
              <w:t>II.2</w:t>
            </w:r>
          </w:p>
        </w:tc>
        <w:tc>
          <w:tcPr>
            <w:tcW w:w="6373"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tcPr>
          <w:p w:rsidRPr="00DE4A5E" w:rsidR="00BF75B4" w:rsidP="00BF75B4" w:rsidRDefault="00BF75B4" w14:paraId="3052FB70" w14:textId="77777777">
            <w:pPr>
              <w:spacing w:line="276" w:lineRule="auto"/>
              <w:ind w:firstLine="0"/>
              <w:rPr>
                <w:rFonts w:ascii="Verdana" w:hAnsi="Verdana" w:eastAsia="Calibri" w:cs="Arial"/>
                <w:color w:val="FFFFFF"/>
                <w:sz w:val="18"/>
                <w:szCs w:val="18"/>
                <w:lang w:val="nl-NL" w:eastAsia="en-US"/>
              </w:rPr>
            </w:pPr>
            <w:r w:rsidRPr="00DE4A5E">
              <w:rPr>
                <w:rFonts w:ascii="Verdana" w:hAnsi="Verdana" w:eastAsia="Calibri" w:cs="Arial"/>
                <w:color w:val="FFFFFF"/>
                <w:sz w:val="18"/>
                <w:szCs w:val="18"/>
                <w:lang w:val="nl-NL" w:eastAsia="en-US"/>
              </w:rPr>
              <w:t>Overige onderdelen van het VN-model geaccepteerd ter ondersteuning van de fiscale ontwikkeling van het ontwikkelingsland</w:t>
            </w:r>
          </w:p>
        </w:tc>
        <w:tc>
          <w:tcPr>
            <w:tcW w:w="283"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7A84C276" w14:textId="77777777">
            <w:pPr>
              <w:spacing w:line="276" w:lineRule="auto"/>
              <w:ind w:firstLine="0"/>
              <w:jc w:val="center"/>
              <w:rPr>
                <w:rFonts w:ascii="Verdana" w:hAnsi="Verdana" w:eastAsia="Calibri" w:cs="Arial"/>
                <w:b/>
                <w:color w:val="007BC7"/>
                <w:sz w:val="18"/>
                <w:szCs w:val="18"/>
                <w:lang w:val="nl-NL" w:eastAsia="en-US"/>
              </w:rPr>
            </w:pPr>
          </w:p>
        </w:tc>
        <w:tc>
          <w:tcPr>
            <w:tcW w:w="493"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522533B5" w14:textId="77777777">
            <w:pPr>
              <w:spacing w:line="276" w:lineRule="auto"/>
              <w:ind w:firstLine="0"/>
              <w:jc w:val="center"/>
              <w:rPr>
                <w:rFonts w:ascii="Verdana" w:hAnsi="Verdana" w:eastAsia="Calibri" w:cs="Arial"/>
                <w:b/>
                <w:color w:val="007BC7"/>
                <w:sz w:val="18"/>
                <w:szCs w:val="18"/>
                <w:lang w:val="nl-NL" w:eastAsia="en-US"/>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783D96EB" w14:textId="77777777">
            <w:pPr>
              <w:spacing w:line="276" w:lineRule="auto"/>
              <w:ind w:firstLine="0"/>
              <w:jc w:val="center"/>
              <w:rPr>
                <w:rFonts w:ascii="Verdana" w:hAnsi="Verdana" w:eastAsia="Calibri" w:cs="Arial"/>
                <w:b/>
                <w:color w:val="007BC7"/>
                <w:sz w:val="18"/>
                <w:szCs w:val="18"/>
                <w:lang w:val="nl-NL" w:eastAsia="en-US"/>
              </w:rPr>
            </w:pPr>
          </w:p>
        </w:tc>
        <w:tc>
          <w:tcPr>
            <w:tcW w:w="35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592591" w14:paraId="6DD3B259" w14:textId="77777777">
            <w:pPr>
              <w:spacing w:line="276" w:lineRule="auto"/>
              <w:ind w:firstLine="0"/>
              <w:jc w:val="center"/>
              <w:rPr>
                <w:rFonts w:ascii="Verdana" w:hAnsi="Verdana" w:eastAsia="Calibri" w:cs="Arial"/>
                <w:b/>
                <w:color w:val="007BC7"/>
                <w:sz w:val="18"/>
                <w:szCs w:val="18"/>
                <w:lang w:val="nl-NL" w:eastAsia="en-US"/>
              </w:rPr>
            </w:pPr>
            <w:r w:rsidRPr="00DE4A5E">
              <w:rPr>
                <w:rFonts w:ascii="Verdana" w:hAnsi="Verdana" w:eastAsia="Calibri" w:cs="Arial"/>
                <w:b/>
                <w:color w:val="007BC7"/>
                <w:sz w:val="18"/>
                <w:szCs w:val="18"/>
                <w:lang w:val="nl-NL" w:eastAsia="en-US"/>
              </w:rPr>
              <w:t>X</w:t>
            </w: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6D6DFFA2" w14:textId="77777777">
            <w:pPr>
              <w:spacing w:line="276" w:lineRule="auto"/>
              <w:ind w:firstLine="0"/>
              <w:rPr>
                <w:rFonts w:ascii="Verdana" w:hAnsi="Verdana" w:eastAsia="Calibri" w:cs="Arial"/>
                <w:sz w:val="18"/>
                <w:szCs w:val="18"/>
                <w:lang w:val="nl-NL" w:eastAsia="en-US"/>
              </w:rPr>
            </w:pPr>
          </w:p>
        </w:tc>
      </w:tr>
    </w:tbl>
    <w:p w:rsidRPr="005C1870" w:rsidR="001936B1" w:rsidP="00B713C2" w:rsidRDefault="001936B1" w14:paraId="5F8506B2" w14:textId="26A73928">
      <w:pPr>
        <w:pBdr>
          <w:top w:val="single" w:color="auto" w:sz="4" w:space="1"/>
          <w:left w:val="single" w:color="auto" w:sz="4" w:space="0"/>
          <w:bottom w:val="single" w:color="auto" w:sz="4" w:space="1"/>
          <w:right w:val="single" w:color="auto" w:sz="4" w:space="4"/>
        </w:pBdr>
        <w:ind w:firstLine="0"/>
        <w:rPr>
          <w:rFonts w:ascii="Verdana" w:hAnsi="Verdana"/>
          <w:b/>
          <w:sz w:val="18"/>
          <w:szCs w:val="18"/>
          <w:lang w:val="nl-NL"/>
        </w:rPr>
      </w:pPr>
      <w:r w:rsidRPr="00DE4A5E">
        <w:rPr>
          <w:rFonts w:ascii="Verdana" w:hAnsi="Verdana"/>
          <w:b/>
          <w:sz w:val="18"/>
          <w:szCs w:val="18"/>
          <w:lang w:val="nl-NL"/>
        </w:rPr>
        <w:t>Toelichting</w:t>
      </w:r>
      <w:r w:rsidRPr="005C1870">
        <w:rPr>
          <w:rFonts w:ascii="Verdana" w:hAnsi="Verdana"/>
          <w:sz w:val="18"/>
          <w:szCs w:val="18"/>
          <w:lang w:val="nl-NL"/>
        </w:rPr>
        <w:br/>
        <w:t>In bovenstaand toetsschema met standaardcriteria voor het sluiten van belastingverdragen zijn de standaardcriteria opgenomen zoals geformuleerd en toegelicht in de NFV</w:t>
      </w:r>
      <w:r w:rsidR="00CF22A8">
        <w:rPr>
          <w:rFonts w:ascii="Verdana" w:hAnsi="Verdana"/>
          <w:sz w:val="18"/>
          <w:szCs w:val="18"/>
          <w:lang w:val="nl-NL"/>
        </w:rPr>
        <w:t xml:space="preserve"> </w:t>
      </w:r>
      <w:r w:rsidRPr="005C1870">
        <w:rPr>
          <w:rFonts w:ascii="Verdana" w:hAnsi="Verdana"/>
          <w:sz w:val="18"/>
          <w:szCs w:val="18"/>
          <w:lang w:val="nl-NL"/>
        </w:rPr>
        <w:t>2011. Dit schema biedt tevens uitvoering aan de motie-Van Vliet</w:t>
      </w:r>
      <w:r w:rsidRPr="005C1870">
        <w:rPr>
          <w:rStyle w:val="Voetnootmarkering"/>
          <w:rFonts w:ascii="Verdana" w:hAnsi="Verdana"/>
          <w:sz w:val="18"/>
          <w:szCs w:val="18"/>
        </w:rPr>
        <w:footnoteReference w:id="6"/>
      </w:r>
      <w:r w:rsidR="00CE7824">
        <w:rPr>
          <w:rFonts w:ascii="Verdana" w:hAnsi="Verdana"/>
          <w:sz w:val="18"/>
          <w:szCs w:val="18"/>
          <w:lang w:val="nl-NL"/>
        </w:rPr>
        <w:t>.</w:t>
      </w:r>
      <w:r w:rsidRPr="005C1870">
        <w:rPr>
          <w:rFonts w:ascii="Verdana" w:hAnsi="Verdana"/>
          <w:sz w:val="18"/>
          <w:szCs w:val="18"/>
          <w:lang w:val="nl-NL"/>
        </w:rPr>
        <w:t xml:space="preserve"> Per onderdeel </w:t>
      </w:r>
      <w:r w:rsidR="00CF22A8">
        <w:rPr>
          <w:rFonts w:ascii="Verdana" w:hAnsi="Verdana"/>
          <w:sz w:val="18"/>
          <w:szCs w:val="18"/>
          <w:lang w:val="nl-NL"/>
        </w:rPr>
        <w:t xml:space="preserve">wordt </w:t>
      </w:r>
      <w:r w:rsidRPr="005C1870">
        <w:rPr>
          <w:rFonts w:ascii="Verdana" w:hAnsi="Verdana"/>
          <w:sz w:val="18"/>
          <w:szCs w:val="18"/>
          <w:lang w:val="nl-NL"/>
        </w:rPr>
        <w:t xml:space="preserve">aangegeven of de inzet geconcretiseerd is in het verdrag en </w:t>
      </w:r>
      <w:r w:rsidR="00CF22A8">
        <w:rPr>
          <w:rFonts w:ascii="Verdana" w:hAnsi="Verdana"/>
          <w:sz w:val="18"/>
          <w:szCs w:val="18"/>
          <w:lang w:val="nl-NL"/>
        </w:rPr>
        <w:t xml:space="preserve">wordt </w:t>
      </w:r>
      <w:r w:rsidRPr="005C1870">
        <w:rPr>
          <w:rFonts w:ascii="Verdana" w:hAnsi="Verdana"/>
          <w:sz w:val="18"/>
          <w:szCs w:val="18"/>
          <w:lang w:val="nl-NL"/>
        </w:rPr>
        <w:t>verwezen naar de relevante passage in de toelichting.</w:t>
      </w:r>
    </w:p>
    <w:p w:rsidRPr="00556990" w:rsidR="00C41D7B" w:rsidP="00CD077B" w:rsidRDefault="00C41D7B" w14:paraId="0D5ECD9C" w14:textId="77777777">
      <w:pPr>
        <w:rPr>
          <w:rFonts w:ascii="Verdana" w:hAnsi="Verdana" w:cs="Arial"/>
          <w:sz w:val="18"/>
          <w:szCs w:val="18"/>
          <w:lang w:val="nl-NL"/>
        </w:rPr>
      </w:pPr>
    </w:p>
    <w:p w:rsidRPr="00F578EC" w:rsidR="00BF75B4" w:rsidP="00CD077B" w:rsidRDefault="00BF75B4" w14:paraId="09027F37" w14:textId="77777777">
      <w:pPr>
        <w:ind w:firstLine="0"/>
        <w:outlineLvl w:val="3"/>
        <w:rPr>
          <w:rFonts w:ascii="Verdana" w:hAnsi="Verdana" w:cs="Arial"/>
          <w:b/>
          <w:bCs/>
          <w:i/>
          <w:iCs/>
          <w:sz w:val="18"/>
          <w:szCs w:val="18"/>
          <w:lang w:val="nl-NL"/>
        </w:rPr>
      </w:pPr>
    </w:p>
    <w:p w:rsidRPr="00BC6175" w:rsidR="00F915C8" w:rsidP="00CD077B" w:rsidRDefault="00F915C8" w14:paraId="3FD71488" w14:textId="77777777">
      <w:pPr>
        <w:ind w:firstLine="0"/>
        <w:outlineLvl w:val="3"/>
        <w:rPr>
          <w:rFonts w:ascii="Verdana" w:hAnsi="Verdana"/>
          <w:sz w:val="18"/>
          <w:szCs w:val="18"/>
          <w:lang w:val="nl-NL"/>
        </w:rPr>
      </w:pPr>
      <w:r w:rsidRPr="00BC6175">
        <w:rPr>
          <w:rFonts w:ascii="Verdana" w:hAnsi="Verdana" w:cs="Arial"/>
          <w:b/>
          <w:bCs/>
          <w:i/>
          <w:iCs/>
          <w:sz w:val="18"/>
          <w:szCs w:val="18"/>
          <w:lang w:val="nl-NL"/>
        </w:rPr>
        <w:t xml:space="preserve">II. ARTIKELSGEWIJZE TOELICHTING </w:t>
      </w:r>
    </w:p>
    <w:p w:rsidRPr="00BC6175" w:rsidR="002A2E29" w:rsidP="00CD077B" w:rsidRDefault="002A2E29" w14:paraId="393B7E0C" w14:textId="77777777">
      <w:pPr>
        <w:pStyle w:val="Kop1"/>
        <w:numPr>
          <w:ilvl w:val="0"/>
          <w:numId w:val="0"/>
        </w:numPr>
        <w:rPr>
          <w:rFonts w:ascii="Verdana" w:hAnsi="Verdana"/>
          <w:sz w:val="18"/>
          <w:szCs w:val="18"/>
          <w:lang w:val="nl-NL"/>
        </w:rPr>
      </w:pPr>
    </w:p>
    <w:p w:rsidRPr="00BC6175" w:rsidR="002D160C" w:rsidP="00CD077B" w:rsidRDefault="00F915C8" w14:paraId="3A5F67A1" w14:textId="77777777">
      <w:pPr>
        <w:pStyle w:val="Kop1"/>
        <w:numPr>
          <w:ilvl w:val="0"/>
          <w:numId w:val="0"/>
        </w:numPr>
        <w:rPr>
          <w:rFonts w:ascii="Verdana" w:hAnsi="Verdana"/>
          <w:b w:val="0"/>
          <w:i/>
          <w:sz w:val="18"/>
          <w:szCs w:val="18"/>
          <w:lang w:val="nl-NL"/>
        </w:rPr>
      </w:pPr>
      <w:r w:rsidRPr="00BC6175">
        <w:rPr>
          <w:rFonts w:ascii="Verdana" w:hAnsi="Verdana"/>
          <w:b w:val="0"/>
          <w:i/>
          <w:sz w:val="18"/>
          <w:szCs w:val="18"/>
          <w:lang w:val="nl-NL"/>
        </w:rPr>
        <w:t xml:space="preserve">II.0. </w:t>
      </w:r>
      <w:r w:rsidRPr="00BC6175" w:rsidR="002D160C">
        <w:rPr>
          <w:rFonts w:ascii="Verdana" w:hAnsi="Verdana"/>
          <w:b w:val="0"/>
          <w:i/>
          <w:sz w:val="18"/>
          <w:szCs w:val="18"/>
          <w:lang w:val="nl-NL"/>
        </w:rPr>
        <w:t>Titel en preambule</w:t>
      </w:r>
    </w:p>
    <w:p w:rsidRPr="00CF22A8" w:rsidR="00F915C8" w:rsidP="00CD077B" w:rsidRDefault="00F915C8" w14:paraId="79175A16" w14:textId="77777777">
      <w:pPr>
        <w:rPr>
          <w:rFonts w:ascii="Verdana" w:hAnsi="Verdana"/>
          <w:sz w:val="18"/>
          <w:szCs w:val="18"/>
          <w:lang w:val="nl-NL"/>
        </w:rPr>
      </w:pPr>
    </w:p>
    <w:p w:rsidRPr="005C1870" w:rsidR="0068566E" w:rsidP="001200D4" w:rsidRDefault="00F154D0" w14:paraId="0FE7EC97" w14:textId="77777777">
      <w:pPr>
        <w:ind w:firstLine="708"/>
        <w:rPr>
          <w:rFonts w:ascii="Verdana" w:hAnsi="Verdana" w:cs="Arial"/>
          <w:sz w:val="18"/>
          <w:szCs w:val="18"/>
          <w:lang w:val="nl-NL"/>
        </w:rPr>
      </w:pPr>
      <w:r w:rsidRPr="005C1870">
        <w:rPr>
          <w:rFonts w:ascii="Verdana" w:hAnsi="Verdana" w:cs="Arial"/>
          <w:sz w:val="18"/>
          <w:szCs w:val="18"/>
          <w:lang w:val="nl-NL"/>
        </w:rPr>
        <w:t xml:space="preserve">De titel en preambule van dit Verdrag </w:t>
      </w:r>
      <w:r w:rsidRPr="005C1870" w:rsidR="00803E80">
        <w:rPr>
          <w:rFonts w:ascii="Verdana" w:hAnsi="Verdana" w:cs="Arial"/>
          <w:sz w:val="18"/>
          <w:szCs w:val="18"/>
          <w:lang w:val="nl-NL"/>
        </w:rPr>
        <w:t>zijn</w:t>
      </w:r>
      <w:r w:rsidRPr="005C1870">
        <w:rPr>
          <w:rFonts w:ascii="Verdana" w:hAnsi="Verdana" w:cs="Arial"/>
          <w:sz w:val="18"/>
          <w:szCs w:val="18"/>
          <w:lang w:val="nl-NL"/>
        </w:rPr>
        <w:t xml:space="preserve"> gebaseerd op het OESO-modelverdrag</w:t>
      </w:r>
      <w:r w:rsidRPr="005C1870" w:rsidR="00803E80">
        <w:rPr>
          <w:rFonts w:ascii="Verdana" w:hAnsi="Verdana" w:cs="Arial"/>
          <w:sz w:val="18"/>
          <w:szCs w:val="18"/>
          <w:lang w:val="nl-NL"/>
        </w:rPr>
        <w:t xml:space="preserve"> </w:t>
      </w:r>
      <w:r w:rsidR="00F62285">
        <w:rPr>
          <w:rFonts w:ascii="Verdana" w:hAnsi="Verdana" w:cs="Arial"/>
          <w:sz w:val="18"/>
          <w:szCs w:val="18"/>
          <w:lang w:val="nl-NL"/>
        </w:rPr>
        <w:t>en sluiten daarmee aan bij de</w:t>
      </w:r>
      <w:r w:rsidRPr="005C1870" w:rsidR="00803E80">
        <w:rPr>
          <w:rFonts w:ascii="Verdana" w:hAnsi="Verdana" w:cs="Arial"/>
          <w:sz w:val="18"/>
          <w:szCs w:val="18"/>
          <w:lang w:val="nl-NL"/>
        </w:rPr>
        <w:t xml:space="preserve"> voorstellen </w:t>
      </w:r>
      <w:r w:rsidR="00F62285">
        <w:rPr>
          <w:rFonts w:ascii="Verdana" w:hAnsi="Verdana" w:cs="Arial"/>
          <w:sz w:val="18"/>
          <w:szCs w:val="18"/>
          <w:lang w:val="nl-NL"/>
        </w:rPr>
        <w:t>op dit punt in</w:t>
      </w:r>
      <w:r w:rsidRPr="005C1870" w:rsidR="0068566E">
        <w:rPr>
          <w:rFonts w:ascii="Verdana" w:hAnsi="Verdana" w:cs="Arial"/>
          <w:sz w:val="18"/>
          <w:szCs w:val="18"/>
          <w:lang w:val="nl-NL"/>
        </w:rPr>
        <w:t xml:space="preserve"> het rapport </w:t>
      </w:r>
      <w:r w:rsidRPr="005C1870" w:rsidR="00D354C3">
        <w:rPr>
          <w:rFonts w:ascii="Verdana" w:hAnsi="Verdana" w:cs="Arial"/>
          <w:sz w:val="18"/>
          <w:szCs w:val="18"/>
          <w:lang w:val="nl-NL"/>
        </w:rPr>
        <w:t>bij BEPS-actie 6</w:t>
      </w:r>
      <w:r w:rsidRPr="005C1870" w:rsidR="0068566E">
        <w:rPr>
          <w:rFonts w:ascii="Verdana" w:hAnsi="Verdana" w:cs="Arial"/>
          <w:sz w:val="18"/>
          <w:szCs w:val="18"/>
          <w:lang w:val="nl-NL"/>
        </w:rPr>
        <w:t xml:space="preserve"> </w:t>
      </w:r>
      <w:r w:rsidRPr="005C1870" w:rsidR="00803E80">
        <w:rPr>
          <w:rFonts w:ascii="Verdana" w:hAnsi="Verdana" w:cs="Arial"/>
          <w:sz w:val="18"/>
          <w:szCs w:val="18"/>
          <w:lang w:val="nl-NL"/>
        </w:rPr>
        <w:t>(</w:t>
      </w:r>
      <w:r w:rsidRPr="005C1870" w:rsidR="0068566E">
        <w:rPr>
          <w:rFonts w:ascii="Verdana" w:hAnsi="Verdana" w:cs="Arial"/>
          <w:i/>
          <w:sz w:val="18"/>
          <w:szCs w:val="18"/>
          <w:lang w:val="nl-NL"/>
        </w:rPr>
        <w:t xml:space="preserve">Preventing the Granting of Treaty Benefits in </w:t>
      </w:r>
      <w:r w:rsidRPr="005C1870" w:rsidR="00803E80">
        <w:rPr>
          <w:rFonts w:ascii="Verdana" w:hAnsi="Verdana" w:cs="Arial"/>
          <w:i/>
          <w:sz w:val="18"/>
          <w:szCs w:val="18"/>
          <w:lang w:val="nl-NL"/>
        </w:rPr>
        <w:t>Inapproriate</w:t>
      </w:r>
      <w:r w:rsidRPr="005C1870" w:rsidR="0068566E">
        <w:rPr>
          <w:rFonts w:ascii="Verdana" w:hAnsi="Verdana" w:cs="Arial"/>
          <w:i/>
          <w:sz w:val="18"/>
          <w:szCs w:val="18"/>
          <w:lang w:val="nl-NL"/>
        </w:rPr>
        <w:t xml:space="preserve"> Circumstances</w:t>
      </w:r>
      <w:r w:rsidR="00F62285">
        <w:rPr>
          <w:rFonts w:ascii="Verdana" w:hAnsi="Verdana" w:cs="Arial"/>
          <w:sz w:val="18"/>
          <w:szCs w:val="18"/>
          <w:lang w:val="nl-NL"/>
        </w:rPr>
        <w:t>)</w:t>
      </w:r>
      <w:r w:rsidRPr="005C1870" w:rsidR="00803E80">
        <w:rPr>
          <w:rFonts w:ascii="Verdana" w:hAnsi="Verdana" w:cs="Arial"/>
          <w:sz w:val="18"/>
          <w:szCs w:val="18"/>
          <w:lang w:val="nl-NL"/>
        </w:rPr>
        <w:t>.</w:t>
      </w:r>
      <w:r w:rsidRPr="005C1870" w:rsidR="00531DCD">
        <w:rPr>
          <w:rStyle w:val="Voetnootmarkering"/>
          <w:rFonts w:ascii="Verdana" w:hAnsi="Verdana" w:cs="Arial"/>
          <w:sz w:val="18"/>
          <w:szCs w:val="18"/>
        </w:rPr>
        <w:footnoteReference w:id="7"/>
      </w:r>
      <w:r w:rsidRPr="005C1870" w:rsidR="00D354C3">
        <w:rPr>
          <w:rFonts w:ascii="Verdana" w:hAnsi="Verdana" w:cs="Arial"/>
          <w:sz w:val="18"/>
          <w:szCs w:val="18"/>
          <w:lang w:val="nl-NL"/>
        </w:rPr>
        <w:t xml:space="preserve"> </w:t>
      </w:r>
      <w:r w:rsidRPr="005C1870" w:rsidR="00803E80">
        <w:rPr>
          <w:rFonts w:ascii="Verdana" w:hAnsi="Verdana" w:cs="Arial"/>
          <w:sz w:val="18"/>
          <w:szCs w:val="18"/>
          <w:lang w:val="nl-NL"/>
        </w:rPr>
        <w:t xml:space="preserve">De titel brengt </w:t>
      </w:r>
      <w:r w:rsidRPr="005C1870" w:rsidR="008D79FA">
        <w:rPr>
          <w:rFonts w:ascii="Verdana" w:hAnsi="Verdana" w:cs="Arial"/>
          <w:sz w:val="18"/>
          <w:szCs w:val="18"/>
          <w:lang w:val="nl-NL"/>
        </w:rPr>
        <w:t>tot uitdrukk</w:t>
      </w:r>
      <w:r w:rsidRPr="005C1870" w:rsidR="00144B9C">
        <w:rPr>
          <w:rFonts w:ascii="Verdana" w:hAnsi="Verdana" w:cs="Arial"/>
          <w:sz w:val="18"/>
          <w:szCs w:val="18"/>
          <w:lang w:val="nl-NL"/>
        </w:rPr>
        <w:t xml:space="preserve">ing dat het Verdrag </w:t>
      </w:r>
      <w:r w:rsidRPr="005C1870" w:rsidR="008D79FA">
        <w:rPr>
          <w:rFonts w:ascii="Verdana" w:hAnsi="Verdana" w:cs="Arial"/>
          <w:sz w:val="18"/>
          <w:szCs w:val="18"/>
          <w:lang w:val="nl-NL"/>
        </w:rPr>
        <w:t>bedoeld is voor het vermijden van dubbele belastingheffing over belastingen naar het inkomen, maar ook voor het voorkomen van het ontgaan en ontwijken van belasting. De preambule maakt</w:t>
      </w:r>
      <w:r w:rsidRPr="005C1870" w:rsidR="00F909B1">
        <w:rPr>
          <w:rFonts w:ascii="Verdana" w:hAnsi="Verdana" w:cs="Arial"/>
          <w:sz w:val="18"/>
          <w:szCs w:val="18"/>
          <w:lang w:val="nl-NL"/>
        </w:rPr>
        <w:t xml:space="preserve"> </w:t>
      </w:r>
      <w:r w:rsidRPr="005C1870" w:rsidR="0068566E">
        <w:rPr>
          <w:rFonts w:ascii="Verdana" w:hAnsi="Verdana" w:cs="Arial"/>
          <w:sz w:val="18"/>
          <w:szCs w:val="18"/>
          <w:lang w:val="nl-NL"/>
        </w:rPr>
        <w:t xml:space="preserve">expliciet dat het </w:t>
      </w:r>
      <w:r w:rsidRPr="005C1870" w:rsidR="00531DCD">
        <w:rPr>
          <w:rFonts w:ascii="Verdana" w:hAnsi="Verdana" w:cs="Arial"/>
          <w:sz w:val="18"/>
          <w:szCs w:val="18"/>
          <w:lang w:val="nl-NL"/>
        </w:rPr>
        <w:t xml:space="preserve">belastingverdrag </w:t>
      </w:r>
      <w:r w:rsidRPr="005C1870" w:rsidR="0068566E">
        <w:rPr>
          <w:rFonts w:ascii="Verdana" w:hAnsi="Verdana" w:cs="Arial"/>
          <w:sz w:val="18"/>
          <w:szCs w:val="18"/>
          <w:lang w:val="nl-NL"/>
        </w:rPr>
        <w:t>bedoeld is om dubbele belasting te vermijden, zonder daarmee mogelijkheden te creëren voor dubbele niet-heffing of verlaagde heffing door belastingontduiking of belastingontwijking</w:t>
      </w:r>
      <w:r w:rsidRPr="005C1870" w:rsidR="008D79FA">
        <w:rPr>
          <w:rFonts w:ascii="Verdana" w:hAnsi="Verdana" w:cs="Arial"/>
          <w:sz w:val="18"/>
          <w:szCs w:val="18"/>
          <w:lang w:val="nl-NL"/>
        </w:rPr>
        <w:t>, waaronder</w:t>
      </w:r>
      <w:r w:rsidRPr="005C1870" w:rsidR="0068566E">
        <w:rPr>
          <w:rFonts w:ascii="Verdana" w:hAnsi="Verdana" w:cs="Arial"/>
          <w:sz w:val="18"/>
          <w:szCs w:val="18"/>
          <w:lang w:val="nl-NL"/>
        </w:rPr>
        <w:t xml:space="preserve"> treaty-shopping</w:t>
      </w:r>
      <w:r w:rsidRPr="005C1870" w:rsidR="00144B9C">
        <w:rPr>
          <w:rFonts w:ascii="Verdana" w:hAnsi="Verdana" w:cs="Arial"/>
          <w:sz w:val="18"/>
          <w:szCs w:val="18"/>
          <w:lang w:val="nl-NL"/>
        </w:rPr>
        <w:t>-structuren</w:t>
      </w:r>
      <w:r w:rsidRPr="005C1870" w:rsidR="0068566E">
        <w:rPr>
          <w:rFonts w:ascii="Verdana" w:hAnsi="Verdana" w:cs="Arial"/>
          <w:sz w:val="18"/>
          <w:szCs w:val="18"/>
          <w:lang w:val="nl-NL"/>
        </w:rPr>
        <w:t>.</w:t>
      </w:r>
      <w:r w:rsidRPr="005C1870" w:rsidR="008D79FA">
        <w:rPr>
          <w:rFonts w:ascii="Verdana" w:hAnsi="Verdana" w:cs="Arial"/>
          <w:sz w:val="18"/>
          <w:szCs w:val="18"/>
          <w:lang w:val="nl-NL"/>
        </w:rPr>
        <w:t xml:space="preserve"> De preambule voldoet hiermee aan de minimumstandaard van BEPS-actie 6. </w:t>
      </w:r>
    </w:p>
    <w:p w:rsidRPr="005C1870" w:rsidR="0068566E" w:rsidP="0068566E" w:rsidRDefault="0068566E" w14:paraId="4F6C143A" w14:textId="77777777">
      <w:pPr>
        <w:rPr>
          <w:rFonts w:ascii="Verdana" w:hAnsi="Verdana" w:cs="Arial"/>
          <w:sz w:val="18"/>
          <w:szCs w:val="18"/>
          <w:lang w:val="nl-NL"/>
        </w:rPr>
      </w:pPr>
      <w:r w:rsidRPr="005C1870">
        <w:rPr>
          <w:rFonts w:ascii="Verdana" w:hAnsi="Verdana" w:cs="Arial"/>
          <w:sz w:val="18"/>
          <w:szCs w:val="18"/>
          <w:lang w:val="nl-NL"/>
        </w:rPr>
        <w:t>In de preambule is tevens tot uitdrukking gebracht dat het Verdrag bedoeld is om de economische relatie te ontwikkelen en om de samenwerking te versterken op het gebied van belastingen.</w:t>
      </w:r>
      <w:r w:rsidRPr="005C1870" w:rsidR="001200D4">
        <w:rPr>
          <w:rFonts w:ascii="Verdana" w:hAnsi="Verdana" w:cs="Arial"/>
          <w:sz w:val="18"/>
          <w:szCs w:val="18"/>
          <w:lang w:val="nl-NL"/>
        </w:rPr>
        <w:t xml:space="preserve"> </w:t>
      </w:r>
    </w:p>
    <w:p w:rsidRPr="005C1870" w:rsidR="0068566E" w:rsidP="0068566E" w:rsidRDefault="00BE44F0" w14:paraId="0050D7D4" w14:textId="77777777">
      <w:pPr>
        <w:rPr>
          <w:rFonts w:ascii="Verdana" w:hAnsi="Verdana"/>
          <w:sz w:val="18"/>
          <w:szCs w:val="18"/>
          <w:lang w:val="nl-NL"/>
        </w:rPr>
      </w:pPr>
      <w:r w:rsidRPr="00556990">
        <w:rPr>
          <w:rFonts w:ascii="Verdana" w:hAnsi="Verdana"/>
          <w:sz w:val="18"/>
          <w:szCs w:val="18"/>
          <w:lang w:val="nl-NL"/>
        </w:rPr>
        <w:t>Het</w:t>
      </w:r>
      <w:r w:rsidRPr="00556990" w:rsidR="002A2E29">
        <w:rPr>
          <w:rFonts w:ascii="Verdana" w:hAnsi="Verdana"/>
          <w:sz w:val="18"/>
          <w:szCs w:val="18"/>
          <w:lang w:val="nl-NL"/>
        </w:rPr>
        <w:t xml:space="preserve"> Verdrag geldt voor belastingen naar het inkomen en</w:t>
      </w:r>
      <w:r w:rsidRPr="00556990" w:rsidR="00C05B28">
        <w:rPr>
          <w:rFonts w:ascii="Verdana" w:hAnsi="Verdana"/>
          <w:sz w:val="18"/>
          <w:szCs w:val="18"/>
          <w:lang w:val="nl-NL"/>
        </w:rPr>
        <w:t xml:space="preserve">, anders dan het OESO-modelverdrag, </w:t>
      </w:r>
      <w:r w:rsidRPr="00F578EC" w:rsidR="002A2E29">
        <w:rPr>
          <w:rFonts w:ascii="Verdana" w:hAnsi="Verdana"/>
          <w:sz w:val="18"/>
          <w:szCs w:val="18"/>
          <w:lang w:val="nl-NL"/>
        </w:rPr>
        <w:t xml:space="preserve">niet voor belastingen naar het vermogen. </w:t>
      </w:r>
      <w:r w:rsidRPr="00F578EC" w:rsidR="005B0835">
        <w:rPr>
          <w:rFonts w:ascii="Verdana" w:hAnsi="Verdana"/>
          <w:sz w:val="18"/>
          <w:szCs w:val="18"/>
          <w:lang w:val="nl-NL"/>
        </w:rPr>
        <w:t xml:space="preserve">Bulgarije </w:t>
      </w:r>
      <w:r w:rsidRPr="00F578EC" w:rsidR="002A2E29">
        <w:rPr>
          <w:rFonts w:ascii="Verdana" w:hAnsi="Verdana"/>
          <w:sz w:val="18"/>
          <w:szCs w:val="18"/>
          <w:lang w:val="nl-NL"/>
        </w:rPr>
        <w:t xml:space="preserve">kent evenals Nederland geen vermogensbelasting </w:t>
      </w:r>
      <w:r w:rsidRPr="00BC6175" w:rsidR="002A2E29">
        <w:rPr>
          <w:rFonts w:ascii="Verdana" w:hAnsi="Verdana"/>
          <w:sz w:val="18"/>
          <w:szCs w:val="18"/>
          <w:lang w:val="nl-NL"/>
        </w:rPr>
        <w:t xml:space="preserve">en derhalve </w:t>
      </w:r>
      <w:r w:rsidRPr="00BC6175" w:rsidR="00805997">
        <w:rPr>
          <w:rFonts w:ascii="Verdana" w:hAnsi="Verdana"/>
          <w:sz w:val="18"/>
          <w:szCs w:val="18"/>
          <w:lang w:val="nl-NL"/>
        </w:rPr>
        <w:t xml:space="preserve">bestaat </w:t>
      </w:r>
      <w:r w:rsidRPr="00BC6175" w:rsidR="002A2E29">
        <w:rPr>
          <w:rFonts w:ascii="Verdana" w:hAnsi="Verdana"/>
          <w:sz w:val="18"/>
          <w:szCs w:val="18"/>
          <w:lang w:val="nl-NL"/>
        </w:rPr>
        <w:t xml:space="preserve">er geen noodzaak om </w:t>
      </w:r>
      <w:r w:rsidRPr="00BC6175" w:rsidR="00C05B28">
        <w:rPr>
          <w:rFonts w:ascii="Verdana" w:hAnsi="Verdana"/>
          <w:sz w:val="18"/>
          <w:szCs w:val="18"/>
          <w:lang w:val="nl-NL"/>
        </w:rPr>
        <w:t xml:space="preserve">het </w:t>
      </w:r>
      <w:r w:rsidRPr="00BC6175" w:rsidR="002A2E29">
        <w:rPr>
          <w:rFonts w:ascii="Verdana" w:hAnsi="Verdana"/>
          <w:sz w:val="18"/>
          <w:szCs w:val="18"/>
          <w:lang w:val="nl-NL"/>
        </w:rPr>
        <w:t>Verdrag eveneens</w:t>
      </w:r>
      <w:r w:rsidRPr="00BC6175">
        <w:rPr>
          <w:rFonts w:ascii="Verdana" w:hAnsi="Verdana"/>
          <w:sz w:val="18"/>
          <w:szCs w:val="18"/>
          <w:lang w:val="nl-NL"/>
        </w:rPr>
        <w:t xml:space="preserve"> van </w:t>
      </w:r>
      <w:r w:rsidRPr="00BC6175">
        <w:rPr>
          <w:rFonts w:ascii="Verdana" w:hAnsi="Verdana"/>
          <w:sz w:val="18"/>
          <w:szCs w:val="18"/>
          <w:lang w:val="nl-NL"/>
        </w:rPr>
        <w:lastRenderedPageBreak/>
        <w:t>toepassing te laten zijn op</w:t>
      </w:r>
      <w:r w:rsidRPr="00BC6175" w:rsidR="002A2E29">
        <w:rPr>
          <w:rFonts w:ascii="Verdana" w:hAnsi="Verdana"/>
          <w:sz w:val="18"/>
          <w:szCs w:val="18"/>
          <w:lang w:val="nl-NL"/>
        </w:rPr>
        <w:t xml:space="preserve"> belastingen naar het vermogen</w:t>
      </w:r>
      <w:r w:rsidRPr="00CF22A8">
        <w:rPr>
          <w:rFonts w:ascii="Verdana" w:hAnsi="Verdana"/>
          <w:sz w:val="18"/>
          <w:szCs w:val="18"/>
          <w:lang w:val="nl-NL"/>
        </w:rPr>
        <w:t>.</w:t>
      </w:r>
      <w:r w:rsidRPr="00CF22A8" w:rsidR="002A2E29">
        <w:rPr>
          <w:rFonts w:ascii="Verdana" w:hAnsi="Verdana"/>
          <w:sz w:val="18"/>
          <w:szCs w:val="18"/>
          <w:lang w:val="nl-NL"/>
        </w:rPr>
        <w:t xml:space="preserve"> Dit betekent ook dat de verwijzingen naar de vermogensbelasting</w:t>
      </w:r>
      <w:r w:rsidRPr="00CF22A8">
        <w:rPr>
          <w:rFonts w:ascii="Verdana" w:hAnsi="Verdana"/>
          <w:sz w:val="18"/>
          <w:szCs w:val="18"/>
          <w:lang w:val="nl-NL"/>
        </w:rPr>
        <w:t>,</w:t>
      </w:r>
      <w:r w:rsidRPr="00CF22A8" w:rsidR="002A2E29">
        <w:rPr>
          <w:rFonts w:ascii="Verdana" w:hAnsi="Verdana"/>
          <w:sz w:val="18"/>
          <w:szCs w:val="18"/>
          <w:lang w:val="nl-NL"/>
        </w:rPr>
        <w:t xml:space="preserve"> </w:t>
      </w:r>
      <w:r w:rsidRPr="00CF22A8" w:rsidR="00805B0F">
        <w:rPr>
          <w:rFonts w:ascii="Verdana" w:hAnsi="Verdana"/>
          <w:sz w:val="18"/>
          <w:szCs w:val="18"/>
          <w:lang w:val="nl-NL"/>
        </w:rPr>
        <w:t>die in de bepalingen van het OESO-modelverdrag zijn opgenomen</w:t>
      </w:r>
      <w:r w:rsidRPr="005C1870">
        <w:rPr>
          <w:rFonts w:ascii="Verdana" w:hAnsi="Verdana"/>
          <w:sz w:val="18"/>
          <w:szCs w:val="18"/>
          <w:lang w:val="nl-NL"/>
        </w:rPr>
        <w:t>,</w:t>
      </w:r>
      <w:r w:rsidRPr="005C1870" w:rsidR="00805B0F">
        <w:rPr>
          <w:rFonts w:ascii="Verdana" w:hAnsi="Verdana"/>
          <w:sz w:val="18"/>
          <w:szCs w:val="18"/>
          <w:lang w:val="nl-NL"/>
        </w:rPr>
        <w:t xml:space="preserve"> in het Verdrag </w:t>
      </w:r>
      <w:r w:rsidRPr="005C1870" w:rsidR="002A2E29">
        <w:rPr>
          <w:rFonts w:ascii="Verdana" w:hAnsi="Verdana"/>
          <w:sz w:val="18"/>
          <w:szCs w:val="18"/>
          <w:lang w:val="nl-NL"/>
        </w:rPr>
        <w:t>ontbreken.</w:t>
      </w:r>
      <w:r w:rsidRPr="005C1870" w:rsidR="00222BD6">
        <w:rPr>
          <w:rFonts w:ascii="Verdana" w:hAnsi="Verdana"/>
          <w:sz w:val="18"/>
          <w:szCs w:val="18"/>
          <w:lang w:val="nl-NL"/>
        </w:rPr>
        <w:t xml:space="preserve"> </w:t>
      </w:r>
      <w:r w:rsidRPr="005C1870" w:rsidR="0068566E">
        <w:rPr>
          <w:rFonts w:ascii="Verdana" w:hAnsi="Verdana"/>
          <w:sz w:val="18"/>
          <w:szCs w:val="18"/>
          <w:lang w:val="nl-NL"/>
        </w:rPr>
        <w:t xml:space="preserve">Het Verdrag </w:t>
      </w:r>
      <w:r w:rsidRPr="005C1870">
        <w:rPr>
          <w:rFonts w:ascii="Verdana" w:hAnsi="Verdana"/>
          <w:sz w:val="18"/>
          <w:szCs w:val="18"/>
          <w:lang w:val="nl-NL"/>
        </w:rPr>
        <w:t>beperkt zich</w:t>
      </w:r>
      <w:r w:rsidR="00BF7188">
        <w:rPr>
          <w:rFonts w:ascii="Verdana" w:hAnsi="Verdana"/>
          <w:sz w:val="18"/>
          <w:szCs w:val="18"/>
          <w:lang w:val="nl-NL"/>
        </w:rPr>
        <w:t xml:space="preserve"> overigens</w:t>
      </w:r>
      <w:r w:rsidRPr="005C1870">
        <w:rPr>
          <w:rFonts w:ascii="Verdana" w:hAnsi="Verdana"/>
          <w:sz w:val="18"/>
          <w:szCs w:val="18"/>
          <w:lang w:val="nl-NL"/>
        </w:rPr>
        <w:t xml:space="preserve"> niet volledig tot</w:t>
      </w:r>
      <w:r w:rsidRPr="005C1870" w:rsidR="0068566E">
        <w:rPr>
          <w:rFonts w:ascii="Verdana" w:hAnsi="Verdana"/>
          <w:sz w:val="18"/>
          <w:szCs w:val="18"/>
          <w:lang w:val="nl-NL"/>
        </w:rPr>
        <w:t xml:space="preserve"> belastingen naar het inkomen</w:t>
      </w:r>
      <w:r w:rsidR="00916448">
        <w:rPr>
          <w:rFonts w:ascii="Verdana" w:hAnsi="Verdana"/>
          <w:sz w:val="18"/>
          <w:szCs w:val="18"/>
          <w:lang w:val="nl-NL"/>
        </w:rPr>
        <w:t>; d</w:t>
      </w:r>
      <w:r w:rsidRPr="005C1870" w:rsidR="002C0224">
        <w:rPr>
          <w:rFonts w:ascii="Verdana" w:hAnsi="Verdana"/>
          <w:sz w:val="18"/>
          <w:szCs w:val="18"/>
          <w:lang w:val="nl-NL"/>
        </w:rPr>
        <w:t xml:space="preserve">e bepalingen over informatie-uitwisseling en bijstand bij invordering gelden ook </w:t>
      </w:r>
      <w:r w:rsidRPr="005C1870" w:rsidR="00824711">
        <w:rPr>
          <w:rFonts w:ascii="Verdana" w:hAnsi="Verdana"/>
          <w:sz w:val="18"/>
          <w:szCs w:val="18"/>
          <w:lang w:val="nl-NL"/>
        </w:rPr>
        <w:t xml:space="preserve">voor </w:t>
      </w:r>
      <w:r w:rsidRPr="005C1870" w:rsidR="002C0224">
        <w:rPr>
          <w:rFonts w:ascii="Verdana" w:hAnsi="Verdana"/>
          <w:sz w:val="18"/>
          <w:szCs w:val="18"/>
          <w:lang w:val="nl-NL"/>
        </w:rPr>
        <w:t>andere belastingen en voor toeslagen.</w:t>
      </w:r>
      <w:r w:rsidR="00F62285">
        <w:rPr>
          <w:rFonts w:ascii="Verdana" w:hAnsi="Verdana"/>
          <w:sz w:val="18"/>
          <w:szCs w:val="18"/>
          <w:lang w:val="nl-NL"/>
        </w:rPr>
        <w:t xml:space="preserve"> Verder zijn de bepalingen over non-discriminatie </w:t>
      </w:r>
      <w:r w:rsidR="00BF7188">
        <w:rPr>
          <w:rFonts w:ascii="Verdana" w:hAnsi="Verdana"/>
          <w:sz w:val="18"/>
          <w:szCs w:val="18"/>
          <w:lang w:val="nl-NL"/>
        </w:rPr>
        <w:t>niet beperkt tot de belastingen naar het inkomen.</w:t>
      </w:r>
    </w:p>
    <w:p w:rsidRPr="005C1870" w:rsidR="009B275E" w:rsidP="009B275E" w:rsidRDefault="009B275E" w14:paraId="3874A2ED" w14:textId="77777777">
      <w:pPr>
        <w:pStyle w:val="Kop2"/>
        <w:numPr>
          <w:ilvl w:val="0"/>
          <w:numId w:val="0"/>
        </w:numPr>
        <w:spacing w:before="0" w:after="0"/>
        <w:rPr>
          <w:rFonts w:ascii="Verdana" w:hAnsi="Verdana"/>
          <w:b w:val="0"/>
          <w:i/>
          <w:sz w:val="18"/>
          <w:szCs w:val="18"/>
          <w:lang w:val="nl-NL"/>
        </w:rPr>
      </w:pPr>
    </w:p>
    <w:p w:rsidRPr="005C1870" w:rsidR="00222BD6" w:rsidP="009B275E" w:rsidRDefault="00222BD6" w14:paraId="6D9B3FCE" w14:textId="77777777">
      <w:pPr>
        <w:pStyle w:val="Kop2"/>
        <w:numPr>
          <w:ilvl w:val="0"/>
          <w:numId w:val="0"/>
        </w:numPr>
        <w:spacing w:before="0" w:after="0"/>
        <w:rPr>
          <w:rFonts w:ascii="Verdana" w:hAnsi="Verdana"/>
          <w:b w:val="0"/>
          <w:i/>
          <w:sz w:val="18"/>
          <w:szCs w:val="18"/>
          <w:lang w:val="nl-NL"/>
        </w:rPr>
      </w:pPr>
      <w:r w:rsidRPr="005C1870">
        <w:rPr>
          <w:rFonts w:ascii="Verdana" w:hAnsi="Verdana"/>
          <w:b w:val="0"/>
          <w:i/>
          <w:sz w:val="18"/>
          <w:szCs w:val="18"/>
          <w:lang w:val="nl-NL"/>
        </w:rPr>
        <w:t xml:space="preserve">II.1. Personen op wie het Verdrag van toepassing is (artikel 1 </w:t>
      </w:r>
      <w:r w:rsidR="00916448">
        <w:rPr>
          <w:rFonts w:ascii="Verdana" w:hAnsi="Verdana"/>
          <w:b w:val="0"/>
          <w:i/>
          <w:sz w:val="18"/>
          <w:szCs w:val="18"/>
          <w:lang w:val="nl-NL"/>
        </w:rPr>
        <w:t xml:space="preserve">van het Verdrag </w:t>
      </w:r>
      <w:r w:rsidRPr="005C1870">
        <w:rPr>
          <w:rFonts w:ascii="Verdana" w:hAnsi="Verdana"/>
          <w:b w:val="0"/>
          <w:i/>
          <w:sz w:val="18"/>
          <w:szCs w:val="18"/>
          <w:lang w:val="nl-NL"/>
        </w:rPr>
        <w:t xml:space="preserve">en </w:t>
      </w:r>
      <w:r w:rsidRPr="005C1870" w:rsidR="00A436A1">
        <w:rPr>
          <w:rFonts w:ascii="Verdana" w:hAnsi="Verdana"/>
          <w:b w:val="0"/>
          <w:i/>
          <w:sz w:val="18"/>
          <w:szCs w:val="18"/>
          <w:lang w:val="nl-NL"/>
        </w:rPr>
        <w:t xml:space="preserve">artikel II </w:t>
      </w:r>
      <w:r w:rsidRPr="005C1870" w:rsidR="004C5BA3">
        <w:rPr>
          <w:rFonts w:ascii="Verdana" w:hAnsi="Verdana"/>
          <w:b w:val="0"/>
          <w:i/>
          <w:sz w:val="18"/>
          <w:szCs w:val="18"/>
          <w:lang w:val="nl-NL"/>
        </w:rPr>
        <w:t xml:space="preserve">en III </w:t>
      </w:r>
      <w:r w:rsidRPr="005C1870" w:rsidR="00A436A1">
        <w:rPr>
          <w:rFonts w:ascii="Verdana" w:hAnsi="Verdana"/>
          <w:b w:val="0"/>
          <w:i/>
          <w:sz w:val="18"/>
          <w:szCs w:val="18"/>
          <w:lang w:val="nl-NL"/>
        </w:rPr>
        <w:t xml:space="preserve">van het </w:t>
      </w:r>
      <w:r w:rsidRPr="005C1870">
        <w:rPr>
          <w:rFonts w:ascii="Verdana" w:hAnsi="Verdana"/>
          <w:b w:val="0"/>
          <w:i/>
          <w:sz w:val="18"/>
          <w:szCs w:val="18"/>
          <w:lang w:val="nl-NL"/>
        </w:rPr>
        <w:t xml:space="preserve">Protocol) </w:t>
      </w:r>
    </w:p>
    <w:p w:rsidRPr="005C1870" w:rsidR="00222BD6" w:rsidP="009B275E" w:rsidRDefault="00222BD6" w14:paraId="77EBA4AA" w14:textId="77777777">
      <w:pPr>
        <w:rPr>
          <w:rFonts w:ascii="Verdana" w:hAnsi="Verdana"/>
          <w:sz w:val="18"/>
          <w:szCs w:val="18"/>
          <w:lang w:val="nl-NL"/>
        </w:rPr>
      </w:pPr>
    </w:p>
    <w:p w:rsidRPr="005C1870" w:rsidR="004A6017" w:rsidP="009B275E" w:rsidRDefault="00222BD6" w14:paraId="2618FE14" w14:textId="77777777">
      <w:pPr>
        <w:rPr>
          <w:rFonts w:ascii="Verdana" w:hAnsi="Verdana"/>
          <w:sz w:val="18"/>
          <w:szCs w:val="18"/>
          <w:lang w:val="nl-NL"/>
        </w:rPr>
      </w:pPr>
      <w:r w:rsidRPr="005C1870">
        <w:rPr>
          <w:rFonts w:ascii="Verdana" w:hAnsi="Verdana"/>
          <w:sz w:val="18"/>
          <w:szCs w:val="18"/>
          <w:lang w:val="nl-NL"/>
        </w:rPr>
        <w:t xml:space="preserve">Artikel 1 </w:t>
      </w:r>
      <w:r w:rsidRPr="005C1870" w:rsidR="005E39C5">
        <w:rPr>
          <w:rFonts w:ascii="Verdana" w:hAnsi="Verdana"/>
          <w:sz w:val="18"/>
          <w:szCs w:val="18"/>
          <w:lang w:val="nl-NL"/>
        </w:rPr>
        <w:t xml:space="preserve">van het Verdrag </w:t>
      </w:r>
      <w:r w:rsidRPr="005C1870" w:rsidR="00805997">
        <w:rPr>
          <w:rFonts w:ascii="Verdana" w:hAnsi="Verdana"/>
          <w:sz w:val="18"/>
          <w:szCs w:val="18"/>
          <w:lang w:val="nl-NL"/>
        </w:rPr>
        <w:t xml:space="preserve">is </w:t>
      </w:r>
      <w:r w:rsidRPr="005C1870" w:rsidR="00835B60">
        <w:rPr>
          <w:rFonts w:ascii="Verdana" w:hAnsi="Verdana"/>
          <w:sz w:val="18"/>
          <w:szCs w:val="18"/>
          <w:lang w:val="nl-NL"/>
        </w:rPr>
        <w:t xml:space="preserve">gebaseerd op </w:t>
      </w:r>
      <w:r w:rsidRPr="005C1870" w:rsidR="00805997">
        <w:rPr>
          <w:rFonts w:ascii="Verdana" w:hAnsi="Verdana"/>
          <w:sz w:val="18"/>
          <w:szCs w:val="18"/>
          <w:lang w:val="nl-NL"/>
        </w:rPr>
        <w:t>het OESO-modelverdrag</w:t>
      </w:r>
      <w:r w:rsidRPr="005C1870" w:rsidR="004A6017">
        <w:rPr>
          <w:rFonts w:ascii="Verdana" w:hAnsi="Verdana"/>
          <w:sz w:val="18"/>
          <w:szCs w:val="18"/>
          <w:lang w:val="nl-NL"/>
        </w:rPr>
        <w:t xml:space="preserve">. </w:t>
      </w:r>
      <w:r w:rsidRPr="005C1870" w:rsidR="00835B60">
        <w:rPr>
          <w:rFonts w:ascii="Verdana" w:hAnsi="Verdana"/>
          <w:sz w:val="18"/>
          <w:szCs w:val="18"/>
          <w:lang w:val="nl-NL"/>
        </w:rPr>
        <w:t xml:space="preserve">Alleen het </w:t>
      </w:r>
      <w:r w:rsidRPr="005C1870" w:rsidR="004A6017">
        <w:rPr>
          <w:rFonts w:ascii="Verdana" w:hAnsi="Verdana"/>
          <w:sz w:val="18"/>
          <w:szCs w:val="18"/>
          <w:lang w:val="nl-NL"/>
        </w:rPr>
        <w:t xml:space="preserve">derde lid wijkt </w:t>
      </w:r>
      <w:r w:rsidRPr="005C1870" w:rsidR="00BE44F0">
        <w:rPr>
          <w:rFonts w:ascii="Verdana" w:hAnsi="Verdana"/>
          <w:sz w:val="18"/>
          <w:szCs w:val="18"/>
          <w:lang w:val="nl-NL"/>
        </w:rPr>
        <w:t xml:space="preserve">daar </w:t>
      </w:r>
      <w:r w:rsidRPr="005C1870" w:rsidR="004A6017">
        <w:rPr>
          <w:rFonts w:ascii="Verdana" w:hAnsi="Verdana"/>
          <w:sz w:val="18"/>
          <w:szCs w:val="18"/>
          <w:lang w:val="nl-NL"/>
        </w:rPr>
        <w:t xml:space="preserve">enigszins </w:t>
      </w:r>
      <w:r w:rsidRPr="005C1870" w:rsidR="00BE44F0">
        <w:rPr>
          <w:rFonts w:ascii="Verdana" w:hAnsi="Verdana"/>
          <w:sz w:val="18"/>
          <w:szCs w:val="18"/>
          <w:lang w:val="nl-NL"/>
        </w:rPr>
        <w:t xml:space="preserve">van </w:t>
      </w:r>
      <w:r w:rsidRPr="005C1870" w:rsidR="004A6017">
        <w:rPr>
          <w:rFonts w:ascii="Verdana" w:hAnsi="Verdana"/>
          <w:sz w:val="18"/>
          <w:szCs w:val="18"/>
          <w:lang w:val="nl-NL"/>
        </w:rPr>
        <w:t>af en is</w:t>
      </w:r>
      <w:r w:rsidRPr="005C1870" w:rsidR="00805997">
        <w:rPr>
          <w:rFonts w:ascii="Verdana" w:hAnsi="Verdana"/>
          <w:sz w:val="18"/>
          <w:szCs w:val="18"/>
          <w:lang w:val="nl-NL"/>
        </w:rPr>
        <w:t xml:space="preserve"> </w:t>
      </w:r>
      <w:r w:rsidRPr="005C1870" w:rsidR="004A6017">
        <w:rPr>
          <w:rFonts w:ascii="Verdana" w:hAnsi="Verdana"/>
          <w:sz w:val="18"/>
          <w:szCs w:val="18"/>
          <w:lang w:val="nl-NL"/>
        </w:rPr>
        <w:t xml:space="preserve">gebaseerd op een alternatieve bepaling </w:t>
      </w:r>
      <w:r w:rsidRPr="005C1870" w:rsidR="00835B60">
        <w:rPr>
          <w:rFonts w:ascii="Verdana" w:hAnsi="Verdana"/>
          <w:sz w:val="18"/>
          <w:szCs w:val="18"/>
          <w:lang w:val="nl-NL"/>
        </w:rPr>
        <w:t xml:space="preserve">in artikel 3, derde lid, van </w:t>
      </w:r>
      <w:r w:rsidRPr="005C1870" w:rsidR="004A6017">
        <w:rPr>
          <w:rFonts w:ascii="Verdana" w:hAnsi="Verdana"/>
          <w:sz w:val="18"/>
          <w:szCs w:val="18"/>
          <w:lang w:val="nl-NL"/>
        </w:rPr>
        <w:t>het M</w:t>
      </w:r>
      <w:r w:rsidRPr="005C1870" w:rsidR="001200D4">
        <w:rPr>
          <w:rFonts w:ascii="Verdana" w:hAnsi="Verdana"/>
          <w:sz w:val="18"/>
          <w:szCs w:val="18"/>
          <w:lang w:val="nl-NL"/>
        </w:rPr>
        <w:t>LI</w:t>
      </w:r>
      <w:r w:rsidRPr="005C1870" w:rsidR="004A6017">
        <w:rPr>
          <w:rFonts w:ascii="Verdana" w:hAnsi="Verdana"/>
          <w:sz w:val="18"/>
          <w:szCs w:val="18"/>
          <w:lang w:val="nl-NL"/>
        </w:rPr>
        <w:t xml:space="preserve">. </w:t>
      </w:r>
    </w:p>
    <w:p w:rsidRPr="005C1870" w:rsidR="00222BD6" w:rsidP="00835B60" w:rsidRDefault="00583AFD" w14:paraId="27D80388" w14:textId="77777777">
      <w:pPr>
        <w:rPr>
          <w:rFonts w:ascii="Verdana" w:hAnsi="Verdana"/>
          <w:sz w:val="18"/>
          <w:szCs w:val="18"/>
          <w:lang w:val="nl-NL"/>
        </w:rPr>
      </w:pPr>
      <w:r w:rsidRPr="005C1870">
        <w:rPr>
          <w:rFonts w:ascii="Verdana" w:hAnsi="Verdana"/>
          <w:sz w:val="18"/>
          <w:szCs w:val="18"/>
          <w:lang w:val="nl-NL"/>
        </w:rPr>
        <w:t xml:space="preserve">Artikel 1, eerste lid, </w:t>
      </w:r>
      <w:r w:rsidRPr="005C1870" w:rsidR="005E39C5">
        <w:rPr>
          <w:rFonts w:ascii="Verdana" w:hAnsi="Verdana"/>
          <w:sz w:val="18"/>
          <w:szCs w:val="18"/>
          <w:lang w:val="nl-NL"/>
        </w:rPr>
        <w:t xml:space="preserve">van het Verdrag </w:t>
      </w:r>
      <w:r w:rsidRPr="005C1870">
        <w:rPr>
          <w:rFonts w:ascii="Verdana" w:hAnsi="Verdana"/>
          <w:sz w:val="18"/>
          <w:szCs w:val="18"/>
          <w:lang w:val="nl-NL"/>
        </w:rPr>
        <w:t>regelt dat h</w:t>
      </w:r>
      <w:r w:rsidRPr="005C1870" w:rsidR="00222BD6">
        <w:rPr>
          <w:rFonts w:ascii="Verdana" w:hAnsi="Verdana"/>
          <w:sz w:val="18"/>
          <w:szCs w:val="18"/>
          <w:lang w:val="nl-NL"/>
        </w:rPr>
        <w:t xml:space="preserve">et Verdrag </w:t>
      </w:r>
      <w:r w:rsidRPr="005C1870">
        <w:rPr>
          <w:rFonts w:ascii="Verdana" w:hAnsi="Verdana"/>
          <w:sz w:val="18"/>
          <w:szCs w:val="18"/>
          <w:lang w:val="nl-NL"/>
        </w:rPr>
        <w:t xml:space="preserve">van toepassing is op </w:t>
      </w:r>
      <w:r w:rsidRPr="005C1870" w:rsidR="00222BD6">
        <w:rPr>
          <w:rFonts w:ascii="Verdana" w:hAnsi="Verdana"/>
          <w:sz w:val="18"/>
          <w:szCs w:val="18"/>
          <w:lang w:val="nl-NL"/>
        </w:rPr>
        <w:t xml:space="preserve">personen die inwoner zijn van een </w:t>
      </w:r>
      <w:r w:rsidR="00A4089F">
        <w:rPr>
          <w:rFonts w:ascii="Verdana" w:hAnsi="Verdana"/>
          <w:sz w:val="18"/>
          <w:szCs w:val="18"/>
          <w:lang w:val="nl-NL"/>
        </w:rPr>
        <w:t>v</w:t>
      </w:r>
      <w:r w:rsidRPr="005C1870" w:rsidR="00A4089F">
        <w:rPr>
          <w:rFonts w:ascii="Verdana" w:hAnsi="Verdana"/>
          <w:sz w:val="18"/>
          <w:szCs w:val="18"/>
          <w:lang w:val="nl-NL"/>
        </w:rPr>
        <w:t xml:space="preserve">erdragsluitende </w:t>
      </w:r>
      <w:r w:rsidR="00A4089F">
        <w:rPr>
          <w:rFonts w:ascii="Verdana" w:hAnsi="Verdana"/>
          <w:sz w:val="18"/>
          <w:szCs w:val="18"/>
          <w:lang w:val="nl-NL"/>
        </w:rPr>
        <w:t>s</w:t>
      </w:r>
      <w:r w:rsidRPr="005C1870" w:rsidR="00A4089F">
        <w:rPr>
          <w:rFonts w:ascii="Verdana" w:hAnsi="Verdana"/>
          <w:sz w:val="18"/>
          <w:szCs w:val="18"/>
          <w:lang w:val="nl-NL"/>
        </w:rPr>
        <w:t>taat</w:t>
      </w:r>
      <w:r w:rsidR="00A4089F">
        <w:rPr>
          <w:rFonts w:ascii="Verdana" w:hAnsi="Verdana"/>
          <w:sz w:val="18"/>
          <w:szCs w:val="18"/>
          <w:lang w:val="nl-NL"/>
        </w:rPr>
        <w:t xml:space="preserve"> </w:t>
      </w:r>
      <w:r w:rsidRPr="005C1870" w:rsidR="00222BD6">
        <w:rPr>
          <w:rFonts w:ascii="Verdana" w:hAnsi="Verdana"/>
          <w:sz w:val="18"/>
          <w:szCs w:val="18"/>
          <w:lang w:val="nl-NL"/>
        </w:rPr>
        <w:t xml:space="preserve">of van beide </w:t>
      </w:r>
      <w:r w:rsidRPr="005C1870" w:rsidR="0085445D">
        <w:rPr>
          <w:rFonts w:ascii="Verdana" w:hAnsi="Verdana"/>
          <w:sz w:val="18"/>
          <w:szCs w:val="18"/>
          <w:lang w:val="nl-NL"/>
        </w:rPr>
        <w:t>v</w:t>
      </w:r>
      <w:r w:rsidRPr="005C1870" w:rsidR="00222BD6">
        <w:rPr>
          <w:rFonts w:ascii="Verdana" w:hAnsi="Verdana"/>
          <w:sz w:val="18"/>
          <w:szCs w:val="18"/>
          <w:lang w:val="nl-NL"/>
        </w:rPr>
        <w:t xml:space="preserve">erdragsluitende </w:t>
      </w:r>
      <w:r w:rsidRPr="005C1870" w:rsidR="0085445D">
        <w:rPr>
          <w:rFonts w:ascii="Verdana" w:hAnsi="Verdana"/>
          <w:sz w:val="18"/>
          <w:szCs w:val="18"/>
          <w:lang w:val="nl-NL"/>
        </w:rPr>
        <w:t>s</w:t>
      </w:r>
      <w:r w:rsidRPr="005C1870" w:rsidR="00222BD6">
        <w:rPr>
          <w:rFonts w:ascii="Verdana" w:hAnsi="Verdana"/>
          <w:sz w:val="18"/>
          <w:szCs w:val="18"/>
          <w:lang w:val="nl-NL"/>
        </w:rPr>
        <w:t xml:space="preserve">taten. </w:t>
      </w:r>
      <w:r w:rsidRPr="005C1870" w:rsidR="0085445D">
        <w:rPr>
          <w:rFonts w:ascii="Verdana" w:hAnsi="Verdana"/>
          <w:sz w:val="18"/>
          <w:szCs w:val="18"/>
          <w:lang w:val="nl-NL"/>
        </w:rPr>
        <w:t>De uitdrukkingen ‘</w:t>
      </w:r>
      <w:r w:rsidR="00A4089F">
        <w:rPr>
          <w:rFonts w:ascii="Verdana" w:hAnsi="Verdana"/>
          <w:sz w:val="18"/>
          <w:szCs w:val="18"/>
          <w:lang w:val="nl-NL"/>
        </w:rPr>
        <w:t>v</w:t>
      </w:r>
      <w:r w:rsidRPr="005C1870" w:rsidR="00A4089F">
        <w:rPr>
          <w:rFonts w:ascii="Verdana" w:hAnsi="Verdana"/>
          <w:sz w:val="18"/>
          <w:szCs w:val="18"/>
          <w:lang w:val="nl-NL"/>
        </w:rPr>
        <w:t xml:space="preserve">erdragsluitende </w:t>
      </w:r>
      <w:r w:rsidR="00A4089F">
        <w:rPr>
          <w:rFonts w:ascii="Verdana" w:hAnsi="Verdana"/>
          <w:sz w:val="18"/>
          <w:szCs w:val="18"/>
          <w:lang w:val="nl-NL"/>
        </w:rPr>
        <w:t>s</w:t>
      </w:r>
      <w:r w:rsidRPr="005C1870" w:rsidR="00A4089F">
        <w:rPr>
          <w:rFonts w:ascii="Verdana" w:hAnsi="Verdana"/>
          <w:sz w:val="18"/>
          <w:szCs w:val="18"/>
          <w:lang w:val="nl-NL"/>
        </w:rPr>
        <w:t>taat</w:t>
      </w:r>
      <w:r w:rsidRPr="005C1870">
        <w:rPr>
          <w:rFonts w:ascii="Verdana" w:hAnsi="Verdana"/>
          <w:sz w:val="18"/>
          <w:szCs w:val="18"/>
          <w:lang w:val="nl-NL"/>
        </w:rPr>
        <w:t xml:space="preserve">’ en ‘persoon’ zijn omschreven in artikel 3, eerste lid, onderdelen a en d. De uitdrukking ‘inwoner’ wordt omschreven in artikel 4. </w:t>
      </w:r>
      <w:r w:rsidRPr="005C1870" w:rsidR="00613493">
        <w:rPr>
          <w:rFonts w:ascii="Verdana" w:hAnsi="Verdana"/>
          <w:sz w:val="18"/>
          <w:szCs w:val="18"/>
          <w:lang w:val="nl-NL"/>
        </w:rPr>
        <w:t xml:space="preserve">De toepassing van het Verdrag is overigens niet alleen beperkt tot situaties waarin sprake is van een inwoner van een van de </w:t>
      </w:r>
      <w:r w:rsidR="0021450B">
        <w:rPr>
          <w:rFonts w:ascii="Verdana" w:hAnsi="Verdana"/>
          <w:sz w:val="18"/>
          <w:szCs w:val="18"/>
          <w:lang w:val="nl-NL"/>
        </w:rPr>
        <w:t>verdragsluitende staten</w:t>
      </w:r>
      <w:r w:rsidRPr="005C1870" w:rsidR="00613493">
        <w:rPr>
          <w:rFonts w:ascii="Verdana" w:hAnsi="Verdana"/>
          <w:sz w:val="18"/>
          <w:szCs w:val="18"/>
          <w:lang w:val="nl-NL"/>
        </w:rPr>
        <w:t xml:space="preserve">. Zo heeft het non-discriminatieartikel (artikel 24) ook betrekking op personen </w:t>
      </w:r>
      <w:r w:rsidRPr="005C1870" w:rsidR="001936B1">
        <w:rPr>
          <w:rFonts w:ascii="Verdana" w:hAnsi="Verdana"/>
          <w:sz w:val="18"/>
          <w:szCs w:val="18"/>
          <w:lang w:val="nl-NL"/>
        </w:rPr>
        <w:t xml:space="preserve">die kwalificeren als </w:t>
      </w:r>
      <w:r w:rsidRPr="005C1870" w:rsidR="00247EE0">
        <w:rPr>
          <w:rFonts w:ascii="Verdana" w:hAnsi="Verdana"/>
          <w:sz w:val="18"/>
          <w:szCs w:val="18"/>
          <w:lang w:val="nl-NL"/>
        </w:rPr>
        <w:t xml:space="preserve">onderdaan, </w:t>
      </w:r>
      <w:r w:rsidRPr="005C1870" w:rsidR="001936B1">
        <w:rPr>
          <w:rFonts w:ascii="Verdana" w:hAnsi="Verdana"/>
          <w:sz w:val="18"/>
          <w:szCs w:val="18"/>
          <w:lang w:val="nl-NL"/>
        </w:rPr>
        <w:t xml:space="preserve">zoals gedefinieerd in artikel 3, eerste lid, onderdeel j, van het Verdrag. Ook zijn </w:t>
      </w:r>
      <w:r w:rsidRPr="005C1870" w:rsidR="00082074">
        <w:rPr>
          <w:rFonts w:ascii="Verdana" w:hAnsi="Verdana"/>
          <w:sz w:val="18"/>
          <w:szCs w:val="18"/>
          <w:lang w:val="nl-NL"/>
        </w:rPr>
        <w:t>de bepalingen over de informatie-uitwisseling (artikel 26) en de bijstand bij de invordering van belastingen (artikel 27) niet beperkt tot de</w:t>
      </w:r>
      <w:r w:rsidRPr="005C1870" w:rsidR="00247EE0">
        <w:rPr>
          <w:rFonts w:ascii="Verdana" w:hAnsi="Verdana"/>
          <w:sz w:val="18"/>
          <w:szCs w:val="18"/>
          <w:lang w:val="nl-NL"/>
        </w:rPr>
        <w:t xml:space="preserve"> belastingheffing en toeslagen van</w:t>
      </w:r>
      <w:r w:rsidRPr="005C1870" w:rsidR="00082074">
        <w:rPr>
          <w:rFonts w:ascii="Verdana" w:hAnsi="Verdana"/>
          <w:sz w:val="18"/>
          <w:szCs w:val="18"/>
          <w:lang w:val="nl-NL"/>
        </w:rPr>
        <w:t xml:space="preserve"> inwoners van de </w:t>
      </w:r>
      <w:r w:rsidRPr="005C1870" w:rsidR="001200D4">
        <w:rPr>
          <w:rFonts w:ascii="Verdana" w:hAnsi="Verdana"/>
          <w:sz w:val="18"/>
          <w:szCs w:val="18"/>
          <w:lang w:val="nl-NL"/>
        </w:rPr>
        <w:t>v</w:t>
      </w:r>
      <w:r w:rsidRPr="005C1870" w:rsidR="00082074">
        <w:rPr>
          <w:rFonts w:ascii="Verdana" w:hAnsi="Verdana"/>
          <w:sz w:val="18"/>
          <w:szCs w:val="18"/>
          <w:lang w:val="nl-NL"/>
        </w:rPr>
        <w:t xml:space="preserve">erdragsluitende </w:t>
      </w:r>
      <w:r w:rsidRPr="005C1870" w:rsidR="001200D4">
        <w:rPr>
          <w:rFonts w:ascii="Verdana" w:hAnsi="Verdana"/>
          <w:sz w:val="18"/>
          <w:szCs w:val="18"/>
          <w:lang w:val="nl-NL"/>
        </w:rPr>
        <w:t>s</w:t>
      </w:r>
      <w:r w:rsidRPr="005C1870" w:rsidR="00082074">
        <w:rPr>
          <w:rFonts w:ascii="Verdana" w:hAnsi="Verdana"/>
          <w:sz w:val="18"/>
          <w:szCs w:val="18"/>
          <w:lang w:val="nl-NL"/>
        </w:rPr>
        <w:t>taten.</w:t>
      </w:r>
    </w:p>
    <w:p w:rsidRPr="005C1870" w:rsidR="005305A5" w:rsidP="006C286E" w:rsidRDefault="005E39C5" w14:paraId="250C5013" w14:textId="77777777">
      <w:pPr>
        <w:pStyle w:val="Kop2"/>
        <w:numPr>
          <w:ilvl w:val="0"/>
          <w:numId w:val="0"/>
        </w:numPr>
        <w:spacing w:before="0" w:after="0"/>
        <w:ind w:firstLine="708"/>
        <w:rPr>
          <w:rFonts w:ascii="Verdana" w:hAnsi="Verdana"/>
          <w:b w:val="0"/>
          <w:bCs w:val="0"/>
          <w:iCs w:val="0"/>
          <w:sz w:val="18"/>
          <w:szCs w:val="18"/>
          <w:lang w:val="nl-NL"/>
        </w:rPr>
      </w:pPr>
      <w:r w:rsidRPr="005C1870">
        <w:rPr>
          <w:rFonts w:ascii="Verdana" w:hAnsi="Verdana"/>
          <w:b w:val="0"/>
          <w:bCs w:val="0"/>
          <w:iCs w:val="0"/>
          <w:sz w:val="18"/>
          <w:szCs w:val="18"/>
          <w:lang w:val="nl-NL"/>
        </w:rPr>
        <w:t xml:space="preserve">Artikel 1, tweede lid, </w:t>
      </w:r>
      <w:r w:rsidRPr="005C1870" w:rsidR="00835B60">
        <w:rPr>
          <w:rFonts w:ascii="Verdana" w:hAnsi="Verdana"/>
          <w:b w:val="0"/>
          <w:bCs w:val="0"/>
          <w:iCs w:val="0"/>
          <w:sz w:val="18"/>
          <w:szCs w:val="18"/>
          <w:lang w:val="nl-NL"/>
        </w:rPr>
        <w:t xml:space="preserve">van het Verdrag </w:t>
      </w:r>
      <w:r w:rsidRPr="005C1870" w:rsidR="00BC1DC2">
        <w:rPr>
          <w:rFonts w:ascii="Verdana" w:hAnsi="Verdana"/>
          <w:b w:val="0"/>
          <w:bCs w:val="0"/>
          <w:iCs w:val="0"/>
          <w:sz w:val="18"/>
          <w:szCs w:val="18"/>
          <w:lang w:val="nl-NL"/>
        </w:rPr>
        <w:t xml:space="preserve">regelt de </w:t>
      </w:r>
      <w:r w:rsidRPr="005C1870" w:rsidR="0062395E">
        <w:rPr>
          <w:rFonts w:ascii="Verdana" w:hAnsi="Verdana"/>
          <w:b w:val="0"/>
          <w:bCs w:val="0"/>
          <w:iCs w:val="0"/>
          <w:sz w:val="18"/>
          <w:szCs w:val="18"/>
          <w:lang w:val="nl-NL"/>
        </w:rPr>
        <w:t xml:space="preserve">verdragstoepassing </w:t>
      </w:r>
      <w:r w:rsidRPr="005C1870" w:rsidR="00BC1DC2">
        <w:rPr>
          <w:rFonts w:ascii="Verdana" w:hAnsi="Verdana"/>
          <w:b w:val="0"/>
          <w:bCs w:val="0"/>
          <w:iCs w:val="0"/>
          <w:sz w:val="18"/>
          <w:szCs w:val="18"/>
          <w:lang w:val="nl-NL"/>
        </w:rPr>
        <w:t xml:space="preserve">bij inkomen ontvangen door of door middel van een hybride entiteit. </w:t>
      </w:r>
      <w:r w:rsidRPr="005C1870" w:rsidR="00F154D0">
        <w:rPr>
          <w:rFonts w:ascii="Verdana" w:hAnsi="Verdana"/>
          <w:b w:val="0"/>
          <w:bCs w:val="0"/>
          <w:iCs w:val="0"/>
          <w:sz w:val="18"/>
          <w:szCs w:val="18"/>
          <w:lang w:val="nl-NL"/>
        </w:rPr>
        <w:t>Hierbij</w:t>
      </w:r>
      <w:r w:rsidRPr="005C1870" w:rsidR="00DC7493">
        <w:rPr>
          <w:rFonts w:ascii="Verdana" w:hAnsi="Verdana"/>
          <w:b w:val="0"/>
          <w:bCs w:val="0"/>
          <w:iCs w:val="0"/>
          <w:sz w:val="18"/>
          <w:szCs w:val="18"/>
          <w:lang w:val="nl-NL"/>
        </w:rPr>
        <w:t xml:space="preserve"> beschouwt</w:t>
      </w:r>
      <w:r w:rsidRPr="005C1870" w:rsidR="00F154D0">
        <w:rPr>
          <w:rFonts w:ascii="Verdana" w:hAnsi="Verdana"/>
          <w:b w:val="0"/>
          <w:bCs w:val="0"/>
          <w:iCs w:val="0"/>
          <w:sz w:val="18"/>
          <w:szCs w:val="18"/>
          <w:lang w:val="nl-NL"/>
        </w:rPr>
        <w:t xml:space="preserve"> een van de </w:t>
      </w:r>
      <w:r w:rsidR="0021450B">
        <w:rPr>
          <w:rFonts w:ascii="Verdana" w:hAnsi="Verdana"/>
          <w:b w:val="0"/>
          <w:bCs w:val="0"/>
          <w:iCs w:val="0"/>
          <w:sz w:val="18"/>
          <w:szCs w:val="18"/>
          <w:lang w:val="nl-NL"/>
        </w:rPr>
        <w:t>verdragsluitende staten</w:t>
      </w:r>
      <w:r w:rsidRPr="005C1870" w:rsidR="00BD7EF3">
        <w:rPr>
          <w:rFonts w:ascii="Verdana" w:hAnsi="Verdana"/>
          <w:b w:val="0"/>
          <w:bCs w:val="0"/>
          <w:iCs w:val="0"/>
          <w:sz w:val="18"/>
          <w:szCs w:val="18"/>
          <w:lang w:val="nl-NL"/>
        </w:rPr>
        <w:t xml:space="preserve"> </w:t>
      </w:r>
      <w:r w:rsidRPr="005C1870" w:rsidR="00DC7493">
        <w:rPr>
          <w:rFonts w:ascii="Verdana" w:hAnsi="Verdana"/>
          <w:b w:val="0"/>
          <w:bCs w:val="0"/>
          <w:iCs w:val="0"/>
          <w:sz w:val="18"/>
          <w:szCs w:val="18"/>
          <w:lang w:val="nl-NL"/>
        </w:rPr>
        <w:t xml:space="preserve">deze entiteit geheel of gedeeltelijk als fiscaal transparant waardoor </w:t>
      </w:r>
      <w:r w:rsidRPr="005C1870" w:rsidR="00F154D0">
        <w:rPr>
          <w:rFonts w:ascii="Verdana" w:hAnsi="Verdana"/>
          <w:b w:val="0"/>
          <w:bCs w:val="0"/>
          <w:iCs w:val="0"/>
          <w:sz w:val="18"/>
          <w:szCs w:val="18"/>
          <w:lang w:val="nl-NL"/>
        </w:rPr>
        <w:t xml:space="preserve">het inkomen </w:t>
      </w:r>
      <w:r w:rsidRPr="005C1870" w:rsidR="00DC7493">
        <w:rPr>
          <w:rFonts w:ascii="Verdana" w:hAnsi="Verdana"/>
          <w:b w:val="0"/>
          <w:bCs w:val="0"/>
          <w:iCs w:val="0"/>
          <w:sz w:val="18"/>
          <w:szCs w:val="18"/>
          <w:lang w:val="nl-NL"/>
        </w:rPr>
        <w:t xml:space="preserve">wordt </w:t>
      </w:r>
      <w:r w:rsidRPr="005C1870" w:rsidR="00F154D0">
        <w:rPr>
          <w:rFonts w:ascii="Verdana" w:hAnsi="Verdana"/>
          <w:b w:val="0"/>
          <w:bCs w:val="0"/>
          <w:iCs w:val="0"/>
          <w:sz w:val="18"/>
          <w:szCs w:val="18"/>
          <w:lang w:val="nl-NL"/>
        </w:rPr>
        <w:t>toe</w:t>
      </w:r>
      <w:r w:rsidRPr="005C1870" w:rsidR="00DC7493">
        <w:rPr>
          <w:rFonts w:ascii="Verdana" w:hAnsi="Verdana"/>
          <w:b w:val="0"/>
          <w:bCs w:val="0"/>
          <w:iCs w:val="0"/>
          <w:sz w:val="18"/>
          <w:szCs w:val="18"/>
          <w:lang w:val="nl-NL"/>
        </w:rPr>
        <w:t>gerekend</w:t>
      </w:r>
      <w:r w:rsidRPr="005C1870" w:rsidR="00F154D0">
        <w:rPr>
          <w:rFonts w:ascii="Verdana" w:hAnsi="Verdana"/>
          <w:b w:val="0"/>
          <w:bCs w:val="0"/>
          <w:iCs w:val="0"/>
          <w:sz w:val="18"/>
          <w:szCs w:val="18"/>
          <w:lang w:val="nl-NL"/>
        </w:rPr>
        <w:t xml:space="preserve"> aan </w:t>
      </w:r>
      <w:r w:rsidRPr="005C1870" w:rsidR="00DC7493">
        <w:rPr>
          <w:rFonts w:ascii="Verdana" w:hAnsi="Verdana"/>
          <w:b w:val="0"/>
          <w:bCs w:val="0"/>
          <w:iCs w:val="0"/>
          <w:sz w:val="18"/>
          <w:szCs w:val="18"/>
          <w:lang w:val="nl-NL"/>
        </w:rPr>
        <w:t xml:space="preserve">de </w:t>
      </w:r>
      <w:r w:rsidRPr="005C1870" w:rsidR="00F154D0">
        <w:rPr>
          <w:rFonts w:ascii="Verdana" w:hAnsi="Verdana"/>
          <w:b w:val="0"/>
          <w:bCs w:val="0"/>
          <w:iCs w:val="0"/>
          <w:sz w:val="18"/>
          <w:szCs w:val="18"/>
          <w:lang w:val="nl-NL"/>
        </w:rPr>
        <w:t xml:space="preserve">achterliggende deelnemers, </w:t>
      </w:r>
      <w:r w:rsidRPr="005C1870" w:rsidR="00BC1DC2">
        <w:rPr>
          <w:rFonts w:ascii="Verdana" w:hAnsi="Verdana"/>
          <w:b w:val="0"/>
          <w:bCs w:val="0"/>
          <w:iCs w:val="0"/>
          <w:sz w:val="18"/>
          <w:szCs w:val="18"/>
          <w:lang w:val="nl-NL"/>
        </w:rPr>
        <w:t xml:space="preserve">terwijl </w:t>
      </w:r>
      <w:r w:rsidRPr="005C1870" w:rsidR="0003634E">
        <w:rPr>
          <w:rFonts w:ascii="Verdana" w:hAnsi="Verdana"/>
          <w:b w:val="0"/>
          <w:bCs w:val="0"/>
          <w:iCs w:val="0"/>
          <w:sz w:val="18"/>
          <w:szCs w:val="18"/>
          <w:lang w:val="nl-NL"/>
        </w:rPr>
        <w:t xml:space="preserve">de andere staat </w:t>
      </w:r>
      <w:r w:rsidRPr="005C1870" w:rsidR="00DC7493">
        <w:rPr>
          <w:rFonts w:ascii="Verdana" w:hAnsi="Verdana"/>
          <w:b w:val="0"/>
          <w:bCs w:val="0"/>
          <w:iCs w:val="0"/>
          <w:sz w:val="18"/>
          <w:szCs w:val="18"/>
          <w:lang w:val="nl-NL"/>
        </w:rPr>
        <w:t xml:space="preserve">het inkomen toerekent aan de entiteit </w:t>
      </w:r>
      <w:r w:rsidRPr="005C1870" w:rsidR="00A8759C">
        <w:rPr>
          <w:rFonts w:ascii="Verdana" w:hAnsi="Verdana"/>
          <w:b w:val="0"/>
          <w:bCs w:val="0"/>
          <w:iCs w:val="0"/>
          <w:sz w:val="18"/>
          <w:szCs w:val="18"/>
          <w:lang w:val="nl-NL"/>
        </w:rPr>
        <w:t>en deze als belastingplichtige beschouwt</w:t>
      </w:r>
      <w:r w:rsidRPr="005C1870" w:rsidR="00716FFC">
        <w:rPr>
          <w:rFonts w:ascii="Verdana" w:hAnsi="Verdana"/>
          <w:b w:val="0"/>
          <w:bCs w:val="0"/>
          <w:iCs w:val="0"/>
          <w:sz w:val="18"/>
          <w:szCs w:val="18"/>
          <w:lang w:val="nl-NL"/>
        </w:rPr>
        <w:t>.</w:t>
      </w:r>
      <w:r w:rsidRPr="005C1870" w:rsidR="00DC7493">
        <w:rPr>
          <w:rFonts w:ascii="Verdana" w:hAnsi="Verdana"/>
          <w:b w:val="0"/>
          <w:bCs w:val="0"/>
          <w:iCs w:val="0"/>
          <w:sz w:val="18"/>
          <w:szCs w:val="18"/>
          <w:lang w:val="nl-NL"/>
        </w:rPr>
        <w:t xml:space="preserve"> </w:t>
      </w:r>
      <w:r w:rsidRPr="005C1870" w:rsidR="00D260A0">
        <w:rPr>
          <w:rFonts w:ascii="Verdana" w:hAnsi="Verdana"/>
          <w:b w:val="0"/>
          <w:bCs w:val="0"/>
          <w:iCs w:val="0"/>
          <w:sz w:val="18"/>
          <w:szCs w:val="18"/>
          <w:lang w:val="nl-NL"/>
        </w:rPr>
        <w:t>Omdat</w:t>
      </w:r>
      <w:r w:rsidRPr="005C1870" w:rsidR="00716FFC">
        <w:rPr>
          <w:rFonts w:ascii="Verdana" w:hAnsi="Verdana"/>
          <w:b w:val="0"/>
          <w:bCs w:val="0"/>
          <w:iCs w:val="0"/>
          <w:sz w:val="18"/>
          <w:szCs w:val="18"/>
          <w:lang w:val="nl-NL"/>
        </w:rPr>
        <w:t xml:space="preserve"> de </w:t>
      </w:r>
      <w:r w:rsidR="0021450B">
        <w:rPr>
          <w:rFonts w:ascii="Verdana" w:hAnsi="Verdana"/>
          <w:b w:val="0"/>
          <w:bCs w:val="0"/>
          <w:iCs w:val="0"/>
          <w:sz w:val="18"/>
          <w:szCs w:val="18"/>
          <w:lang w:val="nl-NL"/>
        </w:rPr>
        <w:t xml:space="preserve">verdragsluitende staten </w:t>
      </w:r>
      <w:r w:rsidRPr="005C1870" w:rsidR="00D260A0">
        <w:rPr>
          <w:rFonts w:ascii="Verdana" w:hAnsi="Verdana"/>
          <w:b w:val="0"/>
          <w:bCs w:val="0"/>
          <w:iCs w:val="0"/>
          <w:sz w:val="18"/>
          <w:szCs w:val="18"/>
          <w:lang w:val="nl-NL"/>
        </w:rPr>
        <w:t xml:space="preserve">fiscaal niet dezelfde personen aanmerken als </w:t>
      </w:r>
      <w:r w:rsidRPr="005C1870" w:rsidR="005305A5">
        <w:rPr>
          <w:rFonts w:ascii="Verdana" w:hAnsi="Verdana"/>
          <w:b w:val="0"/>
          <w:bCs w:val="0"/>
          <w:iCs w:val="0"/>
          <w:sz w:val="18"/>
          <w:szCs w:val="18"/>
          <w:lang w:val="nl-NL"/>
        </w:rPr>
        <w:t>‘inwoner’</w:t>
      </w:r>
      <w:r w:rsidRPr="005C1870" w:rsidR="00D260A0">
        <w:rPr>
          <w:rFonts w:ascii="Verdana" w:hAnsi="Verdana"/>
          <w:b w:val="0"/>
          <w:bCs w:val="0"/>
          <w:iCs w:val="0"/>
          <w:sz w:val="18"/>
          <w:szCs w:val="18"/>
          <w:lang w:val="nl-NL"/>
        </w:rPr>
        <w:t xml:space="preserve"> die het inkomen ontvangt, kan het verschil in kwalificatie leiden tot vragen over verdragsgerechtigheid en </w:t>
      </w:r>
      <w:r w:rsidRPr="005C1870" w:rsidR="00716FFC">
        <w:rPr>
          <w:rFonts w:ascii="Verdana" w:hAnsi="Verdana"/>
          <w:b w:val="0"/>
          <w:bCs w:val="0"/>
          <w:iCs w:val="0"/>
          <w:sz w:val="18"/>
          <w:szCs w:val="18"/>
          <w:lang w:val="nl-NL"/>
        </w:rPr>
        <w:t>tot dubbele niet-belasting of dubbele belasting</w:t>
      </w:r>
      <w:r w:rsidRPr="005C1870" w:rsidR="00A8759C">
        <w:rPr>
          <w:rFonts w:ascii="Verdana" w:hAnsi="Verdana"/>
          <w:b w:val="0"/>
          <w:bCs w:val="0"/>
          <w:iCs w:val="0"/>
          <w:sz w:val="18"/>
          <w:szCs w:val="18"/>
          <w:lang w:val="nl-NL"/>
        </w:rPr>
        <w:t>.</w:t>
      </w:r>
      <w:r w:rsidRPr="005C1870" w:rsidR="005305A5">
        <w:rPr>
          <w:rFonts w:ascii="Verdana" w:hAnsi="Verdana"/>
          <w:b w:val="0"/>
          <w:bCs w:val="0"/>
          <w:iCs w:val="0"/>
          <w:sz w:val="18"/>
          <w:szCs w:val="18"/>
          <w:lang w:val="nl-NL"/>
        </w:rPr>
        <w:t xml:space="preserve"> Dit wordt</w:t>
      </w:r>
      <w:r w:rsidRPr="005C1870" w:rsidR="00144B9C">
        <w:rPr>
          <w:rFonts w:ascii="Verdana" w:hAnsi="Verdana"/>
          <w:b w:val="0"/>
          <w:bCs w:val="0"/>
          <w:iCs w:val="0"/>
          <w:sz w:val="18"/>
          <w:szCs w:val="18"/>
          <w:lang w:val="nl-NL"/>
        </w:rPr>
        <w:t xml:space="preserve"> </w:t>
      </w:r>
      <w:r w:rsidRPr="005C1870" w:rsidR="005305A5">
        <w:rPr>
          <w:rFonts w:ascii="Verdana" w:hAnsi="Verdana"/>
          <w:b w:val="0"/>
          <w:bCs w:val="0"/>
          <w:iCs w:val="0"/>
          <w:sz w:val="18"/>
          <w:szCs w:val="18"/>
          <w:lang w:val="nl-NL"/>
        </w:rPr>
        <w:t xml:space="preserve">opgelost door voor de verdragstoepassing aan te sluiten bij de vraag of het inkomen in het ontvangstland wordt behandeld als inkomen van een inwoner. </w:t>
      </w:r>
    </w:p>
    <w:p w:rsidRPr="005C1870" w:rsidR="005E39C5" w:rsidP="006C286E" w:rsidRDefault="00D260A0" w14:paraId="6468B04F" w14:textId="77777777">
      <w:pPr>
        <w:rPr>
          <w:rFonts w:ascii="Verdana" w:hAnsi="Verdana"/>
          <w:sz w:val="18"/>
          <w:szCs w:val="18"/>
          <w:lang w:val="nl-NL"/>
        </w:rPr>
      </w:pPr>
      <w:r w:rsidRPr="005C1870">
        <w:rPr>
          <w:rFonts w:ascii="Verdana" w:hAnsi="Verdana"/>
          <w:sz w:val="18"/>
          <w:szCs w:val="18"/>
          <w:lang w:val="nl-NL"/>
        </w:rPr>
        <w:t xml:space="preserve">Achtergrond </w:t>
      </w:r>
      <w:r w:rsidRPr="005C1870" w:rsidR="008859AD">
        <w:rPr>
          <w:rFonts w:ascii="Verdana" w:hAnsi="Verdana"/>
          <w:sz w:val="18"/>
          <w:szCs w:val="18"/>
          <w:lang w:val="nl-NL"/>
        </w:rPr>
        <w:t>van de</w:t>
      </w:r>
      <w:r w:rsidR="00E67A1D">
        <w:rPr>
          <w:rFonts w:ascii="Verdana" w:hAnsi="Verdana"/>
          <w:sz w:val="18"/>
          <w:szCs w:val="18"/>
          <w:lang w:val="nl-NL"/>
        </w:rPr>
        <w:t>ze</w:t>
      </w:r>
      <w:r w:rsidRPr="005C1870" w:rsidR="008859AD">
        <w:rPr>
          <w:rFonts w:ascii="Verdana" w:hAnsi="Verdana"/>
          <w:sz w:val="18"/>
          <w:szCs w:val="18"/>
          <w:lang w:val="nl-NL"/>
        </w:rPr>
        <w:t xml:space="preserve"> bepaling is </w:t>
      </w:r>
      <w:r w:rsidRPr="005C1870" w:rsidR="005E39C5">
        <w:rPr>
          <w:rFonts w:ascii="Verdana" w:hAnsi="Verdana"/>
          <w:sz w:val="18"/>
          <w:szCs w:val="18"/>
          <w:lang w:val="nl-NL"/>
        </w:rPr>
        <w:t xml:space="preserve">paragraaf 435 van het rapport bij </w:t>
      </w:r>
      <w:r w:rsidRPr="005C1870" w:rsidR="008B5401">
        <w:rPr>
          <w:rFonts w:ascii="Verdana" w:hAnsi="Verdana"/>
          <w:sz w:val="18"/>
          <w:szCs w:val="18"/>
          <w:lang w:val="nl-NL"/>
        </w:rPr>
        <w:t>BEPS-actie</w:t>
      </w:r>
      <w:r w:rsidRPr="005C1870" w:rsidR="005E39C5">
        <w:rPr>
          <w:rFonts w:ascii="Verdana" w:hAnsi="Verdana"/>
          <w:sz w:val="18"/>
          <w:szCs w:val="18"/>
          <w:lang w:val="nl-NL"/>
        </w:rPr>
        <w:t xml:space="preserve"> 2</w:t>
      </w:r>
      <w:r w:rsidRPr="005C1870" w:rsidR="008B5401">
        <w:rPr>
          <w:rFonts w:ascii="Verdana" w:hAnsi="Verdana"/>
          <w:sz w:val="18"/>
          <w:szCs w:val="18"/>
          <w:lang w:val="nl-NL"/>
        </w:rPr>
        <w:t>.</w:t>
      </w:r>
      <w:r w:rsidRPr="005C1870" w:rsidR="005E39C5">
        <w:rPr>
          <w:rFonts w:ascii="Verdana" w:hAnsi="Verdana"/>
          <w:sz w:val="18"/>
          <w:szCs w:val="18"/>
          <w:vertAlign w:val="superscript"/>
        </w:rPr>
        <w:footnoteReference w:id="8"/>
      </w:r>
      <w:r w:rsidRPr="005C1870" w:rsidR="00144B9C">
        <w:rPr>
          <w:rFonts w:ascii="Verdana" w:hAnsi="Verdana"/>
          <w:sz w:val="18"/>
          <w:szCs w:val="18"/>
          <w:lang w:val="nl-NL"/>
        </w:rPr>
        <w:t xml:space="preserve"> De bepaling </w:t>
      </w:r>
      <w:r w:rsidRPr="005C1870" w:rsidR="008859AD">
        <w:rPr>
          <w:rFonts w:ascii="Verdana" w:hAnsi="Verdana"/>
          <w:sz w:val="18"/>
          <w:szCs w:val="18"/>
          <w:lang w:val="nl-NL"/>
        </w:rPr>
        <w:t>komt inhoudelijk overeen met artikel 3, eerste lid, van</w:t>
      </w:r>
      <w:r w:rsidRPr="005C1870" w:rsidR="005E39C5">
        <w:rPr>
          <w:rFonts w:ascii="Verdana" w:hAnsi="Verdana"/>
          <w:sz w:val="18"/>
          <w:szCs w:val="18"/>
          <w:lang w:val="nl-NL"/>
        </w:rPr>
        <w:t xml:space="preserve"> het </w:t>
      </w:r>
      <w:r w:rsidRPr="005C1870" w:rsidR="001200D4">
        <w:rPr>
          <w:rFonts w:ascii="Verdana" w:hAnsi="Verdana"/>
          <w:sz w:val="18"/>
          <w:szCs w:val="18"/>
          <w:lang w:val="nl-NL"/>
        </w:rPr>
        <w:t>MLI</w:t>
      </w:r>
      <w:r w:rsidRPr="005C1870" w:rsidR="008859AD">
        <w:rPr>
          <w:rFonts w:ascii="Verdana" w:hAnsi="Verdana"/>
          <w:sz w:val="18"/>
          <w:szCs w:val="18"/>
          <w:lang w:val="nl-NL"/>
        </w:rPr>
        <w:t>. H</w:t>
      </w:r>
      <w:r w:rsidRPr="005C1870" w:rsidR="005E39C5">
        <w:rPr>
          <w:rFonts w:ascii="Verdana" w:hAnsi="Verdana"/>
          <w:sz w:val="18"/>
          <w:szCs w:val="18"/>
          <w:lang w:val="nl-NL"/>
        </w:rPr>
        <w:t xml:space="preserve">et opnemen van deze bepaling is in overeenstemming met het Nederlandse verdragsbeleid op dit punt (zoals verwoord in paragraaf 2.2.6 van </w:t>
      </w:r>
      <w:r w:rsidR="00E67A1D">
        <w:rPr>
          <w:rFonts w:ascii="Verdana" w:hAnsi="Verdana"/>
          <w:sz w:val="18"/>
          <w:szCs w:val="18"/>
          <w:lang w:val="nl-NL"/>
        </w:rPr>
        <w:t xml:space="preserve">de </w:t>
      </w:r>
      <w:r w:rsidRPr="005C1870" w:rsidR="005E39C5">
        <w:rPr>
          <w:rFonts w:ascii="Verdana" w:hAnsi="Verdana"/>
          <w:sz w:val="18"/>
          <w:szCs w:val="18"/>
          <w:lang w:val="nl-NL"/>
        </w:rPr>
        <w:t xml:space="preserve">brief van 28 oktober 2016 over </w:t>
      </w:r>
      <w:r w:rsidR="00533DFA">
        <w:rPr>
          <w:rFonts w:ascii="Verdana" w:hAnsi="Verdana"/>
          <w:sz w:val="18"/>
          <w:szCs w:val="18"/>
          <w:lang w:val="nl-NL"/>
        </w:rPr>
        <w:t xml:space="preserve">de Nederlandse positie bij </w:t>
      </w:r>
      <w:r w:rsidRPr="005C1870" w:rsidR="005E39C5">
        <w:rPr>
          <w:rFonts w:ascii="Verdana" w:hAnsi="Verdana"/>
          <w:sz w:val="18"/>
          <w:szCs w:val="18"/>
          <w:lang w:val="nl-NL"/>
        </w:rPr>
        <w:t xml:space="preserve">het </w:t>
      </w:r>
      <w:r w:rsidRPr="005C1870" w:rsidR="001200D4">
        <w:rPr>
          <w:rFonts w:ascii="Verdana" w:hAnsi="Verdana"/>
          <w:sz w:val="18"/>
          <w:szCs w:val="18"/>
          <w:lang w:val="nl-NL"/>
        </w:rPr>
        <w:t>MLI</w:t>
      </w:r>
      <w:r w:rsidRPr="005C1870" w:rsidR="005E39C5">
        <w:rPr>
          <w:rFonts w:ascii="Verdana" w:hAnsi="Verdana"/>
          <w:sz w:val="18"/>
          <w:szCs w:val="18"/>
          <w:lang w:val="nl-NL"/>
        </w:rPr>
        <w:t>).</w:t>
      </w:r>
      <w:r w:rsidRPr="005C1870" w:rsidR="008859AD">
        <w:rPr>
          <w:rStyle w:val="Voetnootmarkering"/>
          <w:rFonts w:ascii="Verdana" w:hAnsi="Verdana"/>
          <w:sz w:val="18"/>
          <w:szCs w:val="18"/>
          <w:lang w:val="nl-NL"/>
        </w:rPr>
        <w:footnoteReference w:id="9"/>
      </w:r>
    </w:p>
    <w:p w:rsidR="00BF7188" w:rsidP="00BF7188" w:rsidRDefault="0085445D" w14:paraId="1F40A483" w14:textId="77777777">
      <w:pPr>
        <w:rPr>
          <w:rFonts w:ascii="Verdana" w:hAnsi="Verdana" w:cs="Arial"/>
          <w:sz w:val="18"/>
          <w:szCs w:val="18"/>
          <w:lang w:val="nl-NL"/>
        </w:rPr>
      </w:pPr>
      <w:r w:rsidRPr="005C1870">
        <w:rPr>
          <w:rFonts w:ascii="Verdana" w:hAnsi="Verdana"/>
          <w:sz w:val="18"/>
          <w:szCs w:val="18"/>
          <w:lang w:val="nl-NL"/>
        </w:rPr>
        <w:t xml:space="preserve">Artikel 1, derde lid, van het Verdrag </w:t>
      </w:r>
      <w:r w:rsidRPr="005C1870" w:rsidR="00D260A0">
        <w:rPr>
          <w:rFonts w:ascii="Verdana" w:hAnsi="Verdana"/>
          <w:sz w:val="18"/>
          <w:szCs w:val="18"/>
          <w:lang w:val="nl-NL"/>
        </w:rPr>
        <w:t>is gebaseerd op artikel 3, derde lid, v</w:t>
      </w:r>
      <w:r w:rsidRPr="005C1870" w:rsidR="007F5693">
        <w:rPr>
          <w:rFonts w:ascii="Verdana" w:hAnsi="Verdana"/>
          <w:sz w:val="18"/>
          <w:szCs w:val="18"/>
          <w:lang w:val="nl-NL"/>
        </w:rPr>
        <w:t xml:space="preserve">an het </w:t>
      </w:r>
      <w:r w:rsidRPr="005C1870" w:rsidR="001200D4">
        <w:rPr>
          <w:rFonts w:ascii="Verdana" w:hAnsi="Verdana"/>
          <w:sz w:val="18"/>
          <w:szCs w:val="18"/>
          <w:lang w:val="nl-NL"/>
        </w:rPr>
        <w:t>MLI</w:t>
      </w:r>
      <w:r w:rsidRPr="005C1870" w:rsidR="007F5693">
        <w:rPr>
          <w:rFonts w:ascii="Verdana" w:hAnsi="Verdana"/>
          <w:sz w:val="18"/>
          <w:szCs w:val="18"/>
          <w:lang w:val="nl-NL"/>
        </w:rPr>
        <w:t xml:space="preserve">. Volgens deze bepaling </w:t>
      </w:r>
      <w:r w:rsidRPr="005C1870" w:rsidR="00B95D8A">
        <w:rPr>
          <w:rFonts w:ascii="Verdana" w:hAnsi="Verdana"/>
          <w:sz w:val="18"/>
          <w:szCs w:val="18"/>
          <w:lang w:val="nl-NL"/>
        </w:rPr>
        <w:t>heeft</w:t>
      </w:r>
      <w:r w:rsidRPr="005C1870" w:rsidR="007F5693">
        <w:rPr>
          <w:rFonts w:ascii="Verdana" w:hAnsi="Verdana"/>
          <w:sz w:val="18"/>
          <w:szCs w:val="18"/>
          <w:lang w:val="nl-NL"/>
        </w:rPr>
        <w:t xml:space="preserve"> de regel over </w:t>
      </w:r>
      <w:r w:rsidRPr="005C1870" w:rsidR="00B95D8A">
        <w:rPr>
          <w:rFonts w:ascii="Verdana" w:hAnsi="Verdana"/>
          <w:sz w:val="18"/>
          <w:szCs w:val="18"/>
          <w:lang w:val="nl-NL"/>
        </w:rPr>
        <w:t>verdragstoepassing bij hybride entiteiten in artikel 1, tweed</w:t>
      </w:r>
      <w:r w:rsidRPr="005C1870" w:rsidR="008B5401">
        <w:rPr>
          <w:rFonts w:ascii="Verdana" w:hAnsi="Verdana"/>
          <w:sz w:val="18"/>
          <w:szCs w:val="18"/>
          <w:lang w:val="nl-NL"/>
        </w:rPr>
        <w:t xml:space="preserve">e lid, niet tot gevolg dat een </w:t>
      </w:r>
      <w:r w:rsidR="0021450B">
        <w:rPr>
          <w:rFonts w:ascii="Verdana" w:hAnsi="Verdana"/>
          <w:sz w:val="18"/>
          <w:szCs w:val="18"/>
          <w:lang w:val="nl-NL"/>
        </w:rPr>
        <w:t>verdragsluitende staat</w:t>
      </w:r>
      <w:r w:rsidRPr="005C1870" w:rsidR="00B95D8A">
        <w:rPr>
          <w:rFonts w:ascii="Verdana" w:hAnsi="Verdana"/>
          <w:sz w:val="18"/>
          <w:szCs w:val="18"/>
          <w:lang w:val="nl-NL"/>
        </w:rPr>
        <w:t xml:space="preserve"> wordt beperkt in het belasten van zijn </w:t>
      </w:r>
      <w:r w:rsidRPr="005C1870" w:rsidR="00B95D8A">
        <w:rPr>
          <w:rFonts w:ascii="Verdana" w:hAnsi="Verdana"/>
          <w:sz w:val="18"/>
          <w:szCs w:val="18"/>
          <w:lang w:val="nl-NL"/>
        </w:rPr>
        <w:lastRenderedPageBreak/>
        <w:t xml:space="preserve">eigen inwoners. </w:t>
      </w:r>
      <w:r w:rsidRPr="005C1870" w:rsidR="005E39C5">
        <w:rPr>
          <w:rFonts w:ascii="Verdana" w:hAnsi="Verdana" w:cs="Arial"/>
          <w:sz w:val="18"/>
          <w:szCs w:val="18"/>
          <w:lang w:val="nl-NL"/>
        </w:rPr>
        <w:t xml:space="preserve">Dit ziet bijvoorbeeld op de situatie dat de hybride entiteit als inwoner belastingplichtig is in de </w:t>
      </w:r>
      <w:r w:rsidR="0021450B">
        <w:rPr>
          <w:rFonts w:ascii="Verdana" w:hAnsi="Verdana" w:cs="Arial"/>
          <w:sz w:val="18"/>
          <w:szCs w:val="18"/>
          <w:lang w:val="nl-NL"/>
        </w:rPr>
        <w:t>verdragsluitende staat</w:t>
      </w:r>
      <w:r w:rsidRPr="005C1870" w:rsidR="005E39C5">
        <w:rPr>
          <w:rFonts w:ascii="Verdana" w:hAnsi="Verdana" w:cs="Arial"/>
          <w:sz w:val="18"/>
          <w:szCs w:val="18"/>
          <w:lang w:val="nl-NL"/>
        </w:rPr>
        <w:t xml:space="preserve"> waar het inkomen van die entiteit opkomt. Vanuit deze staat bezien is dan sprake van een zuiver binnenlandse situatie. In dat geval </w:t>
      </w:r>
      <w:r w:rsidRPr="005C1870" w:rsidR="00B95D8A">
        <w:rPr>
          <w:rFonts w:ascii="Verdana" w:hAnsi="Verdana" w:cs="Arial"/>
          <w:sz w:val="18"/>
          <w:szCs w:val="18"/>
          <w:lang w:val="nl-NL"/>
        </w:rPr>
        <w:t>geldt voor</w:t>
      </w:r>
      <w:r w:rsidRPr="005C1870" w:rsidR="005E39C5">
        <w:rPr>
          <w:rFonts w:ascii="Verdana" w:hAnsi="Verdana" w:cs="Arial"/>
          <w:sz w:val="18"/>
          <w:szCs w:val="18"/>
          <w:lang w:val="nl-NL"/>
        </w:rPr>
        <w:t xml:space="preserve"> </w:t>
      </w:r>
      <w:r w:rsidR="00E67A1D">
        <w:rPr>
          <w:rFonts w:ascii="Verdana" w:hAnsi="Verdana" w:cs="Arial"/>
          <w:sz w:val="18"/>
          <w:szCs w:val="18"/>
          <w:lang w:val="nl-NL"/>
        </w:rPr>
        <w:t xml:space="preserve">de </w:t>
      </w:r>
      <w:r w:rsidR="0021450B">
        <w:rPr>
          <w:rFonts w:ascii="Verdana" w:hAnsi="Verdana" w:cs="Arial"/>
          <w:sz w:val="18"/>
          <w:szCs w:val="18"/>
          <w:lang w:val="nl-NL"/>
        </w:rPr>
        <w:t>verdragsluitende staat</w:t>
      </w:r>
      <w:r w:rsidRPr="005C1870" w:rsidR="005E39C5">
        <w:rPr>
          <w:rFonts w:ascii="Verdana" w:hAnsi="Verdana" w:cs="Arial"/>
          <w:sz w:val="18"/>
          <w:szCs w:val="18"/>
          <w:lang w:val="nl-NL"/>
        </w:rPr>
        <w:t xml:space="preserve"> waar het inkomen opkomt </w:t>
      </w:r>
      <w:r w:rsidRPr="005C1870" w:rsidR="00B95D8A">
        <w:rPr>
          <w:rFonts w:ascii="Verdana" w:hAnsi="Verdana" w:cs="Arial"/>
          <w:sz w:val="18"/>
          <w:szCs w:val="18"/>
          <w:lang w:val="nl-NL"/>
        </w:rPr>
        <w:t>artikel 1, tweede lid,</w:t>
      </w:r>
      <w:r w:rsidRPr="005C1870" w:rsidR="005E39C5">
        <w:rPr>
          <w:rFonts w:ascii="Verdana" w:hAnsi="Verdana" w:cs="Arial"/>
          <w:sz w:val="18"/>
          <w:szCs w:val="18"/>
          <w:lang w:val="nl-NL"/>
        </w:rPr>
        <w:t xml:space="preserve"> </w:t>
      </w:r>
      <w:r w:rsidRPr="005C1870" w:rsidR="00B95D8A">
        <w:rPr>
          <w:rFonts w:ascii="Verdana" w:hAnsi="Verdana" w:cs="Arial"/>
          <w:sz w:val="18"/>
          <w:szCs w:val="18"/>
          <w:lang w:val="nl-NL"/>
        </w:rPr>
        <w:t>dus niet</w:t>
      </w:r>
      <w:r w:rsidRPr="005C1870" w:rsidR="005E39C5">
        <w:rPr>
          <w:rFonts w:ascii="Verdana" w:hAnsi="Verdana" w:cs="Arial"/>
          <w:sz w:val="18"/>
          <w:szCs w:val="18"/>
          <w:lang w:val="nl-NL"/>
        </w:rPr>
        <w:t xml:space="preserve">. </w:t>
      </w:r>
      <w:r w:rsidRPr="005C1870" w:rsidR="00B95D8A">
        <w:rPr>
          <w:rFonts w:ascii="Verdana" w:hAnsi="Verdana" w:cs="Arial"/>
          <w:sz w:val="18"/>
          <w:szCs w:val="18"/>
          <w:lang w:val="nl-NL"/>
        </w:rPr>
        <w:t>Dit voorkomt</w:t>
      </w:r>
      <w:r w:rsidRPr="005C1870" w:rsidR="005E39C5">
        <w:rPr>
          <w:rFonts w:ascii="Verdana" w:hAnsi="Verdana" w:cs="Arial"/>
          <w:sz w:val="18"/>
          <w:szCs w:val="18"/>
          <w:lang w:val="nl-NL"/>
        </w:rPr>
        <w:t xml:space="preserve"> dat de heffingsrechten van een </w:t>
      </w:r>
      <w:r w:rsidR="0021450B">
        <w:rPr>
          <w:rFonts w:ascii="Verdana" w:hAnsi="Verdana" w:cs="Arial"/>
          <w:sz w:val="18"/>
          <w:szCs w:val="18"/>
          <w:lang w:val="nl-NL"/>
        </w:rPr>
        <w:t>verdragsluitende staat</w:t>
      </w:r>
      <w:r w:rsidRPr="005C1870" w:rsidR="005E39C5">
        <w:rPr>
          <w:rFonts w:ascii="Verdana" w:hAnsi="Verdana" w:cs="Arial"/>
          <w:sz w:val="18"/>
          <w:szCs w:val="18"/>
          <w:lang w:val="nl-NL"/>
        </w:rPr>
        <w:t xml:space="preserve"> zouden worden </w:t>
      </w:r>
      <w:r w:rsidRPr="005C1870" w:rsidR="00B95D8A">
        <w:rPr>
          <w:rFonts w:ascii="Verdana" w:hAnsi="Verdana" w:cs="Arial"/>
          <w:sz w:val="18"/>
          <w:szCs w:val="18"/>
          <w:lang w:val="nl-NL"/>
        </w:rPr>
        <w:t xml:space="preserve">beperkt </w:t>
      </w:r>
      <w:r w:rsidRPr="005C1870" w:rsidR="005E39C5">
        <w:rPr>
          <w:rFonts w:ascii="Verdana" w:hAnsi="Verdana" w:cs="Arial"/>
          <w:sz w:val="18"/>
          <w:szCs w:val="18"/>
          <w:lang w:val="nl-NL"/>
        </w:rPr>
        <w:t>voor inkomen van een eigen inwoner (niet-transparante entiteit)</w:t>
      </w:r>
      <w:r w:rsidRPr="005C1870" w:rsidR="00322612">
        <w:rPr>
          <w:rFonts w:ascii="Verdana" w:hAnsi="Verdana" w:cs="Arial"/>
          <w:sz w:val="18"/>
          <w:szCs w:val="18"/>
          <w:lang w:val="nl-NL"/>
        </w:rPr>
        <w:t>,</w:t>
      </w:r>
      <w:r w:rsidRPr="005C1870" w:rsidR="005E39C5">
        <w:rPr>
          <w:rFonts w:ascii="Verdana" w:hAnsi="Verdana" w:cs="Arial"/>
          <w:sz w:val="18"/>
          <w:szCs w:val="18"/>
          <w:lang w:val="nl-NL"/>
        </w:rPr>
        <w:t xml:space="preserve"> omdat de andere </w:t>
      </w:r>
      <w:r w:rsidR="0021450B">
        <w:rPr>
          <w:rFonts w:ascii="Verdana" w:hAnsi="Verdana" w:cs="Arial"/>
          <w:sz w:val="18"/>
          <w:szCs w:val="18"/>
          <w:lang w:val="nl-NL"/>
        </w:rPr>
        <w:t>verdragsluitende staat</w:t>
      </w:r>
      <w:r w:rsidRPr="005C1870" w:rsidR="005E39C5">
        <w:rPr>
          <w:rFonts w:ascii="Verdana" w:hAnsi="Verdana" w:cs="Arial"/>
          <w:sz w:val="18"/>
          <w:szCs w:val="18"/>
          <w:lang w:val="nl-NL"/>
        </w:rPr>
        <w:t xml:space="preserve"> deze entiteit als transparant aanmerkt (en inkomen bij de achterliggende deelnemers in aanmerking neemt).</w:t>
      </w:r>
      <w:r w:rsidR="00BF7188">
        <w:rPr>
          <w:rFonts w:ascii="Verdana" w:hAnsi="Verdana" w:cs="Arial"/>
          <w:sz w:val="18"/>
          <w:szCs w:val="18"/>
          <w:lang w:val="nl-NL"/>
        </w:rPr>
        <w:t xml:space="preserve"> </w:t>
      </w:r>
    </w:p>
    <w:p w:rsidR="00BF7188" w:rsidP="00BF7188" w:rsidRDefault="00BF7188" w14:paraId="0DF3F8F4" w14:textId="77777777">
      <w:pPr>
        <w:rPr>
          <w:rFonts w:ascii="Verdana" w:hAnsi="Verdana"/>
          <w:sz w:val="18"/>
          <w:szCs w:val="18"/>
          <w:lang w:val="nl-NL"/>
        </w:rPr>
      </w:pPr>
      <w:r w:rsidRPr="00527BAF">
        <w:rPr>
          <w:rFonts w:ascii="Verdana" w:hAnsi="Verdana"/>
          <w:sz w:val="18"/>
          <w:szCs w:val="18"/>
          <w:lang w:val="nl-NL"/>
        </w:rPr>
        <w:t xml:space="preserve">Op het uitgangspunt dat de bepalingen van het Verdrag in beginsel steeds van toepassing zijn op inwoners van één of van beide verdragsluitende </w:t>
      </w:r>
      <w:r w:rsidR="001E0872">
        <w:rPr>
          <w:rFonts w:ascii="Verdana" w:hAnsi="Verdana"/>
          <w:sz w:val="18"/>
          <w:szCs w:val="18"/>
          <w:lang w:val="nl-NL"/>
        </w:rPr>
        <w:t>s</w:t>
      </w:r>
      <w:r w:rsidRPr="00527BAF">
        <w:rPr>
          <w:rFonts w:ascii="Verdana" w:hAnsi="Verdana"/>
          <w:sz w:val="18"/>
          <w:szCs w:val="18"/>
          <w:lang w:val="nl-NL"/>
        </w:rPr>
        <w:t>taten worden in artikel II van het Protocol enkele beperkingen aangebracht.</w:t>
      </w:r>
    </w:p>
    <w:p w:rsidRPr="00556990" w:rsidR="007D636D" w:rsidP="00BF7188" w:rsidRDefault="00E7179D" w14:paraId="63A2676E" w14:textId="74DD07F4">
      <w:pPr>
        <w:ind w:firstLine="708"/>
        <w:rPr>
          <w:rFonts w:ascii="Verdana" w:hAnsi="Verdana"/>
          <w:sz w:val="18"/>
          <w:szCs w:val="18"/>
          <w:lang w:val="nl-NL"/>
        </w:rPr>
      </w:pPr>
      <w:r w:rsidRPr="00323312">
        <w:rPr>
          <w:rFonts w:ascii="Verdana" w:hAnsi="Verdana"/>
          <w:sz w:val="18"/>
          <w:szCs w:val="18"/>
          <w:lang w:val="nl-NL"/>
        </w:rPr>
        <w:t xml:space="preserve">Artikel II, eerste lid, van het Protocol, ziet op </w:t>
      </w:r>
      <w:r w:rsidRPr="00323312" w:rsidR="00222BD6">
        <w:rPr>
          <w:rFonts w:ascii="Verdana" w:hAnsi="Verdana"/>
          <w:sz w:val="18"/>
          <w:szCs w:val="18"/>
          <w:lang w:val="nl-NL"/>
        </w:rPr>
        <w:t xml:space="preserve">vrijgestelde beleggingsinstellingen </w:t>
      </w:r>
      <w:r w:rsidRPr="00323312" w:rsidR="00936696">
        <w:rPr>
          <w:rFonts w:ascii="Verdana" w:hAnsi="Verdana"/>
          <w:sz w:val="18"/>
          <w:szCs w:val="18"/>
          <w:lang w:val="nl-NL"/>
        </w:rPr>
        <w:t>(</w:t>
      </w:r>
      <w:r w:rsidRPr="00875CEA" w:rsidR="00323312">
        <w:rPr>
          <w:rFonts w:ascii="Verdana" w:hAnsi="Verdana"/>
          <w:sz w:val="18"/>
          <w:szCs w:val="18"/>
          <w:lang w:val="nl-NL"/>
        </w:rPr>
        <w:t xml:space="preserve">hierna: </w:t>
      </w:r>
      <w:r w:rsidRPr="00323312" w:rsidR="00936696">
        <w:rPr>
          <w:rFonts w:ascii="Verdana" w:hAnsi="Verdana"/>
          <w:sz w:val="18"/>
          <w:szCs w:val="18"/>
          <w:lang w:val="nl-NL"/>
        </w:rPr>
        <w:t xml:space="preserve">VBI) </w:t>
      </w:r>
      <w:r w:rsidRPr="00323312" w:rsidR="00222BD6">
        <w:rPr>
          <w:rFonts w:ascii="Verdana" w:hAnsi="Verdana"/>
          <w:sz w:val="18"/>
          <w:szCs w:val="18"/>
          <w:lang w:val="nl-NL"/>
        </w:rPr>
        <w:t xml:space="preserve">in de zin van artikel 6a </w:t>
      </w:r>
      <w:r w:rsidRPr="00323312">
        <w:rPr>
          <w:rFonts w:ascii="Verdana" w:hAnsi="Verdana"/>
          <w:sz w:val="18"/>
          <w:szCs w:val="18"/>
          <w:lang w:val="nl-NL"/>
        </w:rPr>
        <w:t xml:space="preserve">van de </w:t>
      </w:r>
      <w:r w:rsidRPr="00323312" w:rsidR="00222BD6">
        <w:rPr>
          <w:rFonts w:ascii="Verdana" w:hAnsi="Verdana"/>
          <w:sz w:val="18"/>
          <w:szCs w:val="18"/>
          <w:lang w:val="nl-NL"/>
        </w:rPr>
        <w:t>Wet op de vennootschapsbelasting 1969</w:t>
      </w:r>
      <w:r w:rsidRPr="00323312">
        <w:rPr>
          <w:rFonts w:ascii="Verdana" w:hAnsi="Verdana"/>
          <w:sz w:val="18"/>
          <w:szCs w:val="18"/>
          <w:lang w:val="nl-NL"/>
        </w:rPr>
        <w:t xml:space="preserve"> (</w:t>
      </w:r>
      <w:r w:rsidRPr="00875CEA" w:rsidR="00323312">
        <w:rPr>
          <w:rFonts w:ascii="Verdana" w:hAnsi="Verdana"/>
          <w:sz w:val="18"/>
          <w:szCs w:val="18"/>
          <w:lang w:val="nl-NL"/>
        </w:rPr>
        <w:t xml:space="preserve">hierna: </w:t>
      </w:r>
      <w:r w:rsidRPr="00323312" w:rsidR="00936696">
        <w:rPr>
          <w:rFonts w:ascii="Verdana" w:hAnsi="Verdana"/>
          <w:sz w:val="18"/>
          <w:szCs w:val="18"/>
          <w:lang w:val="nl-NL"/>
        </w:rPr>
        <w:t>Wet Vpb 1969</w:t>
      </w:r>
      <w:r w:rsidRPr="00323312">
        <w:rPr>
          <w:rFonts w:ascii="Verdana" w:hAnsi="Verdana"/>
          <w:sz w:val="18"/>
          <w:szCs w:val="18"/>
          <w:lang w:val="nl-NL"/>
        </w:rPr>
        <w:t>)</w:t>
      </w:r>
      <w:r w:rsidRPr="00323312" w:rsidR="00222BD6">
        <w:rPr>
          <w:rFonts w:ascii="Verdana" w:hAnsi="Verdana"/>
          <w:sz w:val="18"/>
          <w:szCs w:val="18"/>
          <w:lang w:val="nl-NL"/>
        </w:rPr>
        <w:t xml:space="preserve">. Deze </w:t>
      </w:r>
      <w:r w:rsidRPr="00323312">
        <w:rPr>
          <w:rFonts w:ascii="Verdana" w:hAnsi="Verdana"/>
          <w:sz w:val="18"/>
          <w:szCs w:val="18"/>
          <w:lang w:val="nl-NL"/>
        </w:rPr>
        <w:t xml:space="preserve">VBI's </w:t>
      </w:r>
      <w:r w:rsidRPr="00323312" w:rsidR="00222BD6">
        <w:rPr>
          <w:rFonts w:ascii="Verdana" w:hAnsi="Verdana"/>
          <w:sz w:val="18"/>
          <w:szCs w:val="18"/>
          <w:lang w:val="nl-NL"/>
        </w:rPr>
        <w:t>worden uitdrukkelijk uitgesloten van de voordelen van de artikelen 10, 11, 12, 13 en 21</w:t>
      </w:r>
      <w:r w:rsidRPr="00BC6175" w:rsidR="00222BD6">
        <w:rPr>
          <w:rFonts w:ascii="Verdana" w:hAnsi="Verdana"/>
          <w:sz w:val="18"/>
          <w:szCs w:val="18"/>
          <w:lang w:val="nl-NL"/>
        </w:rPr>
        <w:t xml:space="preserve"> van het Verdrag</w:t>
      </w:r>
      <w:r w:rsidRPr="00BC6175" w:rsidR="00CD077B">
        <w:rPr>
          <w:rFonts w:ascii="Verdana" w:hAnsi="Verdana"/>
          <w:sz w:val="18"/>
          <w:szCs w:val="18"/>
          <w:lang w:val="nl-NL"/>
        </w:rPr>
        <w:t xml:space="preserve"> en de bij die artikelen behorende bepalingen </w:t>
      </w:r>
      <w:r w:rsidR="00E67A1D">
        <w:rPr>
          <w:rFonts w:ascii="Verdana" w:hAnsi="Verdana"/>
          <w:sz w:val="18"/>
          <w:szCs w:val="18"/>
          <w:lang w:val="nl-NL"/>
        </w:rPr>
        <w:t>van</w:t>
      </w:r>
      <w:r w:rsidRPr="00BC6175" w:rsidR="00E67A1D">
        <w:rPr>
          <w:rFonts w:ascii="Verdana" w:hAnsi="Verdana"/>
          <w:sz w:val="18"/>
          <w:szCs w:val="18"/>
          <w:lang w:val="nl-NL"/>
        </w:rPr>
        <w:t xml:space="preserve"> </w:t>
      </w:r>
      <w:r w:rsidRPr="00BC6175" w:rsidR="00CD077B">
        <w:rPr>
          <w:rFonts w:ascii="Verdana" w:hAnsi="Verdana"/>
          <w:sz w:val="18"/>
          <w:szCs w:val="18"/>
          <w:lang w:val="nl-NL"/>
        </w:rPr>
        <w:t>het Protocol</w:t>
      </w:r>
      <w:r w:rsidRPr="00BC6175" w:rsidR="00222BD6">
        <w:rPr>
          <w:rFonts w:ascii="Verdana" w:hAnsi="Verdana"/>
          <w:sz w:val="18"/>
          <w:szCs w:val="18"/>
          <w:lang w:val="nl-NL"/>
        </w:rPr>
        <w:t xml:space="preserve">. Dit is in </w:t>
      </w:r>
      <w:r w:rsidRPr="00BC6175" w:rsidR="00CD077B">
        <w:rPr>
          <w:rFonts w:ascii="Verdana" w:hAnsi="Verdana"/>
          <w:sz w:val="18"/>
          <w:szCs w:val="18"/>
          <w:lang w:val="nl-NL"/>
        </w:rPr>
        <w:t xml:space="preserve">lijn met </w:t>
      </w:r>
      <w:r w:rsidRPr="00BC6175" w:rsidR="00222BD6">
        <w:rPr>
          <w:rFonts w:ascii="Verdana" w:hAnsi="Verdana"/>
          <w:sz w:val="18"/>
          <w:szCs w:val="18"/>
          <w:lang w:val="nl-NL"/>
        </w:rPr>
        <w:t>onderdeel 2.2.1 van de NFV 2011 en hiermee is tevens uitvoering gegeven aan de motie-Omtzigt/Van Vliet.</w:t>
      </w:r>
      <w:r w:rsidRPr="00556990" w:rsidR="00222BD6">
        <w:rPr>
          <w:rStyle w:val="Voetnootmarkering"/>
          <w:rFonts w:ascii="Verdana" w:hAnsi="Verdana"/>
          <w:sz w:val="18"/>
          <w:szCs w:val="18"/>
          <w:lang w:val="nl-NL"/>
        </w:rPr>
        <w:footnoteReference w:id="10"/>
      </w:r>
      <w:r w:rsidRPr="00556990" w:rsidR="00222BD6">
        <w:rPr>
          <w:rFonts w:ascii="Verdana" w:hAnsi="Verdana"/>
          <w:sz w:val="18"/>
          <w:szCs w:val="18"/>
          <w:lang w:val="nl-NL"/>
        </w:rPr>
        <w:t xml:space="preserve"> </w:t>
      </w:r>
    </w:p>
    <w:p w:rsidRPr="00BA2B89" w:rsidR="00F9100B" w:rsidP="00563FCA" w:rsidRDefault="00F35966" w14:paraId="6866C90A" w14:textId="49F88E28">
      <w:pPr>
        <w:rPr>
          <w:rFonts w:ascii="Verdana" w:hAnsi="Verdana"/>
          <w:sz w:val="18"/>
          <w:szCs w:val="18"/>
          <w:lang w:val="nl-NL"/>
        </w:rPr>
      </w:pPr>
      <w:r w:rsidRPr="00F578EC">
        <w:rPr>
          <w:rFonts w:ascii="Verdana" w:hAnsi="Verdana"/>
          <w:sz w:val="18"/>
          <w:szCs w:val="18"/>
          <w:lang w:val="nl-NL"/>
        </w:rPr>
        <w:t>Artikel II, tweede lid, van het Protocol</w:t>
      </w:r>
      <w:r w:rsidRPr="00F578EC" w:rsidR="00E7179D">
        <w:rPr>
          <w:rFonts w:ascii="Verdana" w:hAnsi="Verdana"/>
          <w:sz w:val="18"/>
          <w:szCs w:val="18"/>
          <w:lang w:val="nl-NL"/>
        </w:rPr>
        <w:t>,</w:t>
      </w:r>
      <w:r w:rsidRPr="00F578EC">
        <w:rPr>
          <w:rFonts w:ascii="Verdana" w:hAnsi="Verdana"/>
          <w:sz w:val="18"/>
          <w:szCs w:val="18"/>
          <w:lang w:val="nl-NL"/>
        </w:rPr>
        <w:t xml:space="preserve"> bepaalt</w:t>
      </w:r>
      <w:r w:rsidR="00513A92">
        <w:rPr>
          <w:rFonts w:ascii="Verdana" w:hAnsi="Verdana"/>
          <w:sz w:val="18"/>
          <w:szCs w:val="18"/>
          <w:lang w:val="nl-NL"/>
        </w:rPr>
        <w:t xml:space="preserve"> verder</w:t>
      </w:r>
      <w:r w:rsidRPr="00F578EC">
        <w:rPr>
          <w:rFonts w:ascii="Verdana" w:hAnsi="Verdana"/>
          <w:sz w:val="18"/>
          <w:szCs w:val="18"/>
          <w:lang w:val="nl-NL"/>
        </w:rPr>
        <w:t xml:space="preserve"> dat artikel </w:t>
      </w:r>
      <w:r w:rsidRPr="00F578EC" w:rsidR="00CD077B">
        <w:rPr>
          <w:rFonts w:ascii="Verdana" w:hAnsi="Verdana"/>
          <w:sz w:val="18"/>
          <w:szCs w:val="18"/>
          <w:lang w:val="nl-NL"/>
        </w:rPr>
        <w:t>10</w:t>
      </w:r>
      <w:r w:rsidRPr="00F578EC">
        <w:rPr>
          <w:rFonts w:ascii="Verdana" w:hAnsi="Verdana"/>
          <w:sz w:val="18"/>
          <w:szCs w:val="18"/>
          <w:lang w:val="nl-NL"/>
        </w:rPr>
        <w:t>, derde lid, onderdeel a</w:t>
      </w:r>
      <w:r w:rsidRPr="00F578EC" w:rsidR="00CD077B">
        <w:rPr>
          <w:rFonts w:ascii="Verdana" w:hAnsi="Verdana"/>
          <w:sz w:val="18"/>
          <w:szCs w:val="18"/>
          <w:lang w:val="nl-NL"/>
        </w:rPr>
        <w:t>,</w:t>
      </w:r>
      <w:r w:rsidRPr="00F578EC">
        <w:rPr>
          <w:rFonts w:ascii="Verdana" w:hAnsi="Verdana"/>
          <w:sz w:val="18"/>
          <w:szCs w:val="18"/>
          <w:lang w:val="nl-NL"/>
        </w:rPr>
        <w:t xml:space="preserve"> </w:t>
      </w:r>
      <w:r w:rsidRPr="00F578EC" w:rsidR="00E7179D">
        <w:rPr>
          <w:rFonts w:ascii="Verdana" w:hAnsi="Verdana"/>
          <w:sz w:val="18"/>
          <w:szCs w:val="18"/>
          <w:lang w:val="nl-NL"/>
        </w:rPr>
        <w:t xml:space="preserve">van het Verdrag </w:t>
      </w:r>
      <w:r w:rsidRPr="00323312">
        <w:rPr>
          <w:rFonts w:ascii="Verdana" w:hAnsi="Verdana"/>
          <w:sz w:val="18"/>
          <w:szCs w:val="18"/>
          <w:lang w:val="nl-NL"/>
        </w:rPr>
        <w:t xml:space="preserve">niet van toepassing </w:t>
      </w:r>
      <w:r w:rsidRPr="00323312" w:rsidR="00CD077B">
        <w:rPr>
          <w:rFonts w:ascii="Verdana" w:hAnsi="Verdana"/>
          <w:sz w:val="18"/>
          <w:szCs w:val="18"/>
          <w:lang w:val="nl-NL"/>
        </w:rPr>
        <w:t xml:space="preserve">is </w:t>
      </w:r>
      <w:r w:rsidRPr="00323312">
        <w:rPr>
          <w:rFonts w:ascii="Verdana" w:hAnsi="Verdana"/>
          <w:sz w:val="18"/>
          <w:szCs w:val="18"/>
          <w:lang w:val="nl-NL"/>
        </w:rPr>
        <w:t>op fiscale beleggingsinstellingen</w:t>
      </w:r>
      <w:r w:rsidRPr="00323312" w:rsidR="00407F98">
        <w:rPr>
          <w:rFonts w:ascii="Verdana" w:hAnsi="Verdana"/>
          <w:sz w:val="18"/>
          <w:szCs w:val="18"/>
          <w:lang w:val="nl-NL"/>
        </w:rPr>
        <w:t xml:space="preserve"> </w:t>
      </w:r>
      <w:r w:rsidRPr="00323312" w:rsidR="00936696">
        <w:rPr>
          <w:rFonts w:ascii="Verdana" w:hAnsi="Verdana"/>
          <w:sz w:val="18"/>
          <w:szCs w:val="18"/>
          <w:lang w:val="nl-NL"/>
        </w:rPr>
        <w:t>(</w:t>
      </w:r>
      <w:r w:rsidRPr="00875CEA" w:rsidR="00323312">
        <w:rPr>
          <w:rFonts w:ascii="Verdana" w:hAnsi="Verdana"/>
          <w:sz w:val="18"/>
          <w:szCs w:val="18"/>
          <w:lang w:val="nl-NL"/>
        </w:rPr>
        <w:t xml:space="preserve">hierna: </w:t>
      </w:r>
      <w:r w:rsidRPr="00323312" w:rsidR="00936696">
        <w:rPr>
          <w:rFonts w:ascii="Verdana" w:hAnsi="Verdana"/>
          <w:sz w:val="18"/>
          <w:szCs w:val="18"/>
          <w:lang w:val="nl-NL"/>
        </w:rPr>
        <w:t xml:space="preserve">FBI) </w:t>
      </w:r>
      <w:r w:rsidRPr="00323312" w:rsidR="00407F98">
        <w:rPr>
          <w:rFonts w:ascii="Verdana" w:hAnsi="Verdana"/>
          <w:sz w:val="18"/>
          <w:szCs w:val="18"/>
          <w:lang w:val="nl-NL"/>
        </w:rPr>
        <w:t xml:space="preserve">in de zin van artikel 28 Wet </w:t>
      </w:r>
      <w:r w:rsidRPr="00BC6175" w:rsidR="00936696">
        <w:rPr>
          <w:rFonts w:ascii="Verdana" w:hAnsi="Verdana"/>
          <w:sz w:val="18"/>
          <w:szCs w:val="18"/>
          <w:lang w:val="nl-NL"/>
        </w:rPr>
        <w:t>V</w:t>
      </w:r>
      <w:r w:rsidR="0002422C">
        <w:rPr>
          <w:rFonts w:ascii="Verdana" w:hAnsi="Verdana"/>
          <w:sz w:val="18"/>
          <w:szCs w:val="18"/>
          <w:lang w:val="nl-NL"/>
        </w:rPr>
        <w:t>pb</w:t>
      </w:r>
      <w:r w:rsidRPr="00BC6175" w:rsidR="00407F98">
        <w:rPr>
          <w:rFonts w:ascii="Verdana" w:hAnsi="Verdana"/>
          <w:sz w:val="18"/>
          <w:szCs w:val="18"/>
          <w:lang w:val="nl-NL"/>
        </w:rPr>
        <w:t xml:space="preserve"> 1969</w:t>
      </w:r>
      <w:r w:rsidRPr="00BC6175">
        <w:rPr>
          <w:rFonts w:ascii="Verdana" w:hAnsi="Verdana"/>
          <w:sz w:val="18"/>
          <w:szCs w:val="18"/>
          <w:lang w:val="nl-NL"/>
        </w:rPr>
        <w:t>.</w:t>
      </w:r>
      <w:r w:rsidRPr="00BC6175" w:rsidR="00D673C1">
        <w:rPr>
          <w:rFonts w:ascii="Verdana" w:hAnsi="Verdana"/>
          <w:sz w:val="18"/>
          <w:szCs w:val="18"/>
          <w:lang w:val="nl-NL"/>
        </w:rPr>
        <w:t xml:space="preserve"> </w:t>
      </w:r>
      <w:r w:rsidRPr="00BC6175" w:rsidR="00407F98">
        <w:rPr>
          <w:rFonts w:ascii="Verdana" w:hAnsi="Verdana"/>
          <w:sz w:val="18"/>
          <w:szCs w:val="18"/>
          <w:lang w:val="nl-NL"/>
        </w:rPr>
        <w:t xml:space="preserve">In artikel 10, derde lid, onderdeel a, van het </w:t>
      </w:r>
      <w:r w:rsidRPr="00BC6175" w:rsidR="001200D4">
        <w:rPr>
          <w:rFonts w:ascii="Verdana" w:hAnsi="Verdana"/>
          <w:sz w:val="18"/>
          <w:szCs w:val="18"/>
          <w:lang w:val="nl-NL"/>
        </w:rPr>
        <w:t>V</w:t>
      </w:r>
      <w:r w:rsidRPr="00BC6175" w:rsidR="00407F98">
        <w:rPr>
          <w:rFonts w:ascii="Verdana" w:hAnsi="Verdana"/>
          <w:sz w:val="18"/>
          <w:szCs w:val="18"/>
          <w:lang w:val="nl-NL"/>
        </w:rPr>
        <w:t xml:space="preserve">erdrag is overeengekomen dat op dividenden die worden betaald in deelnemingsverhoudingen geen bronbelasting zal worden geheven. </w:t>
      </w:r>
      <w:r w:rsidRPr="00CF22A8" w:rsidR="003925F8">
        <w:rPr>
          <w:rFonts w:ascii="Verdana" w:hAnsi="Verdana"/>
          <w:sz w:val="18"/>
          <w:szCs w:val="18"/>
          <w:lang w:val="nl-NL"/>
        </w:rPr>
        <w:t>D</w:t>
      </w:r>
      <w:r w:rsidRPr="00CF22A8" w:rsidR="00563FCA">
        <w:rPr>
          <w:rFonts w:ascii="Verdana" w:hAnsi="Verdana"/>
          <w:sz w:val="18"/>
          <w:szCs w:val="18"/>
          <w:lang w:val="nl-NL"/>
        </w:rPr>
        <w:t>it</w:t>
      </w:r>
      <w:r w:rsidRPr="00CF22A8" w:rsidR="003925F8">
        <w:rPr>
          <w:rFonts w:ascii="Verdana" w:hAnsi="Verdana"/>
          <w:sz w:val="18"/>
          <w:szCs w:val="18"/>
          <w:lang w:val="nl-NL"/>
        </w:rPr>
        <w:t xml:space="preserve"> slui</w:t>
      </w:r>
      <w:r w:rsidRPr="005C1870" w:rsidR="003925F8">
        <w:rPr>
          <w:rFonts w:ascii="Verdana" w:hAnsi="Verdana"/>
          <w:sz w:val="18"/>
          <w:szCs w:val="18"/>
          <w:lang w:val="nl-NL"/>
        </w:rPr>
        <w:t>t</w:t>
      </w:r>
      <w:r w:rsidRPr="005C1870" w:rsidR="00563FCA">
        <w:rPr>
          <w:rFonts w:ascii="Verdana" w:hAnsi="Verdana"/>
          <w:sz w:val="18"/>
          <w:szCs w:val="18"/>
          <w:lang w:val="nl-NL"/>
        </w:rPr>
        <w:t xml:space="preserve"> aan bij het Nederlandse uitgangspunt om in deelnemingsverhoudingen (economisch</w:t>
      </w:r>
      <w:r w:rsidRPr="00916448" w:rsidR="003D6279">
        <w:rPr>
          <w:rFonts w:ascii="Verdana" w:hAnsi="Verdana"/>
          <w:sz w:val="18"/>
          <w:szCs w:val="18"/>
          <w:lang w:val="nl-NL"/>
        </w:rPr>
        <w:t>e</w:t>
      </w:r>
      <w:r w:rsidRPr="00916448" w:rsidR="00563FCA">
        <w:rPr>
          <w:rFonts w:ascii="Verdana" w:hAnsi="Verdana"/>
          <w:sz w:val="18"/>
          <w:szCs w:val="18"/>
          <w:lang w:val="nl-NL"/>
        </w:rPr>
        <w:t>) dubbele belasting op vennootschapsniveau te voorkomen</w:t>
      </w:r>
      <w:r w:rsidRPr="00916448" w:rsidR="003925F8">
        <w:rPr>
          <w:rFonts w:ascii="Verdana" w:hAnsi="Verdana"/>
          <w:sz w:val="18"/>
          <w:szCs w:val="18"/>
          <w:lang w:val="nl-NL"/>
        </w:rPr>
        <w:t>.</w:t>
      </w:r>
      <w:r w:rsidRPr="00916448" w:rsidR="00563FCA">
        <w:rPr>
          <w:rFonts w:ascii="Verdana" w:hAnsi="Verdana"/>
          <w:sz w:val="18"/>
          <w:szCs w:val="18"/>
          <w:lang w:val="nl-NL"/>
        </w:rPr>
        <w:t xml:space="preserve"> </w:t>
      </w:r>
      <w:r w:rsidRPr="00780A5E" w:rsidR="00281BA6">
        <w:rPr>
          <w:rFonts w:ascii="Verdana" w:hAnsi="Verdana"/>
          <w:sz w:val="18"/>
          <w:szCs w:val="18"/>
          <w:lang w:val="nl-NL"/>
        </w:rPr>
        <w:t>Daarbij gaat het om dividenden die in concernverband worden betaald en niet om dividenden in de belegging</w:t>
      </w:r>
      <w:r w:rsidRPr="00780A5E" w:rsidR="00C74B24">
        <w:rPr>
          <w:rFonts w:ascii="Verdana" w:hAnsi="Verdana"/>
          <w:sz w:val="18"/>
          <w:szCs w:val="18"/>
          <w:lang w:val="nl-NL"/>
        </w:rPr>
        <w:t>ens</w:t>
      </w:r>
      <w:r w:rsidRPr="00780A5E" w:rsidR="00281BA6">
        <w:rPr>
          <w:rFonts w:ascii="Verdana" w:hAnsi="Verdana"/>
          <w:sz w:val="18"/>
          <w:szCs w:val="18"/>
          <w:lang w:val="nl-NL"/>
        </w:rPr>
        <w:t>feer (por</w:t>
      </w:r>
      <w:r w:rsidRPr="000819E4" w:rsidR="00F35E4D">
        <w:rPr>
          <w:rFonts w:ascii="Verdana" w:hAnsi="Verdana"/>
          <w:sz w:val="18"/>
          <w:szCs w:val="18"/>
          <w:lang w:val="nl-NL"/>
        </w:rPr>
        <w:t>t</w:t>
      </w:r>
      <w:r w:rsidRPr="000819E4" w:rsidR="00281BA6">
        <w:rPr>
          <w:rFonts w:ascii="Verdana" w:hAnsi="Verdana"/>
          <w:sz w:val="18"/>
          <w:szCs w:val="18"/>
          <w:lang w:val="nl-NL"/>
        </w:rPr>
        <w:t>foli</w:t>
      </w:r>
      <w:r w:rsidRPr="000819E4" w:rsidR="00C74B24">
        <w:rPr>
          <w:rFonts w:ascii="Verdana" w:hAnsi="Verdana"/>
          <w:sz w:val="18"/>
          <w:szCs w:val="18"/>
          <w:lang w:val="nl-NL"/>
        </w:rPr>
        <w:t>o</w:t>
      </w:r>
      <w:r w:rsidRPr="000819E4" w:rsidR="00281BA6">
        <w:rPr>
          <w:rFonts w:ascii="Verdana" w:hAnsi="Verdana"/>
          <w:sz w:val="18"/>
          <w:szCs w:val="18"/>
          <w:lang w:val="nl-NL"/>
        </w:rPr>
        <w:t xml:space="preserve">dividenden). </w:t>
      </w:r>
      <w:r w:rsidRPr="000819E4" w:rsidR="00C74B24">
        <w:rPr>
          <w:rFonts w:ascii="Verdana" w:hAnsi="Verdana"/>
          <w:sz w:val="18"/>
          <w:szCs w:val="18"/>
          <w:lang w:val="nl-NL"/>
        </w:rPr>
        <w:t xml:space="preserve">Om die reden komt </w:t>
      </w:r>
      <w:r w:rsidRPr="000819E4" w:rsidR="00F9100B">
        <w:rPr>
          <w:rFonts w:ascii="Verdana" w:hAnsi="Verdana"/>
          <w:sz w:val="18"/>
          <w:szCs w:val="18"/>
          <w:lang w:val="nl-NL"/>
        </w:rPr>
        <w:t>volgen</w:t>
      </w:r>
      <w:r w:rsidRPr="000819E4" w:rsidR="00C74B24">
        <w:rPr>
          <w:rFonts w:ascii="Verdana" w:hAnsi="Verdana"/>
          <w:sz w:val="18"/>
          <w:szCs w:val="18"/>
          <w:lang w:val="nl-NL"/>
        </w:rPr>
        <w:t xml:space="preserve">s </w:t>
      </w:r>
      <w:r w:rsidRPr="000819E4" w:rsidR="00F9100B">
        <w:rPr>
          <w:rFonts w:ascii="Verdana" w:hAnsi="Verdana"/>
          <w:sz w:val="18"/>
          <w:szCs w:val="18"/>
          <w:lang w:val="nl-NL"/>
        </w:rPr>
        <w:t>(artikel 13, achtste lid</w:t>
      </w:r>
      <w:r w:rsidR="00D06278">
        <w:rPr>
          <w:rFonts w:ascii="Verdana" w:hAnsi="Verdana"/>
          <w:sz w:val="18"/>
          <w:szCs w:val="18"/>
          <w:lang w:val="nl-NL"/>
        </w:rPr>
        <w:t>,</w:t>
      </w:r>
      <w:r w:rsidRPr="000819E4" w:rsidR="00F9100B">
        <w:rPr>
          <w:rFonts w:ascii="Verdana" w:hAnsi="Verdana"/>
          <w:sz w:val="18"/>
          <w:szCs w:val="18"/>
          <w:lang w:val="nl-NL"/>
        </w:rPr>
        <w:t xml:space="preserve"> </w:t>
      </w:r>
      <w:r w:rsidRPr="0021450B" w:rsidR="00C74B24">
        <w:rPr>
          <w:rFonts w:ascii="Verdana" w:hAnsi="Verdana"/>
          <w:sz w:val="18"/>
          <w:szCs w:val="18"/>
          <w:lang w:val="nl-NL"/>
        </w:rPr>
        <w:t xml:space="preserve">Wet </w:t>
      </w:r>
      <w:r w:rsidRPr="0021450B" w:rsidR="00936696">
        <w:rPr>
          <w:rFonts w:ascii="Verdana" w:hAnsi="Verdana"/>
          <w:sz w:val="18"/>
          <w:szCs w:val="18"/>
          <w:lang w:val="nl-NL"/>
        </w:rPr>
        <w:t>V</w:t>
      </w:r>
      <w:r w:rsidR="00D06278">
        <w:rPr>
          <w:rFonts w:ascii="Verdana" w:hAnsi="Verdana"/>
          <w:sz w:val="18"/>
          <w:szCs w:val="18"/>
          <w:lang w:val="nl-NL"/>
        </w:rPr>
        <w:t>pb</w:t>
      </w:r>
      <w:r w:rsidRPr="0021450B" w:rsidR="00C74B24">
        <w:rPr>
          <w:rFonts w:ascii="Verdana" w:hAnsi="Verdana"/>
          <w:sz w:val="18"/>
          <w:szCs w:val="18"/>
          <w:lang w:val="nl-NL"/>
        </w:rPr>
        <w:t xml:space="preserve"> 1969</w:t>
      </w:r>
      <w:r w:rsidR="004A6679">
        <w:rPr>
          <w:rFonts w:ascii="Verdana" w:hAnsi="Verdana"/>
          <w:sz w:val="18"/>
          <w:szCs w:val="18"/>
          <w:lang w:val="nl-NL"/>
        </w:rPr>
        <w:t>)</w:t>
      </w:r>
      <w:r w:rsidRPr="0021450B" w:rsidR="00C74B24">
        <w:rPr>
          <w:rFonts w:ascii="Verdana" w:hAnsi="Verdana"/>
          <w:sz w:val="18"/>
          <w:szCs w:val="18"/>
          <w:lang w:val="nl-NL"/>
        </w:rPr>
        <w:t xml:space="preserve"> een FBI niet in aanmerking voor de toepassing van de deelnemingsvrijstelling</w:t>
      </w:r>
      <w:r w:rsidRPr="0021450B" w:rsidR="000900A6">
        <w:rPr>
          <w:rFonts w:ascii="Verdana" w:hAnsi="Verdana"/>
          <w:sz w:val="18"/>
          <w:szCs w:val="18"/>
          <w:lang w:val="nl-NL"/>
        </w:rPr>
        <w:t xml:space="preserve">. </w:t>
      </w:r>
      <w:r w:rsidRPr="0021450B" w:rsidR="003925F8">
        <w:rPr>
          <w:rFonts w:ascii="Verdana" w:hAnsi="Verdana"/>
          <w:sz w:val="18"/>
          <w:szCs w:val="18"/>
          <w:lang w:val="nl-NL"/>
        </w:rPr>
        <w:t>D</w:t>
      </w:r>
      <w:r w:rsidRPr="0021450B" w:rsidR="00C74B24">
        <w:rPr>
          <w:rFonts w:ascii="Verdana" w:hAnsi="Verdana"/>
          <w:sz w:val="18"/>
          <w:szCs w:val="18"/>
          <w:lang w:val="nl-NL"/>
        </w:rPr>
        <w:t>e deelnemingsvrijstelling</w:t>
      </w:r>
      <w:r w:rsidRPr="0021450B" w:rsidR="003925F8">
        <w:rPr>
          <w:rFonts w:ascii="Verdana" w:hAnsi="Verdana"/>
          <w:sz w:val="18"/>
          <w:szCs w:val="18"/>
          <w:lang w:val="nl-NL"/>
        </w:rPr>
        <w:t xml:space="preserve"> is</w:t>
      </w:r>
      <w:r w:rsidRPr="0021450B" w:rsidR="00C74B24">
        <w:rPr>
          <w:rFonts w:ascii="Verdana" w:hAnsi="Verdana"/>
          <w:sz w:val="18"/>
          <w:szCs w:val="18"/>
          <w:lang w:val="nl-NL"/>
        </w:rPr>
        <w:t xml:space="preserve"> </w:t>
      </w:r>
      <w:r w:rsidRPr="0021450B" w:rsidR="000900A6">
        <w:rPr>
          <w:rFonts w:ascii="Verdana" w:hAnsi="Verdana"/>
          <w:sz w:val="18"/>
          <w:szCs w:val="18"/>
          <w:lang w:val="nl-NL"/>
        </w:rPr>
        <w:t xml:space="preserve">ook </w:t>
      </w:r>
      <w:r w:rsidRPr="0021450B" w:rsidR="00C74B24">
        <w:rPr>
          <w:rFonts w:ascii="Verdana" w:hAnsi="Verdana"/>
          <w:sz w:val="18"/>
          <w:szCs w:val="18"/>
          <w:lang w:val="nl-NL"/>
        </w:rPr>
        <w:t xml:space="preserve">niet van toepassing op </w:t>
      </w:r>
      <w:r w:rsidRPr="0021450B" w:rsidR="00F9100B">
        <w:rPr>
          <w:rFonts w:ascii="Verdana" w:hAnsi="Verdana"/>
          <w:sz w:val="18"/>
          <w:szCs w:val="18"/>
          <w:lang w:val="nl-NL"/>
        </w:rPr>
        <w:t xml:space="preserve">een </w:t>
      </w:r>
      <w:r w:rsidRPr="0021450B" w:rsidR="00C74B24">
        <w:rPr>
          <w:rFonts w:ascii="Verdana" w:hAnsi="Verdana"/>
          <w:sz w:val="18"/>
          <w:szCs w:val="18"/>
          <w:lang w:val="nl-NL"/>
        </w:rPr>
        <w:t>in een FBI gehouden belang.</w:t>
      </w:r>
      <w:r w:rsidRPr="00BA2B89" w:rsidR="00F9100B">
        <w:rPr>
          <w:rFonts w:ascii="Verdana" w:hAnsi="Verdana"/>
          <w:sz w:val="18"/>
          <w:szCs w:val="18"/>
          <w:lang w:val="nl-NL"/>
        </w:rPr>
        <w:t xml:space="preserve"> Het uitzonderen van de door een FBI betaalde dividenden van de in artikel 10, derde lid, onderdeel a, </w:t>
      </w:r>
      <w:r w:rsidR="00D06278">
        <w:rPr>
          <w:rFonts w:ascii="Verdana" w:hAnsi="Verdana"/>
          <w:sz w:val="18"/>
          <w:szCs w:val="18"/>
          <w:lang w:val="nl-NL"/>
        </w:rPr>
        <w:t xml:space="preserve">van het Verdrag </w:t>
      </w:r>
      <w:r w:rsidRPr="00BA2B89" w:rsidR="00F9100B">
        <w:rPr>
          <w:rFonts w:ascii="Verdana" w:hAnsi="Verdana"/>
          <w:sz w:val="18"/>
          <w:szCs w:val="18"/>
          <w:lang w:val="nl-NL"/>
        </w:rPr>
        <w:t>opgenomen vrijstelling van bron</w:t>
      </w:r>
      <w:r w:rsidR="00D06278">
        <w:rPr>
          <w:rFonts w:ascii="Verdana" w:hAnsi="Verdana"/>
          <w:sz w:val="18"/>
          <w:szCs w:val="18"/>
          <w:lang w:val="nl-NL"/>
        </w:rPr>
        <w:t>belast</w:t>
      </w:r>
      <w:r w:rsidRPr="00BA2B89" w:rsidR="00F9100B">
        <w:rPr>
          <w:rFonts w:ascii="Verdana" w:hAnsi="Verdana"/>
          <w:sz w:val="18"/>
          <w:szCs w:val="18"/>
          <w:lang w:val="nl-NL"/>
        </w:rPr>
        <w:t>ing over deelnemingsdividenden sluit hierbij aan.</w:t>
      </w:r>
    </w:p>
    <w:p w:rsidRPr="00DD3563" w:rsidR="00897566" w:rsidP="00500251" w:rsidRDefault="00F35966" w14:paraId="4A3B7BEB" w14:textId="39701B0E">
      <w:pPr>
        <w:rPr>
          <w:rFonts w:ascii="Verdana" w:hAnsi="Verdana"/>
          <w:sz w:val="18"/>
          <w:szCs w:val="18"/>
          <w:lang w:val="nl-NL"/>
        </w:rPr>
      </w:pPr>
      <w:r w:rsidRPr="00B6639D">
        <w:rPr>
          <w:rFonts w:ascii="Verdana" w:hAnsi="Verdana"/>
          <w:sz w:val="18"/>
          <w:szCs w:val="18"/>
          <w:lang w:val="nl-NL"/>
        </w:rPr>
        <w:t>Artikel II, derde lid</w:t>
      </w:r>
      <w:r w:rsidRPr="006C1373" w:rsidR="00222BD6">
        <w:rPr>
          <w:rFonts w:ascii="Verdana" w:hAnsi="Verdana"/>
          <w:sz w:val="18"/>
          <w:szCs w:val="18"/>
          <w:lang w:val="nl-NL"/>
        </w:rPr>
        <w:t>, van het Protocol</w:t>
      </w:r>
      <w:r w:rsidRPr="006C1373" w:rsidR="000900A6">
        <w:rPr>
          <w:rFonts w:ascii="Verdana" w:hAnsi="Verdana"/>
          <w:sz w:val="18"/>
          <w:szCs w:val="18"/>
          <w:lang w:val="nl-NL"/>
        </w:rPr>
        <w:t>, ten slotte</w:t>
      </w:r>
      <w:r w:rsidRPr="006C1373" w:rsidR="00A95C63">
        <w:rPr>
          <w:rFonts w:ascii="Verdana" w:hAnsi="Verdana"/>
          <w:sz w:val="18"/>
          <w:szCs w:val="18"/>
          <w:lang w:val="nl-NL"/>
        </w:rPr>
        <w:t>,</w:t>
      </w:r>
      <w:r w:rsidRPr="006C1373" w:rsidR="000900A6">
        <w:rPr>
          <w:rFonts w:ascii="Verdana" w:hAnsi="Verdana"/>
          <w:sz w:val="18"/>
          <w:szCs w:val="18"/>
          <w:lang w:val="nl-NL"/>
        </w:rPr>
        <w:t xml:space="preserve"> bepaal</w:t>
      </w:r>
      <w:r w:rsidRPr="006C1373" w:rsidR="00A95C63">
        <w:rPr>
          <w:rFonts w:ascii="Verdana" w:hAnsi="Verdana"/>
          <w:sz w:val="18"/>
          <w:szCs w:val="18"/>
          <w:lang w:val="nl-NL"/>
        </w:rPr>
        <w:t>t</w:t>
      </w:r>
      <w:r w:rsidRPr="006C1373" w:rsidR="000900A6">
        <w:rPr>
          <w:rFonts w:ascii="Verdana" w:hAnsi="Verdana"/>
          <w:sz w:val="18"/>
          <w:szCs w:val="18"/>
          <w:lang w:val="nl-NL"/>
        </w:rPr>
        <w:t xml:space="preserve"> dat de bevoegde autoriteiten in onderlinge overeenstemming ook andere </w:t>
      </w:r>
      <w:r w:rsidR="002726AE">
        <w:rPr>
          <w:rFonts w:ascii="Verdana" w:hAnsi="Verdana"/>
          <w:sz w:val="18"/>
          <w:szCs w:val="18"/>
          <w:lang w:val="nl-NL"/>
        </w:rPr>
        <w:t>inwoners</w:t>
      </w:r>
      <w:r w:rsidRPr="006C1373" w:rsidR="000900A6">
        <w:rPr>
          <w:rFonts w:ascii="Verdana" w:hAnsi="Verdana"/>
          <w:sz w:val="18"/>
          <w:szCs w:val="18"/>
          <w:lang w:val="nl-NL"/>
        </w:rPr>
        <w:t xml:space="preserve"> die aan een bijzonder regime zijn onderworpen</w:t>
      </w:r>
      <w:r w:rsidRPr="006C1373" w:rsidR="00DD2B31">
        <w:rPr>
          <w:rFonts w:ascii="Verdana" w:hAnsi="Verdana"/>
          <w:sz w:val="18"/>
          <w:szCs w:val="18"/>
          <w:lang w:val="nl-NL"/>
        </w:rPr>
        <w:t>,</w:t>
      </w:r>
      <w:r w:rsidRPr="006C1373" w:rsidR="000900A6">
        <w:rPr>
          <w:rFonts w:ascii="Verdana" w:hAnsi="Verdana"/>
          <w:sz w:val="18"/>
          <w:szCs w:val="18"/>
          <w:lang w:val="nl-NL"/>
        </w:rPr>
        <w:t xml:space="preserve"> kunnen uitsluiten van </w:t>
      </w:r>
      <w:r w:rsidR="00502FBD">
        <w:rPr>
          <w:rFonts w:ascii="Verdana" w:hAnsi="Verdana"/>
          <w:sz w:val="18"/>
          <w:szCs w:val="18"/>
          <w:lang w:val="nl-NL"/>
        </w:rPr>
        <w:t>verdrags</w:t>
      </w:r>
      <w:r w:rsidRPr="006C1373" w:rsidR="000900A6">
        <w:rPr>
          <w:rFonts w:ascii="Verdana" w:hAnsi="Verdana"/>
          <w:sz w:val="18"/>
          <w:szCs w:val="18"/>
          <w:lang w:val="nl-NL"/>
        </w:rPr>
        <w:t>voordelen.</w:t>
      </w:r>
      <w:r w:rsidRPr="00DD3563" w:rsidR="00222BD6">
        <w:rPr>
          <w:rFonts w:ascii="Verdana" w:hAnsi="Verdana"/>
          <w:sz w:val="18"/>
          <w:szCs w:val="18"/>
          <w:lang w:val="nl-NL"/>
        </w:rPr>
        <w:t xml:space="preserve"> Ten tijde van de onderhandelingen </w:t>
      </w:r>
      <w:r w:rsidRPr="00DD3563" w:rsidR="007C555E">
        <w:rPr>
          <w:rFonts w:ascii="Verdana" w:hAnsi="Verdana"/>
          <w:sz w:val="18"/>
          <w:szCs w:val="18"/>
          <w:lang w:val="nl-NL"/>
        </w:rPr>
        <w:t>zijn</w:t>
      </w:r>
      <w:r w:rsidRPr="00DD3563" w:rsidR="00222BD6">
        <w:rPr>
          <w:rFonts w:ascii="Verdana" w:hAnsi="Verdana"/>
          <w:sz w:val="18"/>
          <w:szCs w:val="18"/>
          <w:lang w:val="nl-NL"/>
        </w:rPr>
        <w:t xml:space="preserve"> geen andere bijzondere regimes </w:t>
      </w:r>
      <w:r w:rsidRPr="00DD3563" w:rsidR="007C555E">
        <w:rPr>
          <w:rFonts w:ascii="Verdana" w:hAnsi="Verdana"/>
          <w:sz w:val="18"/>
          <w:szCs w:val="18"/>
          <w:lang w:val="nl-NL"/>
        </w:rPr>
        <w:t xml:space="preserve">onderkend </w:t>
      </w:r>
      <w:r w:rsidRPr="00DD3563" w:rsidR="00DD2B31">
        <w:rPr>
          <w:rFonts w:ascii="Verdana" w:hAnsi="Verdana"/>
          <w:sz w:val="18"/>
          <w:szCs w:val="18"/>
          <w:lang w:val="nl-NL"/>
        </w:rPr>
        <w:t>waarbij uitsluiting van verdragsvoordelen geëigend zou zijn.</w:t>
      </w:r>
    </w:p>
    <w:p w:rsidRPr="00F578EC" w:rsidR="00897566" w:rsidP="00897566" w:rsidRDefault="00F91BBD" w14:paraId="670DC6CD" w14:textId="77777777">
      <w:pPr>
        <w:rPr>
          <w:rFonts w:ascii="Verdana" w:hAnsi="Verdana"/>
          <w:sz w:val="18"/>
          <w:szCs w:val="18"/>
          <w:lang w:val="nl-NL"/>
        </w:rPr>
      </w:pPr>
      <w:r w:rsidRPr="00DD3563">
        <w:rPr>
          <w:rFonts w:ascii="Verdana" w:hAnsi="Verdana" w:cs="Arial"/>
          <w:sz w:val="18"/>
          <w:szCs w:val="18"/>
          <w:lang w:val="nl-NL"/>
        </w:rPr>
        <w:t>Artikel III van het Protocol bepaalt dat, z</w:t>
      </w:r>
      <w:r w:rsidRPr="00DD3563" w:rsidR="00DD2B31">
        <w:rPr>
          <w:rFonts w:ascii="Verdana" w:hAnsi="Verdana" w:cs="Arial"/>
          <w:sz w:val="18"/>
          <w:szCs w:val="18"/>
          <w:lang w:val="nl-NL"/>
        </w:rPr>
        <w:t xml:space="preserve">oals in </w:t>
      </w:r>
      <w:r w:rsidRPr="00DD3563" w:rsidR="008850D6">
        <w:rPr>
          <w:rFonts w:ascii="Verdana" w:hAnsi="Verdana" w:cs="Arial"/>
          <w:sz w:val="18"/>
          <w:szCs w:val="18"/>
          <w:lang w:val="nl-NL"/>
        </w:rPr>
        <w:t>onderdeel</w:t>
      </w:r>
      <w:r w:rsidRPr="00DD3563" w:rsidR="00DD2B31">
        <w:rPr>
          <w:rFonts w:ascii="Verdana" w:hAnsi="Verdana" w:cs="Arial"/>
          <w:sz w:val="18"/>
          <w:szCs w:val="18"/>
          <w:lang w:val="nl-NL"/>
        </w:rPr>
        <w:t xml:space="preserve"> </w:t>
      </w:r>
      <w:r w:rsidRPr="00DD3563">
        <w:rPr>
          <w:rFonts w:ascii="Verdana" w:hAnsi="Verdana" w:cs="Arial"/>
          <w:sz w:val="18"/>
          <w:szCs w:val="18"/>
          <w:lang w:val="nl-NL"/>
        </w:rPr>
        <w:t>I.6.</w:t>
      </w:r>
      <w:r w:rsidRPr="00DD3563" w:rsidR="00DD2B31">
        <w:rPr>
          <w:rFonts w:ascii="Verdana" w:hAnsi="Verdana" w:cs="Arial"/>
          <w:sz w:val="18"/>
          <w:szCs w:val="18"/>
          <w:lang w:val="nl-NL"/>
        </w:rPr>
        <w:t xml:space="preserve"> van deze </w:t>
      </w:r>
      <w:r w:rsidR="0021450B">
        <w:rPr>
          <w:rFonts w:ascii="Verdana" w:hAnsi="Verdana" w:cs="Arial"/>
          <w:sz w:val="18"/>
          <w:szCs w:val="18"/>
          <w:lang w:val="nl-NL"/>
        </w:rPr>
        <w:t xml:space="preserve">toelichtende </w:t>
      </w:r>
      <w:r w:rsidRPr="0021450B" w:rsidR="00DD2B31">
        <w:rPr>
          <w:rFonts w:ascii="Verdana" w:hAnsi="Verdana" w:cs="Arial"/>
          <w:sz w:val="18"/>
          <w:szCs w:val="18"/>
          <w:lang w:val="nl-NL"/>
        </w:rPr>
        <w:t>nota reeds is opgemerkt, het Verdrag wat betreft</w:t>
      </w:r>
      <w:r w:rsidR="002726AE">
        <w:rPr>
          <w:rFonts w:ascii="Verdana" w:hAnsi="Verdana" w:cs="Arial"/>
          <w:sz w:val="18"/>
          <w:szCs w:val="18"/>
          <w:lang w:val="nl-NL"/>
        </w:rPr>
        <w:t xml:space="preserve"> inwoners van</w:t>
      </w:r>
      <w:r w:rsidRPr="0021450B" w:rsidR="00DD2B31">
        <w:rPr>
          <w:rFonts w:ascii="Verdana" w:hAnsi="Verdana" w:cs="Arial"/>
          <w:sz w:val="18"/>
          <w:szCs w:val="18"/>
          <w:lang w:val="nl-NL"/>
        </w:rPr>
        <w:t xml:space="preserve"> </w:t>
      </w:r>
      <w:r w:rsidR="00F578EC">
        <w:rPr>
          <w:rFonts w:ascii="Verdana" w:hAnsi="Verdana" w:cs="Arial"/>
          <w:sz w:val="18"/>
          <w:szCs w:val="18"/>
          <w:lang w:val="nl-NL"/>
        </w:rPr>
        <w:t>Caribisch Nederland</w:t>
      </w:r>
      <w:r w:rsidRPr="00F578EC" w:rsidR="00DD2B31">
        <w:rPr>
          <w:rFonts w:ascii="Verdana" w:hAnsi="Verdana" w:cs="Arial"/>
          <w:sz w:val="18"/>
          <w:szCs w:val="18"/>
          <w:lang w:val="nl-NL"/>
        </w:rPr>
        <w:t xml:space="preserve"> slechts van toepassing </w:t>
      </w:r>
      <w:r w:rsidR="00502FBD">
        <w:rPr>
          <w:rFonts w:ascii="Verdana" w:hAnsi="Verdana" w:cs="Arial"/>
          <w:sz w:val="18"/>
          <w:szCs w:val="18"/>
          <w:lang w:val="nl-NL"/>
        </w:rPr>
        <w:t xml:space="preserve">is </w:t>
      </w:r>
      <w:r w:rsidRPr="00F578EC" w:rsidR="00DD2B31">
        <w:rPr>
          <w:rFonts w:ascii="Verdana" w:hAnsi="Verdana" w:cs="Arial"/>
          <w:sz w:val="18"/>
          <w:szCs w:val="18"/>
          <w:lang w:val="nl-NL"/>
        </w:rPr>
        <w:t>op natuurlijke personen</w:t>
      </w:r>
      <w:r w:rsidRPr="00F578EC" w:rsidR="007D42D5">
        <w:rPr>
          <w:rFonts w:ascii="Verdana" w:hAnsi="Verdana" w:cs="Arial"/>
          <w:sz w:val="18"/>
          <w:szCs w:val="18"/>
          <w:lang w:val="nl-NL"/>
        </w:rPr>
        <w:t>.</w:t>
      </w:r>
    </w:p>
    <w:p w:rsidRPr="00323312" w:rsidR="00222BD6" w:rsidP="00500251" w:rsidRDefault="00222BD6" w14:paraId="16909DE9" w14:textId="77777777">
      <w:pPr>
        <w:rPr>
          <w:rFonts w:ascii="Verdana" w:hAnsi="Verdana"/>
          <w:sz w:val="18"/>
          <w:szCs w:val="18"/>
          <w:lang w:val="nl-NL"/>
        </w:rPr>
      </w:pPr>
    </w:p>
    <w:p w:rsidRPr="00BC6175" w:rsidR="00500251" w:rsidP="00500251" w:rsidRDefault="00500251" w14:paraId="4506BBA7" w14:textId="1A426BFC">
      <w:pPr>
        <w:pStyle w:val="Kop2"/>
        <w:numPr>
          <w:ilvl w:val="0"/>
          <w:numId w:val="0"/>
        </w:numPr>
        <w:spacing w:before="0" w:after="0"/>
        <w:rPr>
          <w:rFonts w:ascii="Verdana" w:hAnsi="Verdana"/>
          <w:b w:val="0"/>
          <w:i/>
          <w:sz w:val="18"/>
          <w:szCs w:val="18"/>
          <w:lang w:val="nl-NL"/>
        </w:rPr>
      </w:pPr>
      <w:r w:rsidRPr="00BC6175">
        <w:rPr>
          <w:rFonts w:ascii="Verdana" w:hAnsi="Verdana"/>
          <w:b w:val="0"/>
          <w:i/>
          <w:sz w:val="18"/>
          <w:szCs w:val="18"/>
          <w:lang w:val="nl-NL"/>
        </w:rPr>
        <w:t xml:space="preserve">II.2. Belastingen waarop het Verdrag van toepassing is (artikel 2 </w:t>
      </w:r>
      <w:r w:rsidR="00916448">
        <w:rPr>
          <w:rFonts w:ascii="Verdana" w:hAnsi="Verdana"/>
          <w:b w:val="0"/>
          <w:i/>
          <w:sz w:val="18"/>
          <w:szCs w:val="18"/>
          <w:lang w:val="nl-NL"/>
        </w:rPr>
        <w:t xml:space="preserve">van het Verdrag </w:t>
      </w:r>
      <w:r w:rsidRPr="00BC6175">
        <w:rPr>
          <w:rFonts w:ascii="Verdana" w:hAnsi="Verdana"/>
          <w:b w:val="0"/>
          <w:i/>
          <w:sz w:val="18"/>
          <w:szCs w:val="18"/>
          <w:lang w:val="nl-NL"/>
        </w:rPr>
        <w:t xml:space="preserve">en </w:t>
      </w:r>
      <w:r w:rsidRPr="00BC6175" w:rsidR="00A436A1">
        <w:rPr>
          <w:rFonts w:ascii="Verdana" w:hAnsi="Verdana"/>
          <w:b w:val="0"/>
          <w:i/>
          <w:sz w:val="18"/>
          <w:szCs w:val="18"/>
          <w:lang w:val="nl-NL"/>
        </w:rPr>
        <w:t xml:space="preserve">artikel III van het </w:t>
      </w:r>
      <w:r w:rsidRPr="00BC6175">
        <w:rPr>
          <w:rFonts w:ascii="Verdana" w:hAnsi="Verdana"/>
          <w:b w:val="0"/>
          <w:i/>
          <w:sz w:val="18"/>
          <w:szCs w:val="18"/>
          <w:lang w:val="nl-NL"/>
        </w:rPr>
        <w:t>Protocol)</w:t>
      </w:r>
    </w:p>
    <w:p w:rsidRPr="005C1870" w:rsidR="00500251" w:rsidP="00500251" w:rsidRDefault="00500251" w14:paraId="2E59BE80" w14:textId="77777777">
      <w:pPr>
        <w:rPr>
          <w:rFonts w:ascii="Verdana" w:hAnsi="Verdana"/>
          <w:sz w:val="18"/>
          <w:szCs w:val="18"/>
          <w:lang w:val="nl-NL"/>
        </w:rPr>
      </w:pPr>
    </w:p>
    <w:p w:rsidRPr="00BC6175" w:rsidR="00500251" w:rsidP="00500251" w:rsidRDefault="00500251" w14:paraId="43EDFD41" w14:textId="77777777">
      <w:pPr>
        <w:rPr>
          <w:rFonts w:ascii="Verdana" w:hAnsi="Verdana"/>
          <w:sz w:val="18"/>
          <w:szCs w:val="18"/>
          <w:lang w:val="nl-NL"/>
        </w:rPr>
      </w:pPr>
      <w:r w:rsidRPr="00556990">
        <w:rPr>
          <w:rFonts w:ascii="Verdana" w:hAnsi="Verdana"/>
          <w:sz w:val="18"/>
          <w:szCs w:val="18"/>
          <w:lang w:val="nl-NL"/>
        </w:rPr>
        <w:t>In artikel 2</w:t>
      </w:r>
      <w:r w:rsidRPr="00556990" w:rsidR="0053260E">
        <w:rPr>
          <w:rFonts w:ascii="Verdana" w:hAnsi="Verdana"/>
          <w:sz w:val="18"/>
          <w:szCs w:val="18"/>
          <w:lang w:val="nl-NL"/>
        </w:rPr>
        <w:t xml:space="preserve"> van het Verdrag</w:t>
      </w:r>
      <w:r w:rsidRPr="00556990">
        <w:rPr>
          <w:rFonts w:ascii="Verdana" w:hAnsi="Verdana"/>
          <w:sz w:val="18"/>
          <w:szCs w:val="18"/>
          <w:lang w:val="nl-NL"/>
        </w:rPr>
        <w:t xml:space="preserve"> is neergelegd op welke belastingen het Verdrag ziet</w:t>
      </w:r>
      <w:r w:rsidRPr="001C6327" w:rsidR="003D6279">
        <w:rPr>
          <w:rFonts w:ascii="Verdana" w:hAnsi="Verdana"/>
          <w:sz w:val="18"/>
          <w:szCs w:val="18"/>
          <w:lang w:val="nl-NL"/>
        </w:rPr>
        <w:t xml:space="preserve">. </w:t>
      </w:r>
      <w:r w:rsidRPr="001C6327">
        <w:rPr>
          <w:rFonts w:ascii="Verdana" w:hAnsi="Verdana"/>
          <w:sz w:val="18"/>
          <w:szCs w:val="18"/>
          <w:lang w:val="nl-NL"/>
        </w:rPr>
        <w:t xml:space="preserve">Het eerste, tweede en vierde lid van dit artikel zijn in </w:t>
      </w:r>
      <w:r w:rsidRPr="00F578EC">
        <w:rPr>
          <w:rFonts w:ascii="Verdana" w:hAnsi="Verdana"/>
          <w:sz w:val="18"/>
          <w:szCs w:val="18"/>
          <w:lang w:val="nl-NL"/>
        </w:rPr>
        <w:t xml:space="preserve">overeenstemming gebracht met het eerste, </w:t>
      </w:r>
      <w:r w:rsidRPr="00F578EC">
        <w:rPr>
          <w:rFonts w:ascii="Verdana" w:hAnsi="Verdana"/>
          <w:sz w:val="18"/>
          <w:szCs w:val="18"/>
          <w:lang w:val="nl-NL"/>
        </w:rPr>
        <w:lastRenderedPageBreak/>
        <w:t>tweede en vierde lid van artikel 2 van het OESO-modelverdrag</w:t>
      </w:r>
      <w:r w:rsidRPr="00BC6175" w:rsidR="007B0A78">
        <w:rPr>
          <w:rFonts w:ascii="Verdana" w:hAnsi="Verdana"/>
          <w:sz w:val="18"/>
          <w:szCs w:val="18"/>
          <w:lang w:val="nl-NL"/>
        </w:rPr>
        <w:t>, behoudens de daarin opgenomen v</w:t>
      </w:r>
      <w:r w:rsidRPr="00BC6175">
        <w:rPr>
          <w:rFonts w:ascii="Verdana" w:hAnsi="Verdana"/>
          <w:sz w:val="18"/>
          <w:szCs w:val="18"/>
          <w:lang w:val="nl-NL"/>
        </w:rPr>
        <w:t>erwijzingen naar de vermogensbelasting</w:t>
      </w:r>
      <w:r w:rsidRPr="00BC6175" w:rsidR="007C555E">
        <w:rPr>
          <w:rFonts w:ascii="Verdana" w:hAnsi="Verdana"/>
          <w:sz w:val="18"/>
          <w:szCs w:val="18"/>
          <w:lang w:val="nl-NL"/>
        </w:rPr>
        <w:t>.</w:t>
      </w:r>
    </w:p>
    <w:p w:rsidRPr="00F578EC" w:rsidR="00B039C7" w:rsidP="00500251" w:rsidRDefault="00500251" w14:paraId="1C198EC4" w14:textId="77777777">
      <w:pPr>
        <w:rPr>
          <w:rFonts w:ascii="Verdana" w:hAnsi="Verdana"/>
          <w:sz w:val="18"/>
          <w:szCs w:val="18"/>
          <w:lang w:val="nl-NL"/>
        </w:rPr>
      </w:pPr>
      <w:r w:rsidRPr="00BC6175">
        <w:rPr>
          <w:rFonts w:ascii="Verdana" w:hAnsi="Verdana"/>
          <w:sz w:val="18"/>
          <w:szCs w:val="18"/>
          <w:lang w:val="nl-NL"/>
        </w:rPr>
        <w:t>In het derde lid zijn de</w:t>
      </w:r>
      <w:r w:rsidR="002726AE">
        <w:rPr>
          <w:rFonts w:ascii="Verdana" w:hAnsi="Verdana"/>
          <w:sz w:val="18"/>
          <w:szCs w:val="18"/>
          <w:lang w:val="nl-NL"/>
        </w:rPr>
        <w:t xml:space="preserve"> huidige</w:t>
      </w:r>
      <w:r w:rsidRPr="00BC6175">
        <w:rPr>
          <w:rFonts w:ascii="Verdana" w:hAnsi="Verdana"/>
          <w:sz w:val="18"/>
          <w:szCs w:val="18"/>
          <w:lang w:val="nl-NL"/>
        </w:rPr>
        <w:t xml:space="preserve"> belastingen opgesomd waarop </w:t>
      </w:r>
      <w:r w:rsidRPr="00BC6175" w:rsidR="007C555E">
        <w:rPr>
          <w:rFonts w:ascii="Verdana" w:hAnsi="Verdana"/>
          <w:sz w:val="18"/>
          <w:szCs w:val="18"/>
          <w:lang w:val="nl-NL"/>
        </w:rPr>
        <w:t xml:space="preserve">de </w:t>
      </w:r>
      <w:r w:rsidRPr="00BC6175">
        <w:rPr>
          <w:rFonts w:ascii="Verdana" w:hAnsi="Verdana"/>
          <w:sz w:val="18"/>
          <w:szCs w:val="18"/>
          <w:lang w:val="nl-NL"/>
        </w:rPr>
        <w:t>bepalingen van het Verdrag van toe</w:t>
      </w:r>
      <w:r w:rsidRPr="00CF22A8">
        <w:rPr>
          <w:rFonts w:ascii="Verdana" w:hAnsi="Verdana"/>
          <w:sz w:val="18"/>
          <w:szCs w:val="18"/>
          <w:lang w:val="nl-NL"/>
        </w:rPr>
        <w:t xml:space="preserve">passing zijn. </w:t>
      </w:r>
      <w:r w:rsidRPr="00CF22A8" w:rsidR="003B555E">
        <w:rPr>
          <w:rFonts w:ascii="Verdana" w:hAnsi="Verdana"/>
          <w:sz w:val="18"/>
          <w:szCs w:val="18"/>
          <w:lang w:val="nl-NL"/>
        </w:rPr>
        <w:t>V</w:t>
      </w:r>
      <w:r w:rsidRPr="005C1870">
        <w:rPr>
          <w:rFonts w:ascii="Verdana" w:hAnsi="Verdana"/>
          <w:sz w:val="18"/>
          <w:szCs w:val="18"/>
          <w:lang w:val="nl-NL"/>
        </w:rPr>
        <w:t xml:space="preserve">oor Nederland </w:t>
      </w:r>
      <w:r w:rsidRPr="005C1870" w:rsidR="003B555E">
        <w:rPr>
          <w:rFonts w:ascii="Verdana" w:hAnsi="Verdana"/>
          <w:sz w:val="18"/>
          <w:szCs w:val="18"/>
          <w:lang w:val="nl-NL"/>
        </w:rPr>
        <w:t xml:space="preserve">zijn </w:t>
      </w:r>
      <w:r w:rsidRPr="005C1870">
        <w:rPr>
          <w:rFonts w:ascii="Verdana" w:hAnsi="Verdana"/>
          <w:sz w:val="18"/>
          <w:szCs w:val="18"/>
          <w:lang w:val="nl-NL"/>
        </w:rPr>
        <w:t xml:space="preserve">zowel de </w:t>
      </w:r>
      <w:r w:rsidRPr="005C1870" w:rsidR="00F50C89">
        <w:rPr>
          <w:rFonts w:ascii="Verdana" w:hAnsi="Verdana"/>
          <w:sz w:val="18"/>
          <w:szCs w:val="18"/>
          <w:lang w:val="nl-NL"/>
        </w:rPr>
        <w:t xml:space="preserve">(van natuurlijke personen en van lichamen geheven) </w:t>
      </w:r>
      <w:r w:rsidRPr="00916448">
        <w:rPr>
          <w:rFonts w:ascii="Verdana" w:hAnsi="Verdana"/>
          <w:sz w:val="18"/>
          <w:szCs w:val="18"/>
          <w:lang w:val="nl-NL"/>
        </w:rPr>
        <w:t xml:space="preserve">belastingen </w:t>
      </w:r>
      <w:r w:rsidRPr="00916448" w:rsidR="003B555E">
        <w:rPr>
          <w:rFonts w:ascii="Verdana" w:hAnsi="Verdana"/>
          <w:sz w:val="18"/>
          <w:szCs w:val="18"/>
          <w:lang w:val="nl-NL"/>
        </w:rPr>
        <w:t xml:space="preserve">naar het inkomen </w:t>
      </w:r>
      <w:r w:rsidRPr="00916448">
        <w:rPr>
          <w:rFonts w:ascii="Verdana" w:hAnsi="Verdana"/>
          <w:sz w:val="18"/>
          <w:szCs w:val="18"/>
          <w:lang w:val="nl-NL"/>
        </w:rPr>
        <w:t xml:space="preserve">opgenomen die van toepassing zijn in het Europese deel van Nederland als de belastingen </w:t>
      </w:r>
      <w:r w:rsidRPr="00916448" w:rsidR="003B555E">
        <w:rPr>
          <w:rFonts w:ascii="Verdana" w:hAnsi="Verdana"/>
          <w:sz w:val="18"/>
          <w:szCs w:val="18"/>
          <w:lang w:val="nl-NL"/>
        </w:rPr>
        <w:t xml:space="preserve">naar het inkomen </w:t>
      </w:r>
      <w:r w:rsidRPr="00916448">
        <w:rPr>
          <w:rFonts w:ascii="Verdana" w:hAnsi="Verdana"/>
          <w:sz w:val="18"/>
          <w:szCs w:val="18"/>
          <w:lang w:val="nl-NL"/>
        </w:rPr>
        <w:t>die worden geheven van natuu</w:t>
      </w:r>
      <w:r w:rsidRPr="00780A5E">
        <w:rPr>
          <w:rFonts w:ascii="Verdana" w:hAnsi="Verdana"/>
          <w:sz w:val="18"/>
          <w:szCs w:val="18"/>
          <w:lang w:val="nl-NL"/>
        </w:rPr>
        <w:t xml:space="preserve">rlijke personen in het Caribische deel van Nederland. </w:t>
      </w:r>
      <w:r w:rsidRPr="00780A5E" w:rsidR="00B93FD3">
        <w:rPr>
          <w:rFonts w:ascii="Verdana" w:hAnsi="Verdana"/>
          <w:sz w:val="18"/>
          <w:szCs w:val="18"/>
          <w:lang w:val="nl-NL"/>
        </w:rPr>
        <w:t xml:space="preserve">Zoals opgemerkt </w:t>
      </w:r>
      <w:r w:rsidRPr="00780A5E" w:rsidR="008D0EF1">
        <w:rPr>
          <w:rFonts w:ascii="Verdana" w:hAnsi="Verdana"/>
          <w:sz w:val="18"/>
          <w:szCs w:val="18"/>
          <w:lang w:val="nl-NL"/>
        </w:rPr>
        <w:t xml:space="preserve">in onderdeel I.6. van deze </w:t>
      </w:r>
      <w:r w:rsidR="0021450B">
        <w:rPr>
          <w:rFonts w:ascii="Verdana" w:hAnsi="Verdana"/>
          <w:sz w:val="18"/>
          <w:szCs w:val="18"/>
          <w:lang w:val="nl-NL"/>
        </w:rPr>
        <w:t xml:space="preserve">toelichtende </w:t>
      </w:r>
      <w:r w:rsidRPr="00780A5E" w:rsidR="008D0EF1">
        <w:rPr>
          <w:rFonts w:ascii="Verdana" w:hAnsi="Verdana"/>
          <w:sz w:val="18"/>
          <w:szCs w:val="18"/>
          <w:lang w:val="nl-NL"/>
        </w:rPr>
        <w:t xml:space="preserve">nota was Bulgarije niet bereid ook </w:t>
      </w:r>
      <w:r w:rsidR="00F578EC">
        <w:rPr>
          <w:rFonts w:ascii="Verdana" w:hAnsi="Verdana"/>
          <w:sz w:val="18"/>
          <w:szCs w:val="18"/>
          <w:lang w:val="nl-NL"/>
        </w:rPr>
        <w:t>in Caribisch Nederland</w:t>
      </w:r>
      <w:r w:rsidRPr="00F578EC" w:rsidR="008D0EF1">
        <w:rPr>
          <w:rFonts w:ascii="Verdana" w:hAnsi="Verdana"/>
          <w:sz w:val="18"/>
          <w:szCs w:val="18"/>
          <w:lang w:val="nl-NL"/>
        </w:rPr>
        <w:t xml:space="preserve"> gevestigde lichamen onder de reikwijdte van het Verdrag te brengen. </w:t>
      </w:r>
      <w:r w:rsidRPr="00F578EC" w:rsidR="00B93FD3">
        <w:rPr>
          <w:rFonts w:ascii="Verdana" w:hAnsi="Verdana"/>
          <w:sz w:val="18"/>
          <w:szCs w:val="18"/>
          <w:lang w:val="nl-NL"/>
        </w:rPr>
        <w:t xml:space="preserve">Op verzoek van Bulgarije </w:t>
      </w:r>
      <w:r w:rsidRPr="00F578EC" w:rsidR="002F481B">
        <w:rPr>
          <w:rFonts w:ascii="Verdana" w:hAnsi="Verdana"/>
          <w:sz w:val="18"/>
          <w:szCs w:val="18"/>
          <w:lang w:val="nl-NL"/>
        </w:rPr>
        <w:t xml:space="preserve">is dit in </w:t>
      </w:r>
      <w:r w:rsidRPr="00F578EC" w:rsidR="00B93FD3">
        <w:rPr>
          <w:rFonts w:ascii="Verdana" w:hAnsi="Verdana"/>
          <w:sz w:val="18"/>
          <w:szCs w:val="18"/>
          <w:lang w:val="nl-NL"/>
        </w:rPr>
        <w:t xml:space="preserve">artikel III van het Protocol uitdrukkelijk </w:t>
      </w:r>
      <w:r w:rsidRPr="00F578EC" w:rsidR="002F481B">
        <w:rPr>
          <w:rFonts w:ascii="Verdana" w:hAnsi="Verdana"/>
          <w:sz w:val="18"/>
          <w:szCs w:val="18"/>
          <w:lang w:val="nl-NL"/>
        </w:rPr>
        <w:t>vastgelegd</w:t>
      </w:r>
      <w:r w:rsidRPr="00F578EC" w:rsidR="007D42D5">
        <w:rPr>
          <w:rFonts w:ascii="Verdana" w:hAnsi="Verdana"/>
          <w:sz w:val="18"/>
          <w:szCs w:val="18"/>
          <w:lang w:val="nl-NL"/>
        </w:rPr>
        <w:t>.</w:t>
      </w:r>
      <w:r w:rsidRPr="00F578EC" w:rsidR="00B93FD3">
        <w:rPr>
          <w:rFonts w:ascii="Verdana" w:hAnsi="Verdana"/>
          <w:sz w:val="18"/>
          <w:szCs w:val="18"/>
          <w:lang w:val="nl-NL"/>
        </w:rPr>
        <w:t xml:space="preserve"> </w:t>
      </w:r>
    </w:p>
    <w:p w:rsidRPr="00CF22A8" w:rsidR="00772CB6" w:rsidP="00500251" w:rsidRDefault="0017164E" w14:paraId="1B86BB1D" w14:textId="77777777">
      <w:pPr>
        <w:rPr>
          <w:rFonts w:ascii="Verdana" w:hAnsi="Verdana"/>
          <w:sz w:val="18"/>
          <w:szCs w:val="18"/>
          <w:lang w:val="nl-NL"/>
        </w:rPr>
      </w:pPr>
      <w:r w:rsidRPr="00BC6175">
        <w:rPr>
          <w:rFonts w:ascii="Verdana" w:hAnsi="Verdana"/>
          <w:sz w:val="18"/>
          <w:szCs w:val="18"/>
          <w:lang w:val="nl-NL"/>
        </w:rPr>
        <w:t>Bulgarije</w:t>
      </w:r>
      <w:r w:rsidRPr="00BC6175" w:rsidR="00A52F0D">
        <w:rPr>
          <w:rFonts w:ascii="Verdana" w:hAnsi="Verdana"/>
          <w:sz w:val="18"/>
          <w:szCs w:val="18"/>
          <w:lang w:val="nl-NL"/>
        </w:rPr>
        <w:t xml:space="preserve"> kon</w:t>
      </w:r>
      <w:r w:rsidRPr="00BC6175">
        <w:rPr>
          <w:rFonts w:ascii="Verdana" w:hAnsi="Verdana"/>
          <w:sz w:val="18"/>
          <w:szCs w:val="18"/>
          <w:lang w:val="nl-NL"/>
        </w:rPr>
        <w:t xml:space="preserve"> </w:t>
      </w:r>
      <w:r w:rsidRPr="00BC6175" w:rsidR="00500251">
        <w:rPr>
          <w:rFonts w:ascii="Verdana" w:hAnsi="Verdana"/>
          <w:sz w:val="18"/>
          <w:szCs w:val="18"/>
          <w:lang w:val="nl-NL"/>
        </w:rPr>
        <w:t xml:space="preserve">met betrekking tot het Caribische deel van Nederland </w:t>
      </w:r>
      <w:r w:rsidR="00DD3563">
        <w:rPr>
          <w:rFonts w:ascii="Verdana" w:hAnsi="Verdana"/>
          <w:sz w:val="18"/>
          <w:szCs w:val="18"/>
          <w:lang w:val="nl-NL"/>
        </w:rPr>
        <w:t xml:space="preserve">wel </w:t>
      </w:r>
      <w:r w:rsidRPr="00BC6175">
        <w:rPr>
          <w:rFonts w:ascii="Verdana" w:hAnsi="Verdana"/>
          <w:sz w:val="18"/>
          <w:szCs w:val="18"/>
          <w:lang w:val="nl-NL"/>
        </w:rPr>
        <w:t xml:space="preserve">instemmen met het opnemen </w:t>
      </w:r>
      <w:r w:rsidRPr="00BC6175" w:rsidR="00772CB6">
        <w:rPr>
          <w:rFonts w:ascii="Verdana" w:hAnsi="Verdana"/>
          <w:sz w:val="18"/>
          <w:szCs w:val="18"/>
          <w:lang w:val="nl-NL"/>
        </w:rPr>
        <w:t xml:space="preserve">van </w:t>
      </w:r>
      <w:r w:rsidRPr="00BC6175" w:rsidR="00500251">
        <w:rPr>
          <w:rFonts w:ascii="Verdana" w:hAnsi="Verdana"/>
          <w:sz w:val="18"/>
          <w:szCs w:val="18"/>
          <w:lang w:val="nl-NL"/>
        </w:rPr>
        <w:t xml:space="preserve">het staatswinstaandeel dat wordt geheven volgens de in het derde lid, onderdeel a, onder </w:t>
      </w:r>
      <w:r w:rsidR="00DD3563">
        <w:rPr>
          <w:rFonts w:ascii="Verdana" w:hAnsi="Verdana"/>
          <w:sz w:val="18"/>
          <w:szCs w:val="18"/>
          <w:lang w:val="nl-NL"/>
        </w:rPr>
        <w:t xml:space="preserve">de tweede </w:t>
      </w:r>
      <w:r w:rsidRPr="00BC6175" w:rsidR="00500251">
        <w:rPr>
          <w:rFonts w:ascii="Verdana" w:hAnsi="Verdana"/>
          <w:sz w:val="18"/>
          <w:szCs w:val="18"/>
          <w:lang w:val="nl-NL"/>
        </w:rPr>
        <w:t>iii</w:t>
      </w:r>
      <w:r w:rsidRPr="00CF22A8" w:rsidR="00B039C7">
        <w:rPr>
          <w:rFonts w:ascii="Verdana" w:hAnsi="Verdana"/>
          <w:sz w:val="18"/>
          <w:szCs w:val="18"/>
          <w:lang w:val="nl-NL"/>
        </w:rPr>
        <w:t>,</w:t>
      </w:r>
      <w:r w:rsidRPr="00CF22A8" w:rsidR="00500251">
        <w:rPr>
          <w:rFonts w:ascii="Verdana" w:hAnsi="Verdana"/>
          <w:sz w:val="18"/>
          <w:szCs w:val="18"/>
          <w:lang w:val="nl-NL"/>
        </w:rPr>
        <w:t xml:space="preserve"> genoemde regelingen. </w:t>
      </w:r>
      <w:r w:rsidRPr="00CF22A8" w:rsidR="00772CB6">
        <w:rPr>
          <w:rFonts w:ascii="Verdana" w:hAnsi="Verdana"/>
          <w:sz w:val="18"/>
          <w:szCs w:val="18"/>
          <w:lang w:val="nl-NL"/>
        </w:rPr>
        <w:t>Hiermee is verzekerd dat dit staatswinstaandeel in Bulgarije voor verrekening in aanmerking komt met door Bulgarije geheven belasting.</w:t>
      </w:r>
    </w:p>
    <w:p w:rsidRPr="001C6327" w:rsidR="00500251" w:rsidP="00500251" w:rsidRDefault="00500251" w14:paraId="1AC50D12" w14:textId="77777777">
      <w:pPr>
        <w:rPr>
          <w:rFonts w:ascii="Verdana" w:hAnsi="Verdana"/>
          <w:sz w:val="18"/>
          <w:szCs w:val="18"/>
          <w:lang w:val="nl-NL"/>
        </w:rPr>
      </w:pPr>
      <w:r w:rsidRPr="005C1870">
        <w:rPr>
          <w:rFonts w:ascii="Verdana" w:hAnsi="Verdana"/>
          <w:sz w:val="18"/>
          <w:szCs w:val="18"/>
          <w:lang w:val="nl-NL"/>
        </w:rPr>
        <w:t xml:space="preserve">Wat betreft de Bulgaarse belastingen wordt opgemerkt dat de </w:t>
      </w:r>
      <w:r w:rsidR="003F7CD6">
        <w:rPr>
          <w:rFonts w:ascii="Verdana" w:hAnsi="Verdana"/>
          <w:sz w:val="18"/>
          <w:szCs w:val="18"/>
          <w:lang w:val="nl-NL"/>
        </w:rPr>
        <w:t>patentbelasting (</w:t>
      </w:r>
      <w:r w:rsidRPr="005C1870">
        <w:rPr>
          <w:rFonts w:ascii="Verdana" w:hAnsi="Verdana"/>
          <w:i/>
          <w:sz w:val="18"/>
          <w:szCs w:val="18"/>
          <w:lang w:val="nl-NL"/>
        </w:rPr>
        <w:t>patent tax</w:t>
      </w:r>
      <w:r w:rsidR="003F7CD6">
        <w:rPr>
          <w:rFonts w:ascii="Verdana" w:hAnsi="Verdana"/>
          <w:sz w:val="18"/>
          <w:szCs w:val="18"/>
          <w:lang w:val="nl-NL"/>
        </w:rPr>
        <w:t>)</w:t>
      </w:r>
      <w:r w:rsidRPr="005C1870">
        <w:rPr>
          <w:rFonts w:ascii="Verdana" w:hAnsi="Verdana"/>
          <w:sz w:val="18"/>
          <w:szCs w:val="18"/>
          <w:lang w:val="nl-NL"/>
        </w:rPr>
        <w:t xml:space="preserve"> een lokale heffing is die van toepassing is op bedrijven met een omzet van </w:t>
      </w:r>
      <w:r w:rsidRPr="005C1870" w:rsidR="00727E01">
        <w:rPr>
          <w:rFonts w:ascii="Verdana" w:hAnsi="Verdana"/>
          <w:sz w:val="18"/>
          <w:szCs w:val="18"/>
          <w:lang w:val="nl-NL"/>
        </w:rPr>
        <w:t>50</w:t>
      </w:r>
      <w:r w:rsidR="001C6327">
        <w:rPr>
          <w:rFonts w:ascii="Verdana" w:hAnsi="Verdana"/>
          <w:sz w:val="18"/>
          <w:szCs w:val="18"/>
          <w:lang w:val="nl-NL"/>
        </w:rPr>
        <w:t>.</w:t>
      </w:r>
      <w:r w:rsidRPr="001C6327" w:rsidR="00727E01">
        <w:rPr>
          <w:rFonts w:ascii="Verdana" w:hAnsi="Verdana"/>
          <w:sz w:val="18"/>
          <w:szCs w:val="18"/>
          <w:lang w:val="nl-NL"/>
        </w:rPr>
        <w:t xml:space="preserve">000 Bulgaarse </w:t>
      </w:r>
      <w:r w:rsidR="001C6327">
        <w:rPr>
          <w:rFonts w:ascii="Verdana" w:hAnsi="Verdana"/>
          <w:sz w:val="18"/>
          <w:szCs w:val="18"/>
          <w:lang w:val="nl-NL"/>
        </w:rPr>
        <w:t xml:space="preserve">lev </w:t>
      </w:r>
      <w:r w:rsidRPr="001C6327" w:rsidR="00727E01">
        <w:rPr>
          <w:rFonts w:ascii="Verdana" w:hAnsi="Verdana"/>
          <w:sz w:val="18"/>
          <w:szCs w:val="18"/>
          <w:lang w:val="nl-NL"/>
        </w:rPr>
        <w:t xml:space="preserve">(circa </w:t>
      </w:r>
      <w:r w:rsidRPr="001C6327">
        <w:rPr>
          <w:rFonts w:ascii="Verdana" w:hAnsi="Verdana"/>
          <w:sz w:val="18"/>
          <w:szCs w:val="18"/>
          <w:lang w:val="nl-NL"/>
        </w:rPr>
        <w:t>25</w:t>
      </w:r>
      <w:r w:rsidR="001C6327">
        <w:rPr>
          <w:rFonts w:ascii="Verdana" w:hAnsi="Verdana"/>
          <w:sz w:val="18"/>
          <w:szCs w:val="18"/>
          <w:lang w:val="nl-NL"/>
        </w:rPr>
        <w:t>.</w:t>
      </w:r>
      <w:r w:rsidRPr="001C6327">
        <w:rPr>
          <w:rFonts w:ascii="Verdana" w:hAnsi="Verdana"/>
          <w:sz w:val="18"/>
          <w:szCs w:val="18"/>
          <w:lang w:val="nl-NL"/>
        </w:rPr>
        <w:t>000</w:t>
      </w:r>
      <w:r w:rsidR="001C6327">
        <w:rPr>
          <w:rFonts w:ascii="Verdana" w:hAnsi="Verdana"/>
          <w:sz w:val="18"/>
          <w:szCs w:val="18"/>
          <w:lang w:val="nl-NL"/>
        </w:rPr>
        <w:t xml:space="preserve"> euro</w:t>
      </w:r>
      <w:r w:rsidRPr="001C6327" w:rsidR="00727E01">
        <w:rPr>
          <w:rFonts w:ascii="Verdana" w:hAnsi="Verdana"/>
          <w:sz w:val="18"/>
          <w:szCs w:val="18"/>
          <w:lang w:val="nl-NL"/>
        </w:rPr>
        <w:t>)</w:t>
      </w:r>
      <w:r w:rsidRPr="001C6327">
        <w:rPr>
          <w:rFonts w:ascii="Verdana" w:hAnsi="Verdana"/>
          <w:sz w:val="18"/>
          <w:szCs w:val="18"/>
          <w:lang w:val="nl-NL"/>
        </w:rPr>
        <w:t xml:space="preserve"> of minder. Is de omzet van een bedrijf hoger</w:t>
      </w:r>
      <w:r w:rsidR="003F7CD6">
        <w:rPr>
          <w:rFonts w:ascii="Verdana" w:hAnsi="Verdana"/>
          <w:sz w:val="18"/>
          <w:szCs w:val="18"/>
          <w:lang w:val="nl-NL"/>
        </w:rPr>
        <w:t>,</w:t>
      </w:r>
      <w:r w:rsidRPr="001C6327">
        <w:rPr>
          <w:rFonts w:ascii="Verdana" w:hAnsi="Verdana"/>
          <w:sz w:val="18"/>
          <w:szCs w:val="18"/>
          <w:lang w:val="nl-NL"/>
        </w:rPr>
        <w:t xml:space="preserve"> dan is alsnog de inkomstenbelasting van toepassing. Gelet op de samenhang tussen deze twee belastingen, is Nederland ermee akkoord gegaan dat het Verdrag </w:t>
      </w:r>
      <w:r w:rsidRPr="001C6327" w:rsidR="00B039C7">
        <w:rPr>
          <w:rFonts w:ascii="Verdana" w:hAnsi="Verdana"/>
          <w:sz w:val="18"/>
          <w:szCs w:val="18"/>
          <w:lang w:val="nl-NL"/>
        </w:rPr>
        <w:t xml:space="preserve">tevens </w:t>
      </w:r>
      <w:r w:rsidRPr="001C6327">
        <w:rPr>
          <w:rFonts w:ascii="Verdana" w:hAnsi="Verdana"/>
          <w:sz w:val="18"/>
          <w:szCs w:val="18"/>
          <w:lang w:val="nl-NL"/>
        </w:rPr>
        <w:t>ziet op de</w:t>
      </w:r>
      <w:r w:rsidRPr="001C6327" w:rsidR="007C555E">
        <w:rPr>
          <w:rFonts w:ascii="Verdana" w:hAnsi="Verdana"/>
          <w:sz w:val="18"/>
          <w:szCs w:val="18"/>
          <w:lang w:val="nl-NL"/>
        </w:rPr>
        <w:t>ze zogeheten</w:t>
      </w:r>
      <w:r w:rsidRPr="001C6327">
        <w:rPr>
          <w:rFonts w:ascii="Verdana" w:hAnsi="Verdana"/>
          <w:sz w:val="18"/>
          <w:szCs w:val="18"/>
          <w:lang w:val="nl-NL"/>
        </w:rPr>
        <w:t xml:space="preserve"> </w:t>
      </w:r>
      <w:r w:rsidRPr="00950CFC">
        <w:rPr>
          <w:rFonts w:ascii="Verdana" w:hAnsi="Verdana"/>
          <w:i/>
          <w:sz w:val="18"/>
          <w:szCs w:val="18"/>
          <w:lang w:val="nl-NL"/>
        </w:rPr>
        <w:t>patent tax</w:t>
      </w:r>
      <w:r w:rsidRPr="001C6327">
        <w:rPr>
          <w:rFonts w:ascii="Verdana" w:hAnsi="Verdana"/>
          <w:sz w:val="18"/>
          <w:szCs w:val="18"/>
          <w:lang w:val="nl-NL"/>
        </w:rPr>
        <w:t xml:space="preserve">. </w:t>
      </w:r>
    </w:p>
    <w:p w:rsidRPr="00BC6175" w:rsidR="00897566" w:rsidP="00500251" w:rsidRDefault="00500251" w14:paraId="14933499" w14:textId="77777777">
      <w:pPr>
        <w:rPr>
          <w:rFonts w:ascii="Verdana" w:hAnsi="Verdana"/>
          <w:sz w:val="18"/>
          <w:szCs w:val="18"/>
          <w:lang w:val="nl-NL"/>
        </w:rPr>
      </w:pPr>
      <w:r w:rsidRPr="001C6327">
        <w:rPr>
          <w:rFonts w:ascii="Verdana" w:hAnsi="Verdana"/>
          <w:sz w:val="18"/>
          <w:szCs w:val="18"/>
          <w:lang w:val="nl-NL"/>
        </w:rPr>
        <w:t xml:space="preserve">Het vierde lid bepaalt dat het Verdrag ook van toepassing is op alle gelijke of in wezen gelijksoortige belastingen die na de datum van ondertekening van het Verdrag naast of in de plaats van de in het derde lid opgesomde belastingen worden geheven, alsmede op andere toekomstige belastingen waarop het eerste en tweede lid van toepassing zijn. De bevoegde autoriteiten van de </w:t>
      </w:r>
      <w:r w:rsidR="0021450B">
        <w:rPr>
          <w:rFonts w:ascii="Verdana" w:hAnsi="Verdana"/>
          <w:sz w:val="18"/>
          <w:szCs w:val="18"/>
          <w:lang w:val="nl-NL"/>
        </w:rPr>
        <w:t>verdragsluitende staten</w:t>
      </w:r>
      <w:r w:rsidRPr="00F578EC" w:rsidR="008B5401">
        <w:rPr>
          <w:rFonts w:ascii="Verdana" w:hAnsi="Verdana"/>
          <w:sz w:val="18"/>
          <w:szCs w:val="18"/>
          <w:lang w:val="nl-NL"/>
        </w:rPr>
        <w:t xml:space="preserve"> </w:t>
      </w:r>
      <w:r w:rsidRPr="00F578EC">
        <w:rPr>
          <w:rFonts w:ascii="Verdana" w:hAnsi="Verdana"/>
          <w:sz w:val="18"/>
          <w:szCs w:val="18"/>
          <w:lang w:val="nl-NL"/>
        </w:rPr>
        <w:t xml:space="preserve">zijn gehouden om elkaar te informeren over alle wezenlijke wijzigingen in hun nationale belastingwetgeving. </w:t>
      </w:r>
    </w:p>
    <w:p w:rsidRPr="005C1870" w:rsidR="00B039C7" w:rsidP="00500251" w:rsidRDefault="00B039C7" w14:paraId="6E5588E0" w14:textId="77777777">
      <w:pPr>
        <w:ind w:firstLine="0"/>
        <w:rPr>
          <w:rFonts w:ascii="Verdana" w:hAnsi="Verdana"/>
          <w:b/>
          <w:bCs/>
          <w:iCs/>
          <w:sz w:val="18"/>
          <w:szCs w:val="18"/>
          <w:lang w:val="nl-NL"/>
        </w:rPr>
      </w:pPr>
    </w:p>
    <w:p w:rsidRPr="001C6327" w:rsidR="006811CC" w:rsidP="006811CC" w:rsidRDefault="00500251" w14:paraId="6270FB86" w14:textId="77777777">
      <w:pPr>
        <w:ind w:firstLine="0"/>
        <w:rPr>
          <w:rFonts w:ascii="Verdana" w:hAnsi="Verdana"/>
          <w:i/>
          <w:sz w:val="18"/>
          <w:szCs w:val="18"/>
          <w:lang w:val="nl-NL"/>
        </w:rPr>
      </w:pPr>
      <w:r w:rsidRPr="00556990">
        <w:rPr>
          <w:rFonts w:ascii="Verdana" w:hAnsi="Verdana"/>
          <w:i/>
          <w:sz w:val="18"/>
          <w:szCs w:val="18"/>
          <w:lang w:val="nl-NL"/>
        </w:rPr>
        <w:t>II.3. Algemene begripsbepalingen (artikel 3</w:t>
      </w:r>
      <w:r w:rsidRPr="00556990" w:rsidR="00727E01">
        <w:rPr>
          <w:rFonts w:ascii="Verdana" w:hAnsi="Verdana"/>
          <w:i/>
          <w:sz w:val="18"/>
          <w:szCs w:val="18"/>
          <w:lang w:val="nl-NL"/>
        </w:rPr>
        <w:t xml:space="preserve"> en artikel I van het Protocol</w:t>
      </w:r>
      <w:r w:rsidRPr="00556990">
        <w:rPr>
          <w:rFonts w:ascii="Verdana" w:hAnsi="Verdana"/>
          <w:i/>
          <w:sz w:val="18"/>
          <w:szCs w:val="18"/>
          <w:lang w:val="nl-NL"/>
        </w:rPr>
        <w:t xml:space="preserve">) </w:t>
      </w:r>
      <w:r w:rsidRPr="001C6327" w:rsidR="006811CC">
        <w:rPr>
          <w:rFonts w:ascii="Verdana" w:hAnsi="Verdana"/>
          <w:i/>
          <w:sz w:val="18"/>
          <w:szCs w:val="18"/>
          <w:lang w:val="nl-NL"/>
        </w:rPr>
        <w:br/>
      </w:r>
    </w:p>
    <w:p w:rsidRPr="00F578EC" w:rsidR="00C114EC" w:rsidP="00500251" w:rsidRDefault="00500251" w14:paraId="236E3127" w14:textId="77777777">
      <w:pPr>
        <w:rPr>
          <w:rFonts w:ascii="Verdana" w:hAnsi="Verdana"/>
          <w:sz w:val="18"/>
          <w:szCs w:val="18"/>
          <w:lang w:val="nl-NL"/>
        </w:rPr>
      </w:pPr>
      <w:r w:rsidRPr="00F578EC">
        <w:rPr>
          <w:rFonts w:ascii="Verdana" w:hAnsi="Verdana"/>
          <w:sz w:val="18"/>
          <w:szCs w:val="18"/>
          <w:lang w:val="nl-NL"/>
        </w:rPr>
        <w:t>Artikel 3</w:t>
      </w:r>
      <w:r w:rsidRPr="00F578EC" w:rsidR="0053260E">
        <w:rPr>
          <w:rFonts w:ascii="Verdana" w:hAnsi="Verdana"/>
          <w:sz w:val="18"/>
          <w:szCs w:val="18"/>
          <w:lang w:val="nl-NL"/>
        </w:rPr>
        <w:t xml:space="preserve"> van het Verdrag</w:t>
      </w:r>
      <w:r w:rsidRPr="00F578EC">
        <w:rPr>
          <w:rFonts w:ascii="Verdana" w:hAnsi="Verdana"/>
          <w:sz w:val="18"/>
          <w:szCs w:val="18"/>
          <w:lang w:val="nl-NL"/>
        </w:rPr>
        <w:t xml:space="preserve"> bevat definities voor uitdrukkingen die in het Verdrag voorkomen.</w:t>
      </w:r>
    </w:p>
    <w:p w:rsidRPr="00BC6175" w:rsidR="00500251" w:rsidP="006C286E" w:rsidRDefault="00500251" w14:paraId="5560671B" w14:textId="77777777">
      <w:pPr>
        <w:ind w:firstLine="0"/>
        <w:rPr>
          <w:rFonts w:ascii="Verdana" w:hAnsi="Verdana"/>
          <w:sz w:val="18"/>
          <w:szCs w:val="18"/>
          <w:lang w:val="nl-NL"/>
        </w:rPr>
      </w:pPr>
      <w:r w:rsidRPr="00BC6175">
        <w:rPr>
          <w:rFonts w:ascii="Verdana" w:hAnsi="Verdana"/>
          <w:sz w:val="18"/>
          <w:szCs w:val="18"/>
          <w:lang w:val="nl-NL"/>
        </w:rPr>
        <w:t xml:space="preserve">Volgens het eerste lid, onderdeel a, wordt onder de uitdrukkingen ‘een </w:t>
      </w:r>
      <w:r w:rsidR="0021450B">
        <w:rPr>
          <w:rFonts w:ascii="Verdana" w:hAnsi="Verdana"/>
          <w:sz w:val="18"/>
          <w:szCs w:val="18"/>
          <w:lang w:val="nl-NL"/>
        </w:rPr>
        <w:t>verdragsluitende staat</w:t>
      </w:r>
      <w:r w:rsidRPr="00BC6175">
        <w:rPr>
          <w:rFonts w:ascii="Verdana" w:hAnsi="Verdana"/>
          <w:sz w:val="18"/>
          <w:szCs w:val="18"/>
          <w:lang w:val="nl-NL"/>
        </w:rPr>
        <w:t xml:space="preserve">’ en ‘de andere </w:t>
      </w:r>
      <w:r w:rsidR="0021450B">
        <w:rPr>
          <w:rFonts w:ascii="Verdana" w:hAnsi="Verdana"/>
          <w:sz w:val="18"/>
          <w:szCs w:val="18"/>
          <w:lang w:val="nl-NL"/>
        </w:rPr>
        <w:t>verdragsluitende staat</w:t>
      </w:r>
      <w:r w:rsidRPr="00BC6175">
        <w:rPr>
          <w:rFonts w:ascii="Verdana" w:hAnsi="Verdana"/>
          <w:sz w:val="18"/>
          <w:szCs w:val="18"/>
          <w:lang w:val="nl-NL"/>
        </w:rPr>
        <w:t xml:space="preserve">’ afhankelijk van de context Nederland of Bulgarije verstaan. Vervolgens worden in het eerste lid, onderdelen b en c, de uitdrukkingen ‘Nederland’ en ‘Bulgarije’ gedefinieerd. Voor de uitdrukking ‘Nederland’ is van belang dat daaronder wordt verstaan zowel het Europese deel als het Caribische deel van Nederland. </w:t>
      </w:r>
    </w:p>
    <w:p w:rsidRPr="005C1870" w:rsidR="00500251" w:rsidP="00500251" w:rsidRDefault="00500251" w14:paraId="6E604AA7" w14:textId="77777777">
      <w:pPr>
        <w:rPr>
          <w:rFonts w:ascii="Verdana" w:hAnsi="Verdana"/>
          <w:sz w:val="18"/>
          <w:szCs w:val="18"/>
          <w:lang w:val="nl-NL"/>
        </w:rPr>
      </w:pPr>
      <w:r w:rsidRPr="00CF22A8">
        <w:rPr>
          <w:rFonts w:ascii="Verdana" w:hAnsi="Verdana"/>
          <w:sz w:val="18"/>
          <w:szCs w:val="18"/>
          <w:lang w:val="nl-NL"/>
        </w:rPr>
        <w:t xml:space="preserve">Voor de algemene uitdrukkingen van het eerste lid, onderdelen d tot en met g en i, </w:t>
      </w:r>
      <w:r w:rsidRPr="005C1870" w:rsidR="001931B6">
        <w:rPr>
          <w:rFonts w:ascii="Verdana" w:hAnsi="Verdana"/>
          <w:sz w:val="18"/>
          <w:szCs w:val="18"/>
          <w:lang w:val="nl-NL"/>
        </w:rPr>
        <w:t xml:space="preserve">is aangesloten bij </w:t>
      </w:r>
      <w:r w:rsidRPr="005C1870">
        <w:rPr>
          <w:rFonts w:ascii="Verdana" w:hAnsi="Verdana"/>
          <w:sz w:val="18"/>
          <w:szCs w:val="18"/>
          <w:lang w:val="nl-NL"/>
        </w:rPr>
        <w:t>de</w:t>
      </w:r>
      <w:r w:rsidRPr="005C1870" w:rsidR="008C113B">
        <w:rPr>
          <w:rFonts w:ascii="Verdana" w:hAnsi="Verdana"/>
          <w:sz w:val="18"/>
          <w:szCs w:val="18"/>
          <w:lang w:val="nl-NL"/>
        </w:rPr>
        <w:t xml:space="preserve"> </w:t>
      </w:r>
      <w:r w:rsidRPr="005C1870">
        <w:rPr>
          <w:rFonts w:ascii="Verdana" w:hAnsi="Verdana"/>
          <w:sz w:val="18"/>
          <w:szCs w:val="18"/>
          <w:lang w:val="nl-NL"/>
        </w:rPr>
        <w:t xml:space="preserve">definities </w:t>
      </w:r>
      <w:r w:rsidRPr="005C1870" w:rsidR="001931B6">
        <w:rPr>
          <w:rFonts w:ascii="Verdana" w:hAnsi="Verdana"/>
          <w:sz w:val="18"/>
          <w:szCs w:val="18"/>
          <w:lang w:val="nl-NL"/>
        </w:rPr>
        <w:t xml:space="preserve">die zijn opgenomen </w:t>
      </w:r>
      <w:r w:rsidRPr="005C1870">
        <w:rPr>
          <w:rFonts w:ascii="Verdana" w:hAnsi="Verdana"/>
          <w:sz w:val="18"/>
          <w:szCs w:val="18"/>
          <w:lang w:val="nl-NL"/>
        </w:rPr>
        <w:t xml:space="preserve">in artikel 3, eerste lid, van het OESO-modelverdrag. </w:t>
      </w:r>
    </w:p>
    <w:p w:rsidRPr="003103E7" w:rsidR="00500251" w:rsidP="00500251" w:rsidRDefault="002726AE" w14:paraId="7F1CCC52" w14:textId="77777777">
      <w:pPr>
        <w:rPr>
          <w:rFonts w:ascii="Verdana" w:hAnsi="Verdana"/>
          <w:sz w:val="18"/>
          <w:szCs w:val="18"/>
          <w:lang w:val="nl-NL"/>
        </w:rPr>
      </w:pPr>
      <w:r>
        <w:rPr>
          <w:rFonts w:ascii="Verdana" w:hAnsi="Verdana"/>
          <w:sz w:val="18"/>
          <w:szCs w:val="18"/>
          <w:lang w:val="nl-NL"/>
        </w:rPr>
        <w:t xml:space="preserve">In afwijking van het OESO-modelverdrag ziet de </w:t>
      </w:r>
      <w:r w:rsidRPr="00916448" w:rsidR="00500251">
        <w:rPr>
          <w:rFonts w:ascii="Verdana" w:hAnsi="Verdana"/>
          <w:sz w:val="18"/>
          <w:szCs w:val="18"/>
          <w:lang w:val="nl-NL"/>
        </w:rPr>
        <w:t xml:space="preserve">omschrijving van de uitdrukking ‘internationaal verkeer’ in het eerste lid, onderdeel h, </w:t>
      </w:r>
      <w:r>
        <w:rPr>
          <w:rFonts w:ascii="Verdana" w:hAnsi="Verdana"/>
          <w:sz w:val="18"/>
          <w:szCs w:val="18"/>
          <w:lang w:val="nl-NL"/>
        </w:rPr>
        <w:t>ook op transport over de weg, zoals ook het geval is in het Verdrag van 1990.</w:t>
      </w:r>
      <w:r w:rsidRPr="002726AE">
        <w:rPr>
          <w:rFonts w:ascii="Verdana" w:hAnsi="Verdana"/>
          <w:sz w:val="18"/>
          <w:szCs w:val="18"/>
          <w:lang w:val="nl-NL"/>
        </w:rPr>
        <w:t xml:space="preserve"> </w:t>
      </w:r>
      <w:r w:rsidRPr="00B6639D">
        <w:rPr>
          <w:rFonts w:ascii="Verdana" w:hAnsi="Verdana"/>
          <w:sz w:val="18"/>
          <w:szCs w:val="18"/>
          <w:lang w:val="nl-NL"/>
        </w:rPr>
        <w:t xml:space="preserve">Door hiervoor de term </w:t>
      </w:r>
      <w:r w:rsidRPr="006C1373">
        <w:rPr>
          <w:rFonts w:ascii="Verdana" w:hAnsi="Verdana"/>
          <w:sz w:val="18"/>
          <w:szCs w:val="18"/>
          <w:lang w:val="nl-NL"/>
        </w:rPr>
        <w:t>‘wegtransportvoertuig’</w:t>
      </w:r>
      <w:r w:rsidRPr="00DD3563">
        <w:rPr>
          <w:rFonts w:ascii="Verdana" w:hAnsi="Verdana"/>
          <w:sz w:val="18"/>
          <w:szCs w:val="18"/>
          <w:lang w:val="nl-NL"/>
        </w:rPr>
        <w:t xml:space="preserve"> (</w:t>
      </w:r>
      <w:r w:rsidRPr="00DD3563">
        <w:rPr>
          <w:rFonts w:ascii="Verdana" w:hAnsi="Verdana"/>
          <w:i/>
          <w:sz w:val="18"/>
          <w:szCs w:val="18"/>
          <w:lang w:val="nl-NL"/>
        </w:rPr>
        <w:t>road transport vehicle</w:t>
      </w:r>
      <w:r w:rsidRPr="00DD3563">
        <w:rPr>
          <w:rFonts w:ascii="Verdana" w:hAnsi="Verdana"/>
          <w:sz w:val="18"/>
          <w:szCs w:val="18"/>
          <w:lang w:val="nl-NL"/>
        </w:rPr>
        <w:t xml:space="preserve">) in plaats van ‘wegvoertuig’ </w:t>
      </w:r>
      <w:r w:rsidRPr="00E01754">
        <w:rPr>
          <w:rFonts w:ascii="Verdana" w:hAnsi="Verdana"/>
          <w:sz w:val="18"/>
          <w:szCs w:val="18"/>
          <w:lang w:val="nl-NL"/>
        </w:rPr>
        <w:t>(</w:t>
      </w:r>
      <w:r w:rsidRPr="00E01754">
        <w:rPr>
          <w:rFonts w:ascii="Verdana" w:hAnsi="Verdana"/>
          <w:i/>
          <w:sz w:val="18"/>
          <w:szCs w:val="18"/>
          <w:lang w:val="nl-NL"/>
        </w:rPr>
        <w:t>road veh</w:t>
      </w:r>
      <w:r w:rsidRPr="003103E7">
        <w:rPr>
          <w:rFonts w:ascii="Verdana" w:hAnsi="Verdana"/>
          <w:i/>
          <w:sz w:val="18"/>
          <w:szCs w:val="18"/>
          <w:lang w:val="nl-NL"/>
        </w:rPr>
        <w:t>icle</w:t>
      </w:r>
      <w:r w:rsidRPr="003103E7">
        <w:rPr>
          <w:rFonts w:ascii="Verdana" w:hAnsi="Verdana"/>
          <w:sz w:val="18"/>
          <w:szCs w:val="18"/>
          <w:lang w:val="nl-NL"/>
        </w:rPr>
        <w:t xml:space="preserve">) te gebruiken is ten opzichte van het Verdrag van 1990 verduidelijkt dat het gaat om voertuigen bedoeld </w:t>
      </w:r>
      <w:r w:rsidR="00107C12">
        <w:rPr>
          <w:rFonts w:ascii="Verdana" w:hAnsi="Verdana"/>
          <w:sz w:val="18"/>
          <w:szCs w:val="18"/>
          <w:lang w:val="nl-NL"/>
        </w:rPr>
        <w:t>voor het transport over de weg. Anders dan in het Verdrag 1990</w:t>
      </w:r>
      <w:r w:rsidRPr="000819E4" w:rsidR="00653676">
        <w:rPr>
          <w:rFonts w:ascii="Verdana" w:hAnsi="Verdana"/>
          <w:sz w:val="18"/>
          <w:szCs w:val="18"/>
          <w:lang w:val="nl-NL"/>
        </w:rPr>
        <w:t xml:space="preserve"> wordt uitgegaan van </w:t>
      </w:r>
      <w:r w:rsidRPr="0021450B" w:rsidR="00461F3E">
        <w:rPr>
          <w:rFonts w:ascii="Verdana" w:hAnsi="Verdana"/>
          <w:sz w:val="18"/>
          <w:szCs w:val="18"/>
          <w:lang w:val="nl-NL"/>
        </w:rPr>
        <w:t xml:space="preserve">het criterium van inwonerschap van een internationale </w:t>
      </w:r>
      <w:r w:rsidRPr="0021450B" w:rsidR="00461F3E">
        <w:rPr>
          <w:rFonts w:ascii="Verdana" w:hAnsi="Verdana"/>
          <w:sz w:val="18"/>
          <w:szCs w:val="18"/>
          <w:lang w:val="nl-NL"/>
        </w:rPr>
        <w:lastRenderedPageBreak/>
        <w:t>vervoersonderneming en niet</w:t>
      </w:r>
      <w:r w:rsidR="00107C12">
        <w:rPr>
          <w:rFonts w:ascii="Verdana" w:hAnsi="Verdana"/>
          <w:sz w:val="18"/>
          <w:szCs w:val="18"/>
          <w:lang w:val="nl-NL"/>
        </w:rPr>
        <w:t xml:space="preserve"> van</w:t>
      </w:r>
      <w:r w:rsidRPr="0021450B" w:rsidR="00461F3E">
        <w:rPr>
          <w:rFonts w:ascii="Verdana" w:hAnsi="Verdana"/>
          <w:sz w:val="18"/>
          <w:szCs w:val="18"/>
          <w:lang w:val="nl-NL"/>
        </w:rPr>
        <w:t xml:space="preserve"> het criterium van </w:t>
      </w:r>
      <w:r w:rsidRPr="0021450B" w:rsidR="00500251">
        <w:rPr>
          <w:rFonts w:ascii="Verdana" w:hAnsi="Verdana"/>
          <w:sz w:val="18"/>
          <w:szCs w:val="18"/>
          <w:lang w:val="nl-NL"/>
        </w:rPr>
        <w:t xml:space="preserve">de plaats waar de werkelijke leiding van </w:t>
      </w:r>
      <w:r w:rsidRPr="0021450B" w:rsidR="00461F3E">
        <w:rPr>
          <w:rFonts w:ascii="Verdana" w:hAnsi="Verdana"/>
          <w:sz w:val="18"/>
          <w:szCs w:val="18"/>
          <w:lang w:val="nl-NL"/>
        </w:rPr>
        <w:t>een internationale vervoers</w:t>
      </w:r>
      <w:r w:rsidRPr="0021450B" w:rsidR="00500251">
        <w:rPr>
          <w:rFonts w:ascii="Verdana" w:hAnsi="Verdana"/>
          <w:sz w:val="18"/>
          <w:szCs w:val="18"/>
          <w:lang w:val="nl-NL"/>
        </w:rPr>
        <w:t xml:space="preserve">onderneming is gelegen. </w:t>
      </w:r>
    </w:p>
    <w:p w:rsidRPr="00606D22" w:rsidR="00C71472" w:rsidP="00EE6610" w:rsidRDefault="00500251" w14:paraId="0ED7561C" w14:textId="77777777">
      <w:pPr>
        <w:rPr>
          <w:rFonts w:ascii="Verdana" w:hAnsi="Verdana"/>
          <w:sz w:val="18"/>
          <w:szCs w:val="18"/>
          <w:lang w:val="nl-NL"/>
        </w:rPr>
      </w:pPr>
      <w:r w:rsidRPr="00CB4452">
        <w:rPr>
          <w:rFonts w:ascii="Verdana" w:hAnsi="Verdana"/>
          <w:sz w:val="18"/>
          <w:szCs w:val="18"/>
          <w:lang w:val="nl-NL"/>
        </w:rPr>
        <w:t xml:space="preserve">Verder </w:t>
      </w:r>
      <w:r w:rsidRPr="00CB4452" w:rsidR="00F62271">
        <w:rPr>
          <w:rFonts w:ascii="Verdana" w:hAnsi="Verdana"/>
          <w:sz w:val="18"/>
          <w:szCs w:val="18"/>
          <w:lang w:val="nl-NL"/>
        </w:rPr>
        <w:t xml:space="preserve">is </w:t>
      </w:r>
      <w:r w:rsidRPr="006515E9">
        <w:rPr>
          <w:rFonts w:ascii="Verdana" w:hAnsi="Verdana"/>
          <w:sz w:val="18"/>
          <w:szCs w:val="18"/>
          <w:lang w:val="nl-NL"/>
        </w:rPr>
        <w:t>ten opzichte van het Verdrag</w:t>
      </w:r>
      <w:r w:rsidRPr="006515E9" w:rsidR="0006094E">
        <w:rPr>
          <w:rFonts w:ascii="Verdana" w:hAnsi="Verdana"/>
          <w:sz w:val="18"/>
          <w:szCs w:val="18"/>
          <w:lang w:val="nl-NL"/>
        </w:rPr>
        <w:t xml:space="preserve"> van</w:t>
      </w:r>
      <w:r w:rsidRPr="006515E9">
        <w:rPr>
          <w:rFonts w:ascii="Verdana" w:hAnsi="Verdana"/>
          <w:sz w:val="18"/>
          <w:szCs w:val="18"/>
          <w:lang w:val="nl-NL"/>
        </w:rPr>
        <w:t xml:space="preserve"> 1990 een aantal uitdrukkingen toegevoegd aan het eerste lid. Het betref</w:t>
      </w:r>
      <w:r w:rsidRPr="0018301C">
        <w:rPr>
          <w:rFonts w:ascii="Verdana" w:hAnsi="Verdana"/>
          <w:sz w:val="18"/>
          <w:szCs w:val="18"/>
          <w:lang w:val="nl-NL"/>
        </w:rPr>
        <w:t xml:space="preserve">t de uitdrukkingen ‘onderdaan’, ‘bedrijfsuitoefening’, ‘pensioenfonds’ en ‘erkende effectenbeurs’. </w:t>
      </w:r>
      <w:r w:rsidRPr="003F7CD6">
        <w:rPr>
          <w:rFonts w:ascii="Verdana" w:hAnsi="Verdana"/>
          <w:sz w:val="18"/>
          <w:szCs w:val="18"/>
          <w:lang w:val="nl-NL"/>
        </w:rPr>
        <w:t xml:space="preserve">De uitdrukking ‘onderdaan’ was in het Verdrag </w:t>
      </w:r>
      <w:r w:rsidRPr="003F7CD6" w:rsidR="0006094E">
        <w:rPr>
          <w:rFonts w:ascii="Verdana" w:hAnsi="Verdana"/>
          <w:sz w:val="18"/>
          <w:szCs w:val="18"/>
          <w:lang w:val="nl-NL"/>
        </w:rPr>
        <w:t xml:space="preserve">van </w:t>
      </w:r>
      <w:r w:rsidRPr="003F7CD6">
        <w:rPr>
          <w:rFonts w:ascii="Verdana" w:hAnsi="Verdana"/>
          <w:sz w:val="18"/>
          <w:szCs w:val="18"/>
          <w:lang w:val="nl-NL"/>
        </w:rPr>
        <w:t xml:space="preserve">1990 opgenomen in artikel 24 </w:t>
      </w:r>
      <w:r w:rsidRPr="00E01754" w:rsidR="00D94C91">
        <w:rPr>
          <w:rFonts w:ascii="Verdana" w:hAnsi="Verdana"/>
          <w:sz w:val="18"/>
          <w:szCs w:val="18"/>
          <w:lang w:val="nl-NL"/>
        </w:rPr>
        <w:t>(</w:t>
      </w:r>
      <w:r w:rsidRPr="00E01754">
        <w:rPr>
          <w:rFonts w:ascii="Verdana" w:hAnsi="Verdana"/>
          <w:sz w:val="18"/>
          <w:szCs w:val="18"/>
          <w:lang w:val="nl-NL"/>
        </w:rPr>
        <w:t>non-discriminatie</w:t>
      </w:r>
      <w:r w:rsidRPr="003103E7" w:rsidR="00D94C91">
        <w:rPr>
          <w:rFonts w:ascii="Verdana" w:hAnsi="Verdana"/>
          <w:sz w:val="18"/>
          <w:szCs w:val="18"/>
          <w:lang w:val="nl-NL"/>
        </w:rPr>
        <w:t>)</w:t>
      </w:r>
      <w:r w:rsidRPr="003103E7">
        <w:rPr>
          <w:rFonts w:ascii="Verdana" w:hAnsi="Verdana"/>
          <w:sz w:val="18"/>
          <w:szCs w:val="18"/>
          <w:lang w:val="nl-NL"/>
        </w:rPr>
        <w:t xml:space="preserve"> en </w:t>
      </w:r>
      <w:r w:rsidRPr="003103E7" w:rsidR="00F62271">
        <w:rPr>
          <w:rFonts w:ascii="Verdana" w:hAnsi="Verdana"/>
          <w:sz w:val="18"/>
          <w:szCs w:val="18"/>
          <w:lang w:val="nl-NL"/>
        </w:rPr>
        <w:t xml:space="preserve">is </w:t>
      </w:r>
      <w:r w:rsidRPr="003103E7">
        <w:rPr>
          <w:rFonts w:ascii="Verdana" w:hAnsi="Verdana"/>
          <w:sz w:val="18"/>
          <w:szCs w:val="18"/>
          <w:lang w:val="nl-NL"/>
        </w:rPr>
        <w:t xml:space="preserve">nu opgenomen in </w:t>
      </w:r>
      <w:r w:rsidRPr="003103E7" w:rsidR="00D91694">
        <w:rPr>
          <w:rFonts w:ascii="Verdana" w:hAnsi="Verdana"/>
          <w:sz w:val="18"/>
          <w:szCs w:val="18"/>
          <w:lang w:val="nl-NL"/>
        </w:rPr>
        <w:t xml:space="preserve">het </w:t>
      </w:r>
      <w:r w:rsidRPr="003103E7">
        <w:rPr>
          <w:rFonts w:ascii="Verdana" w:hAnsi="Verdana"/>
          <w:sz w:val="18"/>
          <w:szCs w:val="18"/>
          <w:lang w:val="nl-NL"/>
        </w:rPr>
        <w:t>eerste lid, onderdeel j.</w:t>
      </w:r>
      <w:r w:rsidRPr="003103E7" w:rsidR="003567B4">
        <w:rPr>
          <w:rFonts w:ascii="Verdana" w:hAnsi="Verdana"/>
          <w:sz w:val="18"/>
          <w:szCs w:val="18"/>
          <w:lang w:val="nl-NL"/>
        </w:rPr>
        <w:t xml:space="preserve"> </w:t>
      </w:r>
      <w:r w:rsidRPr="00CB4452">
        <w:rPr>
          <w:rFonts w:ascii="Verdana" w:hAnsi="Verdana"/>
          <w:sz w:val="18"/>
          <w:szCs w:val="18"/>
          <w:lang w:val="nl-NL"/>
        </w:rPr>
        <w:t>De omschrijving van de uitdrukking ‘bedrijfs</w:t>
      </w:r>
      <w:r w:rsidRPr="00CB4452" w:rsidR="0053369E">
        <w:rPr>
          <w:rFonts w:ascii="Verdana" w:hAnsi="Verdana"/>
          <w:sz w:val="18"/>
          <w:szCs w:val="18"/>
          <w:lang w:val="nl-NL"/>
        </w:rPr>
        <w:t>uit</w:t>
      </w:r>
      <w:r w:rsidRPr="00CB4452">
        <w:rPr>
          <w:rFonts w:ascii="Verdana" w:hAnsi="Verdana"/>
          <w:sz w:val="18"/>
          <w:szCs w:val="18"/>
          <w:lang w:val="nl-NL"/>
        </w:rPr>
        <w:t xml:space="preserve">oefening’ in het eerste lid, onderdeel k, komt overeen met de omschrijving in het OESO-modelverdrag. De toevoeging van deze uitdrukking </w:t>
      </w:r>
      <w:r w:rsidRPr="001F1D4E" w:rsidR="00D94C91">
        <w:rPr>
          <w:rFonts w:ascii="Verdana" w:hAnsi="Verdana"/>
          <w:sz w:val="18"/>
          <w:szCs w:val="18"/>
          <w:lang w:val="nl-NL"/>
        </w:rPr>
        <w:t>sluit aan bij het</w:t>
      </w:r>
      <w:r w:rsidRPr="00964525" w:rsidR="00E63171">
        <w:rPr>
          <w:rFonts w:ascii="Verdana" w:hAnsi="Verdana"/>
          <w:sz w:val="18"/>
          <w:szCs w:val="18"/>
          <w:lang w:val="nl-NL"/>
        </w:rPr>
        <w:t xml:space="preserve"> feit dat in het Verdrag </w:t>
      </w:r>
      <w:r w:rsidRPr="00964525">
        <w:rPr>
          <w:rFonts w:ascii="Verdana" w:hAnsi="Verdana"/>
          <w:sz w:val="18"/>
          <w:szCs w:val="18"/>
          <w:lang w:val="nl-NL"/>
        </w:rPr>
        <w:t>geen afzonderlijke bepaling is opgenom</w:t>
      </w:r>
      <w:r w:rsidRPr="007024F8">
        <w:rPr>
          <w:rFonts w:ascii="Verdana" w:hAnsi="Verdana"/>
          <w:sz w:val="18"/>
          <w:szCs w:val="18"/>
          <w:lang w:val="nl-NL"/>
        </w:rPr>
        <w:t>en voor zelfstandige arbeid</w:t>
      </w:r>
      <w:r w:rsidRPr="007024F8" w:rsidR="00E63171">
        <w:rPr>
          <w:rFonts w:ascii="Verdana" w:hAnsi="Verdana"/>
          <w:sz w:val="18"/>
          <w:szCs w:val="18"/>
          <w:lang w:val="nl-NL"/>
        </w:rPr>
        <w:t xml:space="preserve">, zoals dat in het Verdrag </w:t>
      </w:r>
      <w:r w:rsidRPr="00556990" w:rsidR="0006094E">
        <w:rPr>
          <w:rFonts w:ascii="Verdana" w:hAnsi="Verdana"/>
          <w:sz w:val="18"/>
          <w:szCs w:val="18"/>
          <w:lang w:val="nl-NL"/>
        </w:rPr>
        <w:t xml:space="preserve">van </w:t>
      </w:r>
      <w:r w:rsidRPr="00556990" w:rsidR="00E63171">
        <w:rPr>
          <w:rFonts w:ascii="Verdana" w:hAnsi="Verdana"/>
          <w:sz w:val="18"/>
          <w:szCs w:val="18"/>
          <w:lang w:val="nl-NL"/>
        </w:rPr>
        <w:t xml:space="preserve">1990 (artikel </w:t>
      </w:r>
      <w:r w:rsidRPr="00556990" w:rsidR="008978F7">
        <w:rPr>
          <w:rFonts w:ascii="Verdana" w:hAnsi="Verdana"/>
          <w:sz w:val="18"/>
          <w:szCs w:val="18"/>
          <w:lang w:val="nl-NL"/>
        </w:rPr>
        <w:t>14) wel het geval is</w:t>
      </w:r>
      <w:r w:rsidRPr="00556990">
        <w:rPr>
          <w:rFonts w:ascii="Verdana" w:hAnsi="Verdana"/>
          <w:sz w:val="18"/>
          <w:szCs w:val="18"/>
          <w:lang w:val="nl-NL"/>
        </w:rPr>
        <w:t xml:space="preserve">. </w:t>
      </w:r>
      <w:r w:rsidRPr="00556990" w:rsidR="008978F7">
        <w:rPr>
          <w:rFonts w:ascii="Verdana" w:hAnsi="Verdana"/>
          <w:sz w:val="18"/>
          <w:szCs w:val="18"/>
          <w:lang w:val="nl-NL"/>
        </w:rPr>
        <w:t xml:space="preserve">Het Verdrag sluit op dit punt aan bij </w:t>
      </w:r>
      <w:r w:rsidRPr="00556990">
        <w:rPr>
          <w:rFonts w:ascii="Verdana" w:hAnsi="Verdana"/>
          <w:sz w:val="18"/>
          <w:szCs w:val="18"/>
          <w:lang w:val="nl-NL"/>
        </w:rPr>
        <w:t xml:space="preserve">het OESO-modelverdrag, dat sinds 2000 geen afzonderlijke bepaling meer kent voor zelfstandige arbeid. Het opnemen van de uitdrukkingen ‘pensioenfonds’ en ‘erkende effectenbeurs’ </w:t>
      </w:r>
      <w:r w:rsidRPr="00556990" w:rsidR="00D82223">
        <w:rPr>
          <w:rFonts w:ascii="Verdana" w:hAnsi="Verdana"/>
          <w:sz w:val="18"/>
          <w:szCs w:val="18"/>
          <w:lang w:val="nl-NL"/>
        </w:rPr>
        <w:t>is relevant voor de</w:t>
      </w:r>
      <w:r w:rsidRPr="00556990" w:rsidR="003567B4">
        <w:rPr>
          <w:rFonts w:ascii="Verdana" w:hAnsi="Verdana"/>
          <w:sz w:val="18"/>
          <w:szCs w:val="18"/>
          <w:lang w:val="nl-NL"/>
        </w:rPr>
        <w:t xml:space="preserve"> </w:t>
      </w:r>
      <w:r w:rsidRPr="00556990" w:rsidR="00D82223">
        <w:rPr>
          <w:rFonts w:ascii="Verdana" w:hAnsi="Verdana"/>
          <w:sz w:val="18"/>
          <w:szCs w:val="18"/>
          <w:lang w:val="nl-NL"/>
        </w:rPr>
        <w:t>toepassing van</w:t>
      </w:r>
      <w:r w:rsidRPr="00556990">
        <w:rPr>
          <w:rFonts w:ascii="Verdana" w:hAnsi="Verdana"/>
          <w:sz w:val="18"/>
          <w:szCs w:val="18"/>
          <w:lang w:val="nl-NL"/>
        </w:rPr>
        <w:t xml:space="preserve"> </w:t>
      </w:r>
      <w:r w:rsidRPr="00556990" w:rsidR="00D82223">
        <w:rPr>
          <w:rFonts w:ascii="Verdana" w:hAnsi="Verdana"/>
          <w:sz w:val="18"/>
          <w:szCs w:val="18"/>
          <w:lang w:val="nl-NL"/>
        </w:rPr>
        <w:t xml:space="preserve">de </w:t>
      </w:r>
      <w:r w:rsidRPr="00556990">
        <w:rPr>
          <w:rFonts w:ascii="Verdana" w:hAnsi="Verdana"/>
          <w:sz w:val="18"/>
          <w:szCs w:val="18"/>
          <w:lang w:val="nl-NL"/>
        </w:rPr>
        <w:t>artikelen</w:t>
      </w:r>
      <w:r w:rsidRPr="00556990" w:rsidR="0053369E">
        <w:rPr>
          <w:rFonts w:ascii="Verdana" w:hAnsi="Verdana"/>
          <w:sz w:val="18"/>
          <w:szCs w:val="18"/>
          <w:lang w:val="nl-NL"/>
        </w:rPr>
        <w:t xml:space="preserve"> 10, 11, 13, 17 </w:t>
      </w:r>
      <w:r w:rsidRPr="00606D22" w:rsidR="0053369E">
        <w:rPr>
          <w:rFonts w:ascii="Verdana" w:hAnsi="Verdana"/>
          <w:sz w:val="18"/>
          <w:szCs w:val="18"/>
          <w:lang w:val="nl-NL"/>
        </w:rPr>
        <w:t xml:space="preserve">en 24 respectievelijk artikel 13 </w:t>
      </w:r>
      <w:r w:rsidRPr="00606D22">
        <w:rPr>
          <w:rFonts w:ascii="Verdana" w:hAnsi="Verdana"/>
          <w:sz w:val="18"/>
          <w:szCs w:val="18"/>
          <w:lang w:val="nl-NL"/>
        </w:rPr>
        <w:t>van het Verdrag.</w:t>
      </w:r>
    </w:p>
    <w:p w:rsidRPr="0021450B" w:rsidR="00500251" w:rsidP="00500251" w:rsidRDefault="00500251" w14:paraId="760F2E6F" w14:textId="73066B0F">
      <w:pPr>
        <w:rPr>
          <w:rFonts w:ascii="Verdana" w:hAnsi="Verdana" w:cs="Arial"/>
          <w:sz w:val="18"/>
          <w:szCs w:val="18"/>
          <w:lang w:val="nl-NL"/>
        </w:rPr>
      </w:pPr>
      <w:r w:rsidRPr="00E01754">
        <w:rPr>
          <w:rFonts w:ascii="Verdana" w:hAnsi="Verdana" w:cs="Arial"/>
          <w:sz w:val="18"/>
          <w:szCs w:val="18"/>
          <w:lang w:val="nl-NL"/>
        </w:rPr>
        <w:t>Het tweede lid bevat een algemene regel voor de uitleg van uitdrukkingen die niet in het Verdrag zijn omschreven. Aan die uitdrukkingen wordt de betekenis toegekend die</w:t>
      </w:r>
      <w:r w:rsidRPr="00CB4452" w:rsidR="003567B4">
        <w:rPr>
          <w:rFonts w:ascii="Verdana" w:hAnsi="Verdana" w:cs="Arial"/>
          <w:sz w:val="18"/>
          <w:szCs w:val="18"/>
          <w:lang w:val="nl-NL"/>
        </w:rPr>
        <w:t xml:space="preserve"> zij hebben volgens de </w:t>
      </w:r>
      <w:r w:rsidRPr="00CB4452">
        <w:rPr>
          <w:rFonts w:ascii="Verdana" w:hAnsi="Verdana" w:cs="Arial"/>
          <w:sz w:val="18"/>
          <w:szCs w:val="18"/>
          <w:lang w:val="nl-NL"/>
        </w:rPr>
        <w:t xml:space="preserve">wetgeving van de </w:t>
      </w:r>
      <w:r w:rsidR="0021450B">
        <w:rPr>
          <w:rFonts w:ascii="Verdana" w:hAnsi="Verdana"/>
          <w:sz w:val="18"/>
          <w:szCs w:val="18"/>
          <w:lang w:val="nl-NL"/>
        </w:rPr>
        <w:t>verdragsluitende staat</w:t>
      </w:r>
      <w:r w:rsidRPr="0021450B">
        <w:rPr>
          <w:rFonts w:ascii="Verdana" w:hAnsi="Verdana" w:cs="Arial"/>
          <w:sz w:val="18"/>
          <w:szCs w:val="18"/>
          <w:lang w:val="nl-NL"/>
        </w:rPr>
        <w:t xml:space="preserve"> die het Verdrag toepast, tenzij de context</w:t>
      </w:r>
      <w:r w:rsidRPr="0021450B" w:rsidR="003567B4">
        <w:rPr>
          <w:rFonts w:ascii="Verdana" w:hAnsi="Verdana" w:cs="Arial"/>
          <w:sz w:val="18"/>
          <w:szCs w:val="18"/>
          <w:lang w:val="nl-NL"/>
        </w:rPr>
        <w:t xml:space="preserve"> van het Verdrag anders vereist. Daarbij gaat </w:t>
      </w:r>
      <w:r w:rsidRPr="0021450B">
        <w:rPr>
          <w:rFonts w:ascii="Verdana" w:hAnsi="Verdana" w:cs="Arial"/>
          <w:sz w:val="18"/>
          <w:szCs w:val="18"/>
          <w:lang w:val="nl-NL"/>
        </w:rPr>
        <w:t>de betekenis in de belastingwetgeving</w:t>
      </w:r>
      <w:r w:rsidRPr="0021450B" w:rsidR="003567B4">
        <w:rPr>
          <w:rFonts w:ascii="Verdana" w:hAnsi="Verdana" w:cs="Arial"/>
          <w:sz w:val="18"/>
          <w:szCs w:val="18"/>
          <w:lang w:val="nl-NL"/>
        </w:rPr>
        <w:t xml:space="preserve"> van een </w:t>
      </w:r>
      <w:r w:rsidR="0021450B">
        <w:rPr>
          <w:rFonts w:ascii="Verdana" w:hAnsi="Verdana" w:cs="Arial"/>
          <w:sz w:val="18"/>
          <w:szCs w:val="18"/>
          <w:lang w:val="nl-NL"/>
        </w:rPr>
        <w:t>verdragsluitende staat</w:t>
      </w:r>
      <w:r w:rsidRPr="0021450B">
        <w:rPr>
          <w:rFonts w:ascii="Verdana" w:hAnsi="Verdana" w:cs="Arial"/>
          <w:sz w:val="18"/>
          <w:szCs w:val="18"/>
          <w:lang w:val="nl-NL"/>
        </w:rPr>
        <w:t xml:space="preserve"> voor op de betekenis in andere wetgeving.</w:t>
      </w:r>
      <w:r w:rsidRPr="0021450B" w:rsidR="00D91694">
        <w:rPr>
          <w:rFonts w:ascii="Verdana" w:hAnsi="Verdana" w:cs="Arial"/>
          <w:sz w:val="18"/>
          <w:szCs w:val="18"/>
          <w:lang w:val="nl-NL"/>
        </w:rPr>
        <w:t xml:space="preserve"> </w:t>
      </w:r>
    </w:p>
    <w:p w:rsidRPr="00DD3563" w:rsidR="00EE6610" w:rsidP="00EE6610" w:rsidRDefault="00970498" w14:paraId="3F75565B" w14:textId="77777777">
      <w:pPr>
        <w:rPr>
          <w:rFonts w:ascii="Verdana" w:hAnsi="Verdana" w:cs="Arial"/>
          <w:sz w:val="18"/>
          <w:szCs w:val="18"/>
          <w:lang w:val="nl-NL"/>
        </w:rPr>
      </w:pPr>
      <w:r w:rsidRPr="0021450B">
        <w:rPr>
          <w:rFonts w:ascii="Verdana" w:hAnsi="Verdana"/>
          <w:sz w:val="18"/>
          <w:szCs w:val="18"/>
          <w:lang w:val="nl-NL"/>
        </w:rPr>
        <w:t xml:space="preserve">In aanvulling hierop bevat artikel I van het Protocol een nadere bepaling over de uitleg van de bepalingen die in het Verdrag zijn opgenomen. </w:t>
      </w:r>
      <w:r w:rsidRPr="0021450B" w:rsidR="00EE6610">
        <w:rPr>
          <w:rFonts w:ascii="Verdana" w:hAnsi="Verdana"/>
          <w:sz w:val="18"/>
          <w:szCs w:val="18"/>
          <w:lang w:val="nl-NL"/>
        </w:rPr>
        <w:t>Hoewel Bulgarije geen lid is van de OESO</w:t>
      </w:r>
      <w:r w:rsidRPr="0021450B" w:rsidR="00E17D9A">
        <w:rPr>
          <w:rFonts w:ascii="Verdana" w:hAnsi="Verdana"/>
          <w:sz w:val="18"/>
          <w:szCs w:val="18"/>
          <w:lang w:val="nl-NL"/>
        </w:rPr>
        <w:t>,</w:t>
      </w:r>
      <w:r w:rsidRPr="0021450B" w:rsidR="00EE6610">
        <w:rPr>
          <w:rFonts w:ascii="Verdana" w:hAnsi="Verdana"/>
          <w:sz w:val="18"/>
          <w:szCs w:val="18"/>
          <w:lang w:val="nl-NL"/>
        </w:rPr>
        <w:t xml:space="preserve"> is Bulgarije </w:t>
      </w:r>
      <w:r w:rsidRPr="00BA2B89" w:rsidR="003567B4">
        <w:rPr>
          <w:rFonts w:ascii="Verdana" w:hAnsi="Verdana"/>
          <w:sz w:val="18"/>
          <w:szCs w:val="18"/>
          <w:lang w:val="nl-NL"/>
        </w:rPr>
        <w:t>net als Nederland van mening</w:t>
      </w:r>
      <w:r w:rsidRPr="00BA2B89" w:rsidR="00EE6610">
        <w:rPr>
          <w:rFonts w:ascii="Verdana" w:hAnsi="Verdana"/>
          <w:sz w:val="18"/>
          <w:szCs w:val="18"/>
          <w:lang w:val="nl-NL"/>
        </w:rPr>
        <w:t xml:space="preserve"> dat </w:t>
      </w:r>
      <w:r w:rsidRPr="00AA5A9F">
        <w:rPr>
          <w:rFonts w:ascii="Verdana" w:hAnsi="Verdana"/>
          <w:sz w:val="18"/>
          <w:szCs w:val="18"/>
          <w:lang w:val="nl-NL"/>
        </w:rPr>
        <w:t xml:space="preserve">voor de interpretatie van het Verdrag </w:t>
      </w:r>
      <w:r w:rsidRPr="00E67A1D" w:rsidR="00EE6610">
        <w:rPr>
          <w:rFonts w:ascii="Verdana" w:hAnsi="Verdana"/>
          <w:sz w:val="18"/>
          <w:szCs w:val="18"/>
          <w:lang w:val="nl-NL"/>
        </w:rPr>
        <w:t xml:space="preserve">het commentaar </w:t>
      </w:r>
      <w:r w:rsidRPr="006C1373" w:rsidR="00EE6610">
        <w:rPr>
          <w:rFonts w:ascii="Verdana" w:hAnsi="Verdana"/>
          <w:sz w:val="18"/>
          <w:szCs w:val="18"/>
          <w:lang w:val="nl-NL"/>
        </w:rPr>
        <w:t>bij het OESO-modelverdrag van grote betekenis is en dat dit commentaar dynamisch dient te worden toegepast.</w:t>
      </w:r>
      <w:r w:rsidR="00733C55">
        <w:rPr>
          <w:rStyle w:val="Voetnootmarkering"/>
          <w:rFonts w:ascii="Verdana" w:hAnsi="Verdana"/>
          <w:sz w:val="18"/>
          <w:szCs w:val="18"/>
          <w:lang w:val="nl-NL"/>
        </w:rPr>
        <w:footnoteReference w:id="11"/>
      </w:r>
      <w:r w:rsidRPr="006C1373" w:rsidR="00EE6610">
        <w:rPr>
          <w:rFonts w:ascii="Verdana" w:hAnsi="Verdana"/>
          <w:sz w:val="18"/>
          <w:szCs w:val="18"/>
          <w:lang w:val="nl-NL"/>
        </w:rPr>
        <w:t xml:space="preserve"> </w:t>
      </w:r>
      <w:r w:rsidRPr="006C1373" w:rsidR="001D30FF">
        <w:rPr>
          <w:rFonts w:ascii="Verdana" w:hAnsi="Verdana"/>
          <w:sz w:val="18"/>
          <w:szCs w:val="18"/>
          <w:lang w:val="nl-NL"/>
        </w:rPr>
        <w:t>In a</w:t>
      </w:r>
      <w:r w:rsidRPr="006C1373" w:rsidR="00EE6610">
        <w:rPr>
          <w:rFonts w:ascii="Verdana" w:hAnsi="Verdana" w:cs="Arial"/>
          <w:sz w:val="18"/>
          <w:szCs w:val="18"/>
          <w:lang w:val="nl-NL"/>
        </w:rPr>
        <w:t xml:space="preserve">rtikel I, eerste lid, van het Protocol </w:t>
      </w:r>
      <w:r w:rsidRPr="00DD3563" w:rsidR="001D30FF">
        <w:rPr>
          <w:rFonts w:ascii="Verdana" w:hAnsi="Verdana" w:cs="Arial"/>
          <w:sz w:val="18"/>
          <w:szCs w:val="18"/>
          <w:lang w:val="nl-NL"/>
        </w:rPr>
        <w:t>is dit uitgangspunt vast</w:t>
      </w:r>
      <w:r w:rsidRPr="00DD3563" w:rsidR="00E17D9A">
        <w:rPr>
          <w:rFonts w:ascii="Verdana" w:hAnsi="Verdana" w:cs="Arial"/>
          <w:sz w:val="18"/>
          <w:szCs w:val="18"/>
          <w:lang w:val="nl-NL"/>
        </w:rPr>
        <w:t>gelegd.</w:t>
      </w:r>
    </w:p>
    <w:p w:rsidRPr="00DD3563" w:rsidR="00500251" w:rsidP="00500251" w:rsidRDefault="00500251" w14:paraId="137EA89E" w14:textId="77777777">
      <w:pPr>
        <w:rPr>
          <w:rFonts w:ascii="Verdana" w:hAnsi="Verdana"/>
          <w:sz w:val="18"/>
          <w:szCs w:val="18"/>
          <w:highlight w:val="yellow"/>
          <w:lang w:val="nl-NL"/>
        </w:rPr>
      </w:pPr>
    </w:p>
    <w:p w:rsidRPr="00916448" w:rsidR="00500251" w:rsidP="00500251" w:rsidRDefault="00500251" w14:paraId="7D177AC7" w14:textId="77777777">
      <w:pPr>
        <w:ind w:firstLine="0"/>
        <w:rPr>
          <w:rFonts w:ascii="Verdana" w:hAnsi="Verdana"/>
          <w:sz w:val="18"/>
          <w:szCs w:val="18"/>
          <w:lang w:val="nl-NL"/>
        </w:rPr>
      </w:pPr>
      <w:r w:rsidRPr="00DD3563">
        <w:rPr>
          <w:rFonts w:ascii="Verdana" w:hAnsi="Verdana"/>
          <w:i/>
          <w:sz w:val="18"/>
          <w:szCs w:val="18"/>
          <w:lang w:val="nl-NL"/>
        </w:rPr>
        <w:t xml:space="preserve">II.4. Inwoner (artikel 4 </w:t>
      </w:r>
      <w:r w:rsidRPr="00916448" w:rsidR="00916448">
        <w:rPr>
          <w:rFonts w:ascii="Verdana" w:hAnsi="Verdana"/>
          <w:i/>
          <w:sz w:val="18"/>
          <w:szCs w:val="18"/>
          <w:lang w:val="nl-NL"/>
        </w:rPr>
        <w:t xml:space="preserve">van het Verdrag </w:t>
      </w:r>
      <w:r w:rsidRPr="00916448">
        <w:rPr>
          <w:rFonts w:ascii="Verdana" w:hAnsi="Verdana"/>
          <w:i/>
          <w:sz w:val="18"/>
          <w:szCs w:val="18"/>
          <w:lang w:val="nl-NL"/>
        </w:rPr>
        <w:t>en artikelen II</w:t>
      </w:r>
      <w:r w:rsidRPr="00916448" w:rsidR="00897566">
        <w:rPr>
          <w:rFonts w:ascii="Verdana" w:hAnsi="Verdana"/>
          <w:i/>
          <w:sz w:val="18"/>
          <w:szCs w:val="18"/>
          <w:lang w:val="nl-NL"/>
        </w:rPr>
        <w:t>, III</w:t>
      </w:r>
      <w:r w:rsidRPr="00916448">
        <w:rPr>
          <w:rFonts w:ascii="Verdana" w:hAnsi="Verdana"/>
          <w:i/>
          <w:sz w:val="18"/>
          <w:szCs w:val="18"/>
          <w:lang w:val="nl-NL"/>
        </w:rPr>
        <w:t xml:space="preserve"> en IV</w:t>
      </w:r>
      <w:r w:rsidRPr="00916448" w:rsidR="00916448">
        <w:rPr>
          <w:rFonts w:ascii="Verdana" w:hAnsi="Verdana"/>
          <w:i/>
          <w:sz w:val="18"/>
          <w:szCs w:val="18"/>
          <w:lang w:val="nl-NL"/>
        </w:rPr>
        <w:t xml:space="preserve"> </w:t>
      </w:r>
      <w:r w:rsidR="00916448">
        <w:rPr>
          <w:rFonts w:ascii="Verdana" w:hAnsi="Verdana"/>
          <w:i/>
          <w:sz w:val="18"/>
          <w:szCs w:val="18"/>
          <w:lang w:val="nl-NL"/>
        </w:rPr>
        <w:t xml:space="preserve">van het </w:t>
      </w:r>
      <w:r w:rsidRPr="00916448" w:rsidR="00916448">
        <w:rPr>
          <w:rFonts w:ascii="Verdana" w:hAnsi="Verdana"/>
          <w:i/>
          <w:sz w:val="18"/>
          <w:szCs w:val="18"/>
          <w:lang w:val="nl-NL"/>
        </w:rPr>
        <w:t>Protocol</w:t>
      </w:r>
      <w:r w:rsidRPr="00916448">
        <w:rPr>
          <w:rFonts w:ascii="Verdana" w:hAnsi="Verdana"/>
          <w:i/>
          <w:sz w:val="18"/>
          <w:szCs w:val="18"/>
          <w:lang w:val="nl-NL"/>
        </w:rPr>
        <w:t xml:space="preserve">) </w:t>
      </w:r>
      <w:r w:rsidRPr="00916448">
        <w:rPr>
          <w:rFonts w:ascii="Verdana" w:hAnsi="Verdana"/>
          <w:i/>
          <w:sz w:val="18"/>
          <w:szCs w:val="18"/>
          <w:lang w:val="nl-NL"/>
        </w:rPr>
        <w:br/>
      </w:r>
    </w:p>
    <w:p w:rsidRPr="001C6327" w:rsidR="00500251" w:rsidP="00500251" w:rsidRDefault="00500251" w14:paraId="08CE2C24" w14:textId="77777777">
      <w:pPr>
        <w:ind w:firstLine="720"/>
        <w:rPr>
          <w:rFonts w:ascii="Verdana" w:hAnsi="Verdana" w:cs="Arial"/>
          <w:sz w:val="18"/>
          <w:szCs w:val="18"/>
          <w:lang w:val="nl-NL"/>
        </w:rPr>
      </w:pPr>
      <w:r w:rsidRPr="00916448">
        <w:rPr>
          <w:rFonts w:ascii="Verdana" w:hAnsi="Verdana" w:cs="Arial"/>
          <w:sz w:val="18"/>
          <w:szCs w:val="18"/>
          <w:lang w:val="nl-NL"/>
        </w:rPr>
        <w:t>Artikel 4</w:t>
      </w:r>
      <w:r w:rsidRPr="00916448" w:rsidR="007C3024">
        <w:rPr>
          <w:rFonts w:ascii="Verdana" w:hAnsi="Verdana" w:cs="Arial"/>
          <w:sz w:val="18"/>
          <w:szCs w:val="18"/>
          <w:lang w:val="nl-NL"/>
        </w:rPr>
        <w:t xml:space="preserve"> van het Verdrag</w:t>
      </w:r>
      <w:r w:rsidRPr="00916448">
        <w:rPr>
          <w:rFonts w:ascii="Verdana" w:hAnsi="Verdana" w:cs="Arial"/>
          <w:sz w:val="18"/>
          <w:szCs w:val="18"/>
          <w:lang w:val="nl-NL"/>
        </w:rPr>
        <w:t xml:space="preserve"> bevat bepalingen ter invulling van het begrip </w:t>
      </w:r>
      <w:r w:rsidR="00CB07AC">
        <w:rPr>
          <w:rFonts w:ascii="Verdana" w:hAnsi="Verdana" w:cs="Arial"/>
          <w:sz w:val="18"/>
          <w:szCs w:val="18"/>
          <w:lang w:val="nl-NL"/>
        </w:rPr>
        <w:t>‘</w:t>
      </w:r>
      <w:r w:rsidRPr="00CB07AC">
        <w:rPr>
          <w:rFonts w:ascii="Verdana" w:hAnsi="Verdana" w:cs="Arial"/>
          <w:sz w:val="18"/>
          <w:szCs w:val="18"/>
          <w:lang w:val="nl-NL"/>
        </w:rPr>
        <w:t>inwoner</w:t>
      </w:r>
      <w:r w:rsidR="00CB07AC">
        <w:rPr>
          <w:rFonts w:ascii="Verdana" w:hAnsi="Verdana" w:cs="Arial"/>
          <w:sz w:val="18"/>
          <w:szCs w:val="18"/>
          <w:lang w:val="nl-NL"/>
        </w:rPr>
        <w:t>’</w:t>
      </w:r>
      <w:r w:rsidRPr="00CB07AC">
        <w:rPr>
          <w:rFonts w:ascii="Verdana" w:hAnsi="Verdana" w:cs="Arial"/>
          <w:sz w:val="18"/>
          <w:szCs w:val="18"/>
          <w:lang w:val="nl-NL"/>
        </w:rPr>
        <w:t xml:space="preserve">. </w:t>
      </w:r>
      <w:r w:rsidRPr="00CB07AC" w:rsidR="008835FD">
        <w:rPr>
          <w:rFonts w:ascii="Verdana" w:hAnsi="Verdana" w:cs="Arial"/>
          <w:sz w:val="18"/>
          <w:szCs w:val="18"/>
          <w:lang w:val="nl-NL"/>
        </w:rPr>
        <w:t xml:space="preserve">Daarbij is </w:t>
      </w:r>
      <w:r w:rsidRPr="00F578EC">
        <w:rPr>
          <w:rFonts w:ascii="Verdana" w:hAnsi="Verdana" w:cs="Arial"/>
          <w:sz w:val="18"/>
          <w:szCs w:val="18"/>
          <w:lang w:val="nl-NL"/>
        </w:rPr>
        <w:t>artikel 4 van het OESO-modelverdrag</w:t>
      </w:r>
      <w:r w:rsidRPr="00F578EC" w:rsidR="008835FD">
        <w:rPr>
          <w:rFonts w:ascii="Verdana" w:hAnsi="Verdana" w:cs="Arial"/>
          <w:sz w:val="18"/>
          <w:szCs w:val="18"/>
          <w:lang w:val="nl-NL"/>
        </w:rPr>
        <w:t xml:space="preserve"> als uitgangspunt genomen</w:t>
      </w:r>
      <w:r w:rsidRPr="00F578EC" w:rsidR="00E17D9A">
        <w:rPr>
          <w:rFonts w:ascii="Verdana" w:hAnsi="Verdana" w:cs="Arial"/>
          <w:sz w:val="18"/>
          <w:szCs w:val="18"/>
          <w:lang w:val="nl-NL"/>
        </w:rPr>
        <w:t>.</w:t>
      </w:r>
      <w:r w:rsidRPr="00F578EC" w:rsidR="00AD07F0">
        <w:rPr>
          <w:rFonts w:ascii="Verdana" w:hAnsi="Verdana" w:cs="Arial"/>
          <w:sz w:val="18"/>
          <w:szCs w:val="18"/>
          <w:lang w:val="nl-NL"/>
        </w:rPr>
        <w:t xml:space="preserve"> </w:t>
      </w:r>
      <w:r w:rsidRPr="00F578EC" w:rsidR="00E17D9A">
        <w:rPr>
          <w:rFonts w:ascii="Verdana" w:hAnsi="Verdana" w:cs="Arial"/>
          <w:sz w:val="18"/>
          <w:szCs w:val="18"/>
          <w:lang w:val="nl-NL"/>
        </w:rPr>
        <w:t>H</w:t>
      </w:r>
      <w:r w:rsidRPr="00F578EC" w:rsidR="00AD07F0">
        <w:rPr>
          <w:rFonts w:ascii="Verdana" w:hAnsi="Verdana" w:cs="Arial"/>
          <w:sz w:val="18"/>
          <w:szCs w:val="18"/>
          <w:lang w:val="nl-NL"/>
        </w:rPr>
        <w:t xml:space="preserve">et tweede lid (invulling van het begrip </w:t>
      </w:r>
      <w:r w:rsidR="001C6327">
        <w:rPr>
          <w:rFonts w:ascii="Verdana" w:hAnsi="Verdana" w:cs="Arial"/>
          <w:sz w:val="18"/>
          <w:szCs w:val="18"/>
          <w:lang w:val="nl-NL"/>
        </w:rPr>
        <w:t>‘</w:t>
      </w:r>
      <w:r w:rsidRPr="001C6327" w:rsidR="00AD07F0">
        <w:rPr>
          <w:rFonts w:ascii="Verdana" w:hAnsi="Verdana" w:cs="Arial"/>
          <w:sz w:val="18"/>
          <w:szCs w:val="18"/>
          <w:lang w:val="nl-NL"/>
        </w:rPr>
        <w:t>onderworpenheid</w:t>
      </w:r>
      <w:r w:rsidR="001C6327">
        <w:rPr>
          <w:rFonts w:ascii="Verdana" w:hAnsi="Verdana" w:cs="Arial"/>
          <w:sz w:val="18"/>
          <w:szCs w:val="18"/>
          <w:lang w:val="nl-NL"/>
        </w:rPr>
        <w:t>’</w:t>
      </w:r>
      <w:r w:rsidRPr="001C6327" w:rsidR="00AD07F0">
        <w:rPr>
          <w:rFonts w:ascii="Verdana" w:hAnsi="Verdana" w:cs="Arial"/>
          <w:sz w:val="18"/>
          <w:szCs w:val="18"/>
          <w:lang w:val="nl-NL"/>
        </w:rPr>
        <w:t>) en het vi</w:t>
      </w:r>
      <w:r w:rsidRPr="001C6327" w:rsidR="00CD7AAE">
        <w:rPr>
          <w:rFonts w:ascii="Verdana" w:hAnsi="Verdana" w:cs="Arial"/>
          <w:sz w:val="18"/>
          <w:szCs w:val="18"/>
          <w:lang w:val="nl-NL"/>
        </w:rPr>
        <w:t>jfde</w:t>
      </w:r>
      <w:r w:rsidRPr="001C6327" w:rsidR="00AD07F0">
        <w:rPr>
          <w:rFonts w:ascii="Verdana" w:hAnsi="Verdana" w:cs="Arial"/>
          <w:sz w:val="18"/>
          <w:szCs w:val="18"/>
          <w:lang w:val="nl-NL"/>
        </w:rPr>
        <w:t xml:space="preserve"> lid (</w:t>
      </w:r>
      <w:r w:rsidR="001C6327">
        <w:rPr>
          <w:rFonts w:ascii="Verdana" w:hAnsi="Verdana" w:cs="Arial"/>
          <w:sz w:val="18"/>
          <w:szCs w:val="18"/>
          <w:lang w:val="nl-NL"/>
        </w:rPr>
        <w:t>‘</w:t>
      </w:r>
      <w:r w:rsidRPr="000C181C" w:rsidR="00AD07F0">
        <w:rPr>
          <w:rFonts w:ascii="Verdana" w:hAnsi="Verdana" w:cs="Arial"/>
          <w:i/>
          <w:sz w:val="18"/>
          <w:szCs w:val="18"/>
          <w:lang w:val="nl-NL"/>
        </w:rPr>
        <w:t>corporate tiebreaker</w:t>
      </w:r>
      <w:r w:rsidR="001C6327">
        <w:rPr>
          <w:rFonts w:ascii="Verdana" w:hAnsi="Verdana" w:cs="Arial"/>
          <w:sz w:val="18"/>
          <w:szCs w:val="18"/>
          <w:lang w:val="nl-NL"/>
        </w:rPr>
        <w:t>’</w:t>
      </w:r>
      <w:r w:rsidRPr="001C6327" w:rsidR="00AD07F0">
        <w:rPr>
          <w:rFonts w:ascii="Verdana" w:hAnsi="Verdana" w:cs="Arial"/>
          <w:sz w:val="18"/>
          <w:szCs w:val="18"/>
          <w:lang w:val="nl-NL"/>
        </w:rPr>
        <w:t>)</w:t>
      </w:r>
      <w:r w:rsidRPr="001C6327" w:rsidR="00E17D9A">
        <w:rPr>
          <w:rFonts w:ascii="Verdana" w:hAnsi="Verdana" w:cs="Arial"/>
          <w:sz w:val="18"/>
          <w:szCs w:val="18"/>
          <w:lang w:val="nl-NL"/>
        </w:rPr>
        <w:t xml:space="preserve"> bevatten echter</w:t>
      </w:r>
      <w:r w:rsidRPr="001C6327" w:rsidR="008C113B">
        <w:rPr>
          <w:rFonts w:ascii="Verdana" w:hAnsi="Verdana" w:cs="Arial"/>
          <w:sz w:val="18"/>
          <w:szCs w:val="18"/>
          <w:lang w:val="nl-NL"/>
        </w:rPr>
        <w:t xml:space="preserve"> </w:t>
      </w:r>
      <w:r w:rsidRPr="001C6327" w:rsidR="00AD07F0">
        <w:rPr>
          <w:rFonts w:ascii="Verdana" w:hAnsi="Verdana" w:cs="Arial"/>
          <w:sz w:val="18"/>
          <w:szCs w:val="18"/>
          <w:lang w:val="nl-NL"/>
        </w:rPr>
        <w:t xml:space="preserve">inhoudelijke afwijkingen </w:t>
      </w:r>
      <w:r w:rsidRPr="001C6327" w:rsidR="00E17D9A">
        <w:rPr>
          <w:rFonts w:ascii="Verdana" w:hAnsi="Verdana" w:cs="Arial"/>
          <w:sz w:val="18"/>
          <w:szCs w:val="18"/>
          <w:lang w:val="nl-NL"/>
        </w:rPr>
        <w:t>van het OESO-modelverdrag</w:t>
      </w:r>
      <w:r w:rsidRPr="001C6327">
        <w:rPr>
          <w:rFonts w:ascii="Verdana" w:hAnsi="Verdana" w:cs="Arial"/>
          <w:sz w:val="18"/>
          <w:szCs w:val="18"/>
          <w:lang w:val="nl-NL"/>
        </w:rPr>
        <w:t>.</w:t>
      </w:r>
    </w:p>
    <w:p w:rsidRPr="005C1870" w:rsidR="00500251" w:rsidP="00500251" w:rsidRDefault="00245654" w14:paraId="688020B1" w14:textId="77777777">
      <w:pPr>
        <w:ind w:firstLine="720"/>
        <w:rPr>
          <w:rFonts w:ascii="Verdana" w:hAnsi="Verdana" w:cs="Arial"/>
          <w:sz w:val="18"/>
          <w:szCs w:val="18"/>
          <w:lang w:val="nl-NL"/>
        </w:rPr>
      </w:pPr>
      <w:r w:rsidRPr="00F578EC">
        <w:rPr>
          <w:rFonts w:ascii="Verdana" w:hAnsi="Verdana" w:cs="Arial"/>
          <w:sz w:val="18"/>
          <w:szCs w:val="18"/>
          <w:lang w:val="nl-NL"/>
        </w:rPr>
        <w:t>H</w:t>
      </w:r>
      <w:r w:rsidRPr="00F578EC" w:rsidR="00500251">
        <w:rPr>
          <w:rFonts w:ascii="Verdana" w:hAnsi="Verdana" w:cs="Arial"/>
          <w:sz w:val="18"/>
          <w:szCs w:val="18"/>
          <w:lang w:val="nl-NL"/>
        </w:rPr>
        <w:t xml:space="preserve">et eerste lid </w:t>
      </w:r>
      <w:r w:rsidRPr="00F578EC">
        <w:rPr>
          <w:rFonts w:ascii="Verdana" w:hAnsi="Verdana" w:cs="Arial"/>
          <w:sz w:val="18"/>
          <w:szCs w:val="18"/>
          <w:lang w:val="nl-NL"/>
        </w:rPr>
        <w:t xml:space="preserve">omschrijft </w:t>
      </w:r>
      <w:r w:rsidRPr="00F578EC" w:rsidR="00500251">
        <w:rPr>
          <w:rFonts w:ascii="Verdana" w:hAnsi="Verdana" w:cs="Arial"/>
          <w:sz w:val="18"/>
          <w:szCs w:val="18"/>
          <w:lang w:val="nl-NL"/>
        </w:rPr>
        <w:t xml:space="preserve">wie voor de toepassing van het Verdrag geacht wordt inwoner te zijn van een </w:t>
      </w:r>
      <w:r w:rsidR="0021450B">
        <w:rPr>
          <w:rFonts w:ascii="Verdana" w:hAnsi="Verdana" w:cs="Arial"/>
          <w:sz w:val="18"/>
          <w:szCs w:val="18"/>
          <w:lang w:val="nl-NL"/>
        </w:rPr>
        <w:t>verdragsluitende staat</w:t>
      </w:r>
      <w:r w:rsidRPr="00BC6175" w:rsidR="00500251">
        <w:rPr>
          <w:rFonts w:ascii="Verdana" w:hAnsi="Verdana" w:cs="Arial"/>
          <w:sz w:val="18"/>
          <w:szCs w:val="18"/>
          <w:lang w:val="nl-NL"/>
        </w:rPr>
        <w:t xml:space="preserve">. Een persoon is inwoner van een </w:t>
      </w:r>
      <w:r w:rsidR="0021450B">
        <w:rPr>
          <w:rFonts w:ascii="Verdana" w:hAnsi="Verdana" w:cs="Arial"/>
          <w:sz w:val="18"/>
          <w:szCs w:val="18"/>
          <w:lang w:val="nl-NL"/>
        </w:rPr>
        <w:t>verdragsluitende staat</w:t>
      </w:r>
      <w:r w:rsidRPr="00BC6175" w:rsidR="00500251">
        <w:rPr>
          <w:rFonts w:ascii="Verdana" w:hAnsi="Verdana" w:cs="Arial"/>
          <w:sz w:val="18"/>
          <w:szCs w:val="18"/>
          <w:lang w:val="nl-NL"/>
        </w:rPr>
        <w:t xml:space="preserve"> indien hij daar onderworpen is aan belastingheffing op grond van woonplaats, verblijf, plaats van oprichting, plaats van leiding of enige andere soortgelijke omstandigheid. De plaats van oprichting is – in afwijking van artikel 4, eerste lid, van het OESO-modelverdrag – in de tekst opgenomen op verzoek van Bulgarije</w:t>
      </w:r>
      <w:r w:rsidRPr="00BC6175" w:rsidR="00A779D1">
        <w:rPr>
          <w:rFonts w:ascii="Verdana" w:hAnsi="Verdana" w:cs="Arial"/>
          <w:sz w:val="18"/>
          <w:szCs w:val="18"/>
          <w:lang w:val="nl-NL"/>
        </w:rPr>
        <w:t xml:space="preserve">. </w:t>
      </w:r>
      <w:r w:rsidRPr="00CF22A8" w:rsidR="00E17D9A">
        <w:rPr>
          <w:rFonts w:ascii="Verdana" w:hAnsi="Verdana" w:cs="Arial"/>
          <w:sz w:val="18"/>
          <w:szCs w:val="18"/>
          <w:lang w:val="nl-NL"/>
        </w:rPr>
        <w:t xml:space="preserve">In de </w:t>
      </w:r>
      <w:r w:rsidRPr="00CF22A8" w:rsidR="00500251">
        <w:rPr>
          <w:rFonts w:ascii="Verdana" w:hAnsi="Verdana" w:cs="Arial"/>
          <w:sz w:val="18"/>
          <w:szCs w:val="18"/>
          <w:lang w:val="nl-NL"/>
        </w:rPr>
        <w:t>nationale wetgeving van Bulgarije</w:t>
      </w:r>
      <w:r w:rsidRPr="00CF22A8" w:rsidR="00E17D9A">
        <w:rPr>
          <w:rFonts w:ascii="Verdana" w:hAnsi="Verdana" w:cs="Arial"/>
          <w:sz w:val="18"/>
          <w:szCs w:val="18"/>
          <w:lang w:val="nl-NL"/>
        </w:rPr>
        <w:t xml:space="preserve"> is dit</w:t>
      </w:r>
      <w:r w:rsidRPr="00CF22A8" w:rsidR="00500251">
        <w:rPr>
          <w:rFonts w:ascii="Verdana" w:hAnsi="Verdana" w:cs="Arial"/>
          <w:sz w:val="18"/>
          <w:szCs w:val="18"/>
          <w:lang w:val="nl-NL"/>
        </w:rPr>
        <w:t xml:space="preserve"> namelijk een leidend beginsel. Nederland kon hiermee akkoord gaan, aangezien de plaats van oprichting ook zonder expliciete vermelding in de tekst</w:t>
      </w:r>
      <w:r w:rsidRPr="005C1870" w:rsidR="00E17D9A">
        <w:rPr>
          <w:rFonts w:ascii="Verdana" w:hAnsi="Verdana" w:cs="Arial"/>
          <w:sz w:val="18"/>
          <w:szCs w:val="18"/>
          <w:lang w:val="nl-NL"/>
        </w:rPr>
        <w:t xml:space="preserve"> onder de reikwijdte van de bepaling zou vallen</w:t>
      </w:r>
      <w:r w:rsidRPr="005C1870" w:rsidR="00500251">
        <w:rPr>
          <w:rFonts w:ascii="Verdana" w:hAnsi="Verdana" w:cs="Arial"/>
          <w:sz w:val="18"/>
          <w:szCs w:val="18"/>
          <w:lang w:val="nl-NL"/>
        </w:rPr>
        <w:t xml:space="preserve">, namelijk als ‘enige andere soortgelijke omstandigheid’. </w:t>
      </w:r>
    </w:p>
    <w:p w:rsidR="002F4A27" w:rsidP="00500251" w:rsidRDefault="00500251" w14:paraId="1673084F" w14:textId="26FF6852">
      <w:pPr>
        <w:ind w:firstLine="720"/>
        <w:rPr>
          <w:rFonts w:ascii="Verdana" w:hAnsi="Verdana" w:cs="Arial"/>
          <w:sz w:val="18"/>
          <w:szCs w:val="18"/>
          <w:lang w:val="nl-NL"/>
        </w:rPr>
      </w:pPr>
      <w:r w:rsidRPr="005C1870">
        <w:rPr>
          <w:rFonts w:ascii="Verdana" w:hAnsi="Verdana" w:cs="Arial"/>
          <w:sz w:val="18"/>
          <w:szCs w:val="18"/>
          <w:lang w:val="nl-NL"/>
        </w:rPr>
        <w:lastRenderedPageBreak/>
        <w:t xml:space="preserve">Op verzoek van Nederland </w:t>
      </w:r>
      <w:r w:rsidRPr="005C1870" w:rsidR="00245654">
        <w:rPr>
          <w:rFonts w:ascii="Verdana" w:hAnsi="Verdana" w:cs="Arial"/>
          <w:sz w:val="18"/>
          <w:szCs w:val="18"/>
          <w:lang w:val="nl-NL"/>
        </w:rPr>
        <w:t xml:space="preserve">bepaalt </w:t>
      </w:r>
      <w:r w:rsidRPr="005C1870">
        <w:rPr>
          <w:rFonts w:ascii="Verdana" w:hAnsi="Verdana" w:cs="Arial"/>
          <w:sz w:val="18"/>
          <w:szCs w:val="18"/>
          <w:lang w:val="nl-NL"/>
        </w:rPr>
        <w:t xml:space="preserve">het tweede lid dat een persoon, niet zijnde een natuurlijke persoon, geacht wordt aan belastingheffing onderworpen te zijn, indien die persoon voor de winstbelasting van de desbetreffende </w:t>
      </w:r>
      <w:r w:rsidR="0021450B">
        <w:rPr>
          <w:rFonts w:ascii="Verdana" w:hAnsi="Verdana" w:cs="Arial"/>
          <w:sz w:val="18"/>
          <w:szCs w:val="18"/>
          <w:lang w:val="nl-NL"/>
        </w:rPr>
        <w:t>verdragsluitende staat</w:t>
      </w:r>
      <w:r w:rsidRPr="005C1870">
        <w:rPr>
          <w:rFonts w:ascii="Verdana" w:hAnsi="Verdana" w:cs="Arial"/>
          <w:sz w:val="18"/>
          <w:szCs w:val="18"/>
          <w:lang w:val="nl-NL"/>
        </w:rPr>
        <w:t xml:space="preserve"> wordt beschouwd als inwoner en het door die persoon genoten inkomen in die </w:t>
      </w:r>
      <w:r w:rsidR="003103E7">
        <w:rPr>
          <w:rFonts w:ascii="Verdana" w:hAnsi="Verdana" w:cs="Arial"/>
          <w:sz w:val="18"/>
          <w:szCs w:val="18"/>
          <w:lang w:val="nl-NL"/>
        </w:rPr>
        <w:t>staat</w:t>
      </w:r>
      <w:r w:rsidRPr="005C1870">
        <w:rPr>
          <w:rFonts w:ascii="Verdana" w:hAnsi="Verdana" w:cs="Arial"/>
          <w:sz w:val="18"/>
          <w:szCs w:val="18"/>
          <w:lang w:val="nl-NL"/>
        </w:rPr>
        <w:t xml:space="preserve"> niet rechtstreeks wordt toegerekend aan de belanghebbenden bij die persoon. Deze bepaling is een invulling van het in onderdeel 2.2.1 van de NFV 2011 toegelichte streven te voorzien in verdragsbescherming voor lichamen die </w:t>
      </w:r>
      <w:r w:rsidRPr="005C1870" w:rsidR="007C555E">
        <w:rPr>
          <w:rFonts w:ascii="Verdana" w:hAnsi="Verdana" w:cs="Arial"/>
          <w:sz w:val="18"/>
          <w:szCs w:val="18"/>
          <w:lang w:val="nl-NL"/>
        </w:rPr>
        <w:t xml:space="preserve">subjectief </w:t>
      </w:r>
      <w:r w:rsidRPr="005C1870">
        <w:rPr>
          <w:rFonts w:ascii="Verdana" w:hAnsi="Verdana" w:cs="Arial"/>
          <w:sz w:val="18"/>
          <w:szCs w:val="18"/>
          <w:lang w:val="nl-NL"/>
        </w:rPr>
        <w:t xml:space="preserve">zijn vrijgesteld van winstbelasting. Het gaat dan voornamelijk om pensioenfondsen en (niet-ondernemende) verenigingen en stichtingen. </w:t>
      </w:r>
      <w:r w:rsidR="00733C55">
        <w:rPr>
          <w:rFonts w:ascii="Verdana" w:hAnsi="Verdana" w:cs="Arial"/>
          <w:sz w:val="18"/>
          <w:szCs w:val="18"/>
          <w:lang w:val="nl-NL"/>
        </w:rPr>
        <w:t>Uit deze bepaling vloeit voort dat o</w:t>
      </w:r>
      <w:r w:rsidRPr="005C1870">
        <w:rPr>
          <w:rFonts w:ascii="Verdana" w:hAnsi="Verdana" w:cs="Arial"/>
          <w:sz w:val="18"/>
          <w:szCs w:val="18"/>
          <w:lang w:val="nl-NL"/>
        </w:rPr>
        <w:t xml:space="preserve">ok </w:t>
      </w:r>
      <w:r w:rsidRPr="005C1870" w:rsidR="00025126">
        <w:rPr>
          <w:rFonts w:ascii="Verdana" w:hAnsi="Verdana" w:cs="Arial"/>
          <w:sz w:val="18"/>
          <w:szCs w:val="18"/>
          <w:lang w:val="nl-NL"/>
        </w:rPr>
        <w:t>V</w:t>
      </w:r>
      <w:r w:rsidRPr="005C1870" w:rsidR="0021427F">
        <w:rPr>
          <w:rFonts w:ascii="Verdana" w:hAnsi="Verdana" w:cs="Arial"/>
          <w:sz w:val="18"/>
          <w:szCs w:val="18"/>
          <w:lang w:val="nl-NL"/>
        </w:rPr>
        <w:t>BI</w:t>
      </w:r>
      <w:r w:rsidR="00733C55">
        <w:rPr>
          <w:rFonts w:ascii="Verdana" w:hAnsi="Verdana" w:cs="Arial"/>
          <w:sz w:val="18"/>
          <w:szCs w:val="18"/>
          <w:lang w:val="nl-NL"/>
        </w:rPr>
        <w:t>’</w:t>
      </w:r>
      <w:r w:rsidRPr="005C1870" w:rsidR="0021427F">
        <w:rPr>
          <w:rFonts w:ascii="Verdana" w:hAnsi="Verdana" w:cs="Arial"/>
          <w:sz w:val="18"/>
          <w:szCs w:val="18"/>
          <w:lang w:val="nl-NL"/>
        </w:rPr>
        <w:t>s</w:t>
      </w:r>
      <w:r w:rsidR="00733C55">
        <w:rPr>
          <w:rFonts w:ascii="Verdana" w:hAnsi="Verdana" w:cs="Arial"/>
          <w:sz w:val="18"/>
          <w:szCs w:val="18"/>
          <w:lang w:val="nl-NL"/>
        </w:rPr>
        <w:t xml:space="preserve"> in beginsel kwalificeren</w:t>
      </w:r>
      <w:r w:rsidRPr="005C1870" w:rsidR="00FA31A8">
        <w:rPr>
          <w:rFonts w:ascii="Verdana" w:hAnsi="Verdana" w:cs="Arial"/>
          <w:sz w:val="18"/>
          <w:szCs w:val="18"/>
          <w:lang w:val="nl-NL"/>
        </w:rPr>
        <w:t xml:space="preserve"> </w:t>
      </w:r>
      <w:r w:rsidRPr="005C1870">
        <w:rPr>
          <w:rFonts w:ascii="Verdana" w:hAnsi="Verdana" w:cs="Arial"/>
          <w:sz w:val="18"/>
          <w:szCs w:val="18"/>
          <w:lang w:val="nl-NL"/>
        </w:rPr>
        <w:t>als inwoner voor het Verdrag</w:t>
      </w:r>
      <w:r w:rsidR="002F4A27">
        <w:rPr>
          <w:rFonts w:ascii="Verdana" w:hAnsi="Verdana" w:cs="Arial"/>
          <w:sz w:val="18"/>
          <w:szCs w:val="18"/>
          <w:lang w:val="nl-NL"/>
        </w:rPr>
        <w:t xml:space="preserve"> en aanspraak zouden kunnen maken op de voordelen van het Verdrag</w:t>
      </w:r>
      <w:r w:rsidRPr="005C1870" w:rsidR="005B7992">
        <w:rPr>
          <w:rFonts w:ascii="Verdana" w:hAnsi="Verdana" w:cs="Arial"/>
          <w:sz w:val="18"/>
          <w:szCs w:val="18"/>
          <w:lang w:val="nl-NL"/>
        </w:rPr>
        <w:t xml:space="preserve">. </w:t>
      </w:r>
      <w:r w:rsidR="002F4A27">
        <w:rPr>
          <w:rFonts w:ascii="Verdana" w:hAnsi="Verdana" w:cs="Arial"/>
          <w:sz w:val="18"/>
          <w:szCs w:val="18"/>
          <w:lang w:val="nl-NL"/>
        </w:rPr>
        <w:t xml:space="preserve">Zoals aangegeven in de toelichting </w:t>
      </w:r>
      <w:r w:rsidR="006C120D">
        <w:rPr>
          <w:rFonts w:ascii="Verdana" w:hAnsi="Verdana" w:cs="Arial"/>
          <w:sz w:val="18"/>
          <w:szCs w:val="18"/>
          <w:lang w:val="nl-NL"/>
        </w:rPr>
        <w:t xml:space="preserve">op </w:t>
      </w:r>
      <w:r w:rsidR="002F4A27">
        <w:rPr>
          <w:rFonts w:ascii="Verdana" w:hAnsi="Verdana" w:cs="Arial"/>
          <w:sz w:val="18"/>
          <w:szCs w:val="18"/>
          <w:lang w:val="nl-NL"/>
        </w:rPr>
        <w:t xml:space="preserve">artikel 1 zijn VBI’s op grond van artikel II van het Protocol van bepaalde verdragsvoordelen uitgesloten. </w:t>
      </w:r>
    </w:p>
    <w:p w:rsidRPr="005C1870" w:rsidR="00500251" w:rsidP="00500251" w:rsidRDefault="00500251" w14:paraId="561288A7" w14:textId="00B4FF26">
      <w:pPr>
        <w:ind w:firstLine="720"/>
        <w:rPr>
          <w:rFonts w:ascii="Verdana" w:hAnsi="Verdana"/>
          <w:sz w:val="18"/>
          <w:szCs w:val="18"/>
          <w:lang w:val="nl-NL"/>
        </w:rPr>
      </w:pPr>
      <w:r w:rsidRPr="005C1870">
        <w:rPr>
          <w:rFonts w:ascii="Verdana" w:hAnsi="Verdana"/>
          <w:sz w:val="18"/>
          <w:szCs w:val="18"/>
          <w:lang w:val="nl-NL"/>
        </w:rPr>
        <w:t xml:space="preserve">Het derde lid maakt duidelijk dat een persoon geen inwoner van een </w:t>
      </w:r>
      <w:r w:rsidR="0021450B">
        <w:rPr>
          <w:rFonts w:ascii="Verdana" w:hAnsi="Verdana"/>
          <w:sz w:val="18"/>
          <w:szCs w:val="18"/>
          <w:lang w:val="nl-NL"/>
        </w:rPr>
        <w:t>verdragsluitende staat</w:t>
      </w:r>
      <w:r w:rsidRPr="005C1870">
        <w:rPr>
          <w:rFonts w:ascii="Verdana" w:hAnsi="Verdana"/>
          <w:sz w:val="18"/>
          <w:szCs w:val="18"/>
          <w:lang w:val="nl-NL"/>
        </w:rPr>
        <w:t xml:space="preserve"> is, wanneer hij in die </w:t>
      </w:r>
      <w:r w:rsidR="003103E7">
        <w:rPr>
          <w:rFonts w:ascii="Verdana" w:hAnsi="Verdana"/>
          <w:sz w:val="18"/>
          <w:szCs w:val="18"/>
          <w:lang w:val="nl-NL"/>
        </w:rPr>
        <w:t>staat</w:t>
      </w:r>
      <w:r w:rsidR="002F4A27">
        <w:rPr>
          <w:rFonts w:ascii="Verdana" w:hAnsi="Verdana"/>
          <w:sz w:val="18"/>
          <w:szCs w:val="18"/>
          <w:lang w:val="nl-NL"/>
        </w:rPr>
        <w:t xml:space="preserve"> slechts belastingplichtig is voor </w:t>
      </w:r>
      <w:r w:rsidRPr="005C1870">
        <w:rPr>
          <w:rFonts w:ascii="Verdana" w:hAnsi="Verdana"/>
          <w:sz w:val="18"/>
          <w:szCs w:val="18"/>
          <w:lang w:val="nl-NL"/>
        </w:rPr>
        <w:t xml:space="preserve">inkomsten verkregen uit bronnen in die </w:t>
      </w:r>
      <w:r w:rsidR="003103E7">
        <w:rPr>
          <w:rFonts w:ascii="Verdana" w:hAnsi="Verdana"/>
          <w:sz w:val="18"/>
          <w:szCs w:val="18"/>
          <w:lang w:val="nl-NL"/>
        </w:rPr>
        <w:t>staat</w:t>
      </w:r>
      <w:r w:rsidRPr="005C1870">
        <w:rPr>
          <w:rFonts w:ascii="Verdana" w:hAnsi="Verdana"/>
          <w:sz w:val="18"/>
          <w:szCs w:val="18"/>
          <w:lang w:val="nl-NL"/>
        </w:rPr>
        <w:t xml:space="preserve">. </w:t>
      </w:r>
      <w:r w:rsidRPr="005C1870" w:rsidR="005B7992">
        <w:rPr>
          <w:rFonts w:ascii="Verdana" w:hAnsi="Verdana"/>
          <w:sz w:val="18"/>
          <w:szCs w:val="18"/>
          <w:lang w:val="nl-NL"/>
        </w:rPr>
        <w:t>Deze bepaling komt overeen met artikel 4, eerste lid, tweede zin, van het OESO-modelverdrag.</w:t>
      </w:r>
    </w:p>
    <w:p w:rsidRPr="005C1870" w:rsidR="00500251" w:rsidP="00500251" w:rsidRDefault="00500251" w14:paraId="20115339" w14:textId="77777777">
      <w:pPr>
        <w:rPr>
          <w:rFonts w:ascii="Verdana" w:hAnsi="Verdana"/>
          <w:sz w:val="18"/>
          <w:szCs w:val="18"/>
          <w:lang w:val="nl-NL"/>
        </w:rPr>
      </w:pPr>
      <w:r w:rsidRPr="005C1870">
        <w:rPr>
          <w:rFonts w:ascii="Verdana" w:hAnsi="Verdana"/>
          <w:sz w:val="18"/>
          <w:szCs w:val="18"/>
          <w:lang w:val="nl-NL"/>
        </w:rPr>
        <w:t>Het vierde lid bevat regels om</w:t>
      </w:r>
      <w:r w:rsidR="002F4A27">
        <w:rPr>
          <w:rFonts w:ascii="Verdana" w:hAnsi="Verdana"/>
          <w:sz w:val="18"/>
          <w:szCs w:val="18"/>
          <w:lang w:val="nl-NL"/>
        </w:rPr>
        <w:t xml:space="preserve"> te be</w:t>
      </w:r>
      <w:r w:rsidR="00FA2818">
        <w:rPr>
          <w:rFonts w:ascii="Verdana" w:hAnsi="Verdana"/>
          <w:sz w:val="18"/>
          <w:szCs w:val="18"/>
          <w:lang w:val="nl-NL"/>
        </w:rPr>
        <w:t>slissen</w:t>
      </w:r>
      <w:r w:rsidR="002F4A27">
        <w:rPr>
          <w:rFonts w:ascii="Verdana" w:hAnsi="Verdana"/>
          <w:sz w:val="18"/>
          <w:szCs w:val="18"/>
          <w:lang w:val="nl-NL"/>
        </w:rPr>
        <w:t xml:space="preserve"> van welke verdragsluitende staat een natuurlijke persoon geacht wordt inwoner te zijn voor de toepassing van het Verdrag wanneer die persoon op grond van het eerste lid wordt aangemerkt als inwoner van beide staten.</w:t>
      </w:r>
      <w:r w:rsidRPr="005C1870">
        <w:rPr>
          <w:rFonts w:ascii="Verdana" w:hAnsi="Verdana"/>
          <w:sz w:val="18"/>
          <w:szCs w:val="18"/>
          <w:lang w:val="nl-NL"/>
        </w:rPr>
        <w:t xml:space="preserve"> Aangesloten wordt achtereenvolgens bij de beschikbaarheid van een duurzaam tehuis, het middelpunt van de levensbela</w:t>
      </w:r>
      <w:r w:rsidR="002F4A27">
        <w:rPr>
          <w:rFonts w:ascii="Verdana" w:hAnsi="Verdana"/>
          <w:sz w:val="18"/>
          <w:szCs w:val="18"/>
          <w:lang w:val="nl-NL"/>
        </w:rPr>
        <w:t>ngen, het gewoonlijk verblijf en</w:t>
      </w:r>
      <w:r w:rsidRPr="005C1870">
        <w:rPr>
          <w:rFonts w:ascii="Verdana" w:hAnsi="Verdana"/>
          <w:sz w:val="18"/>
          <w:szCs w:val="18"/>
          <w:lang w:val="nl-NL"/>
        </w:rPr>
        <w:t xml:space="preserve"> de nationaliteit. Indien op grond van deze factoren de woonplaats niet kan worden vastgesteld, zullen de bevoegde autoriteiten in onderling overleg bepalen van w</w:t>
      </w:r>
      <w:r w:rsidRPr="005C1870" w:rsidR="00025126">
        <w:rPr>
          <w:rFonts w:ascii="Verdana" w:hAnsi="Verdana"/>
          <w:sz w:val="18"/>
          <w:szCs w:val="18"/>
          <w:lang w:val="nl-NL"/>
        </w:rPr>
        <w:t xml:space="preserve">elke </w:t>
      </w:r>
      <w:r w:rsidR="0021450B">
        <w:rPr>
          <w:rFonts w:ascii="Verdana" w:hAnsi="Verdana"/>
          <w:sz w:val="18"/>
          <w:szCs w:val="18"/>
          <w:lang w:val="nl-NL"/>
        </w:rPr>
        <w:t>verdragsluitende staat</w:t>
      </w:r>
      <w:r w:rsidRPr="005C1870" w:rsidR="00025126">
        <w:rPr>
          <w:rFonts w:ascii="Verdana" w:hAnsi="Verdana"/>
          <w:sz w:val="18"/>
          <w:szCs w:val="18"/>
          <w:lang w:val="nl-NL"/>
        </w:rPr>
        <w:t xml:space="preserve"> een</w:t>
      </w:r>
      <w:r w:rsidRPr="005C1870">
        <w:rPr>
          <w:rFonts w:ascii="Verdana" w:hAnsi="Verdana"/>
          <w:sz w:val="18"/>
          <w:szCs w:val="18"/>
          <w:lang w:val="nl-NL"/>
        </w:rPr>
        <w:t xml:space="preserve"> </w:t>
      </w:r>
      <w:r w:rsidR="007F022E">
        <w:rPr>
          <w:rFonts w:ascii="Verdana" w:hAnsi="Verdana"/>
          <w:sz w:val="18"/>
          <w:szCs w:val="18"/>
          <w:lang w:val="nl-NL"/>
        </w:rPr>
        <w:t xml:space="preserve">natuurlijke </w:t>
      </w:r>
      <w:r w:rsidRPr="005C1870">
        <w:rPr>
          <w:rFonts w:ascii="Verdana" w:hAnsi="Verdana"/>
          <w:sz w:val="18"/>
          <w:szCs w:val="18"/>
          <w:lang w:val="nl-NL"/>
        </w:rPr>
        <w:t xml:space="preserve">persoon </w:t>
      </w:r>
      <w:r w:rsidR="007F022E">
        <w:rPr>
          <w:rFonts w:ascii="Verdana" w:hAnsi="Verdana"/>
          <w:sz w:val="18"/>
          <w:szCs w:val="18"/>
          <w:lang w:val="nl-NL"/>
        </w:rPr>
        <w:t xml:space="preserve">uitsluitend </w:t>
      </w:r>
      <w:r w:rsidRPr="005C1870">
        <w:rPr>
          <w:rFonts w:ascii="Verdana" w:hAnsi="Verdana"/>
          <w:sz w:val="18"/>
          <w:szCs w:val="18"/>
          <w:lang w:val="nl-NL"/>
        </w:rPr>
        <w:t xml:space="preserve">inwoner is. </w:t>
      </w:r>
    </w:p>
    <w:p w:rsidRPr="005C1870" w:rsidR="00897566" w:rsidP="002D2A48" w:rsidRDefault="00500251" w14:paraId="53B28267" w14:textId="66021C66">
      <w:pPr>
        <w:rPr>
          <w:rFonts w:ascii="Verdana" w:hAnsi="Verdana"/>
          <w:sz w:val="18"/>
          <w:szCs w:val="18"/>
          <w:lang w:val="nl-NL"/>
        </w:rPr>
      </w:pPr>
      <w:r w:rsidRPr="005C1870">
        <w:rPr>
          <w:rFonts w:ascii="Verdana" w:hAnsi="Verdana"/>
          <w:sz w:val="18"/>
          <w:szCs w:val="18"/>
          <w:lang w:val="nl-NL"/>
        </w:rPr>
        <w:t xml:space="preserve">Het vijfde lid bevat </w:t>
      </w:r>
      <w:r w:rsidRPr="005C1870" w:rsidR="00CD7AAE">
        <w:rPr>
          <w:rFonts w:ascii="Verdana" w:hAnsi="Verdana"/>
          <w:sz w:val="18"/>
          <w:szCs w:val="18"/>
          <w:lang w:val="nl-NL"/>
        </w:rPr>
        <w:t xml:space="preserve">regels om </w:t>
      </w:r>
      <w:r w:rsidRPr="005C1870" w:rsidR="00E56D07">
        <w:rPr>
          <w:rFonts w:ascii="Verdana" w:hAnsi="Verdana"/>
          <w:sz w:val="18"/>
          <w:szCs w:val="18"/>
          <w:lang w:val="nl-NL"/>
        </w:rPr>
        <w:t xml:space="preserve">vast te stellen </w:t>
      </w:r>
      <w:r w:rsidRPr="005C1870" w:rsidR="00CD7AAE">
        <w:rPr>
          <w:rFonts w:ascii="Verdana" w:hAnsi="Verdana"/>
          <w:sz w:val="18"/>
          <w:szCs w:val="18"/>
          <w:lang w:val="nl-NL"/>
        </w:rPr>
        <w:t>van</w:t>
      </w:r>
      <w:r w:rsidR="00FA2818">
        <w:rPr>
          <w:rFonts w:ascii="Verdana" w:hAnsi="Verdana"/>
          <w:sz w:val="18"/>
          <w:szCs w:val="18"/>
          <w:lang w:val="nl-NL"/>
        </w:rPr>
        <w:t xml:space="preserve"> welke verdragsluitende staat</w:t>
      </w:r>
      <w:r w:rsidRPr="005C1870" w:rsidR="00CD7AAE">
        <w:rPr>
          <w:rFonts w:ascii="Verdana" w:hAnsi="Verdana"/>
          <w:sz w:val="18"/>
          <w:szCs w:val="18"/>
          <w:lang w:val="nl-NL"/>
        </w:rPr>
        <w:t xml:space="preserve"> een niet-</w:t>
      </w:r>
      <w:r w:rsidRPr="005C1870" w:rsidR="007F1872">
        <w:rPr>
          <w:rFonts w:ascii="Verdana" w:hAnsi="Verdana"/>
          <w:sz w:val="18"/>
          <w:szCs w:val="18"/>
          <w:lang w:val="nl-NL"/>
        </w:rPr>
        <w:t>natuurlijke</w:t>
      </w:r>
      <w:r w:rsidR="00FA2818">
        <w:rPr>
          <w:rFonts w:ascii="Verdana" w:hAnsi="Verdana"/>
          <w:sz w:val="18"/>
          <w:szCs w:val="18"/>
          <w:lang w:val="nl-NL"/>
        </w:rPr>
        <w:t xml:space="preserve"> persoon,</w:t>
      </w:r>
      <w:r w:rsidRPr="005C1870" w:rsidR="007F1872">
        <w:rPr>
          <w:rFonts w:ascii="Verdana" w:hAnsi="Verdana"/>
          <w:sz w:val="18"/>
          <w:szCs w:val="18"/>
          <w:lang w:val="nl-NL"/>
        </w:rPr>
        <w:t xml:space="preserve"> </w:t>
      </w:r>
      <w:r w:rsidR="00FA2818">
        <w:rPr>
          <w:rFonts w:ascii="Verdana" w:hAnsi="Verdana"/>
          <w:sz w:val="18"/>
          <w:szCs w:val="18"/>
          <w:lang w:val="nl-NL"/>
        </w:rPr>
        <w:t xml:space="preserve">die </w:t>
      </w:r>
      <w:r w:rsidRPr="005C1870" w:rsidR="00CD7AAE">
        <w:rPr>
          <w:rFonts w:ascii="Verdana" w:hAnsi="Verdana"/>
          <w:sz w:val="18"/>
          <w:szCs w:val="18"/>
          <w:lang w:val="nl-NL"/>
        </w:rPr>
        <w:t xml:space="preserve">volgens de nationale wetgevingen van beide </w:t>
      </w:r>
      <w:r w:rsidR="003103E7">
        <w:rPr>
          <w:rFonts w:ascii="Verdana" w:hAnsi="Verdana"/>
          <w:sz w:val="18"/>
          <w:szCs w:val="18"/>
          <w:lang w:val="nl-NL"/>
        </w:rPr>
        <w:t>staten</w:t>
      </w:r>
      <w:r w:rsidRPr="005C1870" w:rsidR="00E56D07">
        <w:rPr>
          <w:rFonts w:ascii="Verdana" w:hAnsi="Verdana"/>
          <w:sz w:val="18"/>
          <w:szCs w:val="18"/>
          <w:lang w:val="nl-NL"/>
        </w:rPr>
        <w:t xml:space="preserve"> wordt aangemerkt als inwoner</w:t>
      </w:r>
      <w:r w:rsidR="00FA2818">
        <w:rPr>
          <w:rFonts w:ascii="Verdana" w:hAnsi="Verdana"/>
          <w:sz w:val="18"/>
          <w:szCs w:val="18"/>
          <w:lang w:val="nl-NL"/>
        </w:rPr>
        <w:t>, geacht wordt inwoner te zijn voor de toepassing van het Verdrag</w:t>
      </w:r>
      <w:r w:rsidRPr="005C1870" w:rsidR="00CD7AAE">
        <w:rPr>
          <w:rFonts w:ascii="Verdana" w:hAnsi="Verdana"/>
          <w:sz w:val="18"/>
          <w:szCs w:val="18"/>
          <w:lang w:val="nl-NL"/>
        </w:rPr>
        <w:t>.</w:t>
      </w:r>
      <w:r w:rsidRPr="005C1870">
        <w:rPr>
          <w:rFonts w:ascii="Verdana" w:hAnsi="Verdana"/>
          <w:sz w:val="18"/>
          <w:szCs w:val="18"/>
          <w:lang w:val="nl-NL"/>
        </w:rPr>
        <w:t xml:space="preserve"> </w:t>
      </w:r>
      <w:r w:rsidRPr="005C1870" w:rsidR="00C31E0B">
        <w:rPr>
          <w:rFonts w:ascii="Verdana" w:hAnsi="Verdana"/>
          <w:sz w:val="18"/>
          <w:szCs w:val="18"/>
          <w:lang w:val="nl-NL"/>
        </w:rPr>
        <w:t xml:space="preserve">Anders </w:t>
      </w:r>
      <w:r w:rsidRPr="005C1870" w:rsidR="00ED1DEE">
        <w:rPr>
          <w:rFonts w:ascii="Verdana" w:hAnsi="Verdana"/>
          <w:sz w:val="18"/>
          <w:szCs w:val="18"/>
          <w:lang w:val="nl-NL"/>
        </w:rPr>
        <w:t>dan in</w:t>
      </w:r>
      <w:r w:rsidRPr="005C1870">
        <w:rPr>
          <w:rFonts w:ascii="Verdana" w:hAnsi="Verdana"/>
          <w:sz w:val="18"/>
          <w:szCs w:val="18"/>
          <w:lang w:val="nl-NL"/>
        </w:rPr>
        <w:t xml:space="preserve"> het Verdrag </w:t>
      </w:r>
      <w:r w:rsidRPr="005C1870" w:rsidR="0006094E">
        <w:rPr>
          <w:rFonts w:ascii="Verdana" w:hAnsi="Verdana"/>
          <w:sz w:val="18"/>
          <w:szCs w:val="18"/>
          <w:lang w:val="nl-NL"/>
        </w:rPr>
        <w:t xml:space="preserve">van </w:t>
      </w:r>
      <w:r w:rsidRPr="005C1870">
        <w:rPr>
          <w:rFonts w:ascii="Verdana" w:hAnsi="Verdana"/>
          <w:sz w:val="18"/>
          <w:szCs w:val="18"/>
          <w:lang w:val="nl-NL"/>
        </w:rPr>
        <w:t>1990</w:t>
      </w:r>
      <w:r w:rsidRPr="005C1870" w:rsidR="00C31E0B">
        <w:rPr>
          <w:rFonts w:ascii="Verdana" w:hAnsi="Verdana"/>
          <w:sz w:val="18"/>
          <w:szCs w:val="18"/>
          <w:lang w:val="nl-NL"/>
        </w:rPr>
        <w:t xml:space="preserve">, </w:t>
      </w:r>
      <w:r w:rsidRPr="005C1870" w:rsidR="00C557E0">
        <w:rPr>
          <w:rFonts w:ascii="Verdana" w:hAnsi="Verdana"/>
          <w:sz w:val="18"/>
          <w:szCs w:val="18"/>
          <w:lang w:val="nl-NL"/>
        </w:rPr>
        <w:t xml:space="preserve">is </w:t>
      </w:r>
      <w:r w:rsidR="00FA2818">
        <w:rPr>
          <w:rFonts w:ascii="Verdana" w:hAnsi="Verdana"/>
          <w:sz w:val="18"/>
          <w:szCs w:val="18"/>
          <w:lang w:val="nl-NL"/>
        </w:rPr>
        <w:t xml:space="preserve">daarbij </w:t>
      </w:r>
      <w:r w:rsidRPr="005C1870" w:rsidR="00C557E0">
        <w:rPr>
          <w:rFonts w:ascii="Verdana" w:hAnsi="Verdana"/>
          <w:sz w:val="18"/>
          <w:szCs w:val="18"/>
          <w:lang w:val="nl-NL"/>
        </w:rPr>
        <w:t xml:space="preserve">niet </w:t>
      </w:r>
      <w:r w:rsidRPr="005C1870">
        <w:rPr>
          <w:rFonts w:ascii="Verdana" w:hAnsi="Verdana"/>
          <w:sz w:val="18"/>
          <w:szCs w:val="18"/>
          <w:lang w:val="nl-NL"/>
        </w:rPr>
        <w:t xml:space="preserve">de </w:t>
      </w:r>
      <w:r w:rsidRPr="005C1870" w:rsidR="00C557E0">
        <w:rPr>
          <w:rFonts w:ascii="Verdana" w:hAnsi="Verdana"/>
          <w:sz w:val="18"/>
          <w:szCs w:val="18"/>
          <w:lang w:val="nl-NL"/>
        </w:rPr>
        <w:t xml:space="preserve">plaats </w:t>
      </w:r>
      <w:r w:rsidRPr="005C1870" w:rsidR="00574A6B">
        <w:rPr>
          <w:rFonts w:ascii="Verdana" w:hAnsi="Verdana"/>
          <w:sz w:val="18"/>
          <w:szCs w:val="18"/>
          <w:lang w:val="nl-NL"/>
        </w:rPr>
        <w:t>van</w:t>
      </w:r>
      <w:r w:rsidRPr="005C1870" w:rsidR="00C557E0">
        <w:rPr>
          <w:rFonts w:ascii="Verdana" w:hAnsi="Verdana"/>
          <w:sz w:val="18"/>
          <w:szCs w:val="18"/>
          <w:lang w:val="nl-NL"/>
        </w:rPr>
        <w:t xml:space="preserve"> </w:t>
      </w:r>
      <w:r w:rsidRPr="005C1870">
        <w:rPr>
          <w:rFonts w:ascii="Verdana" w:hAnsi="Verdana"/>
          <w:sz w:val="18"/>
          <w:szCs w:val="18"/>
          <w:lang w:val="nl-NL"/>
        </w:rPr>
        <w:t xml:space="preserve">werkelijke leiding </w:t>
      </w:r>
      <w:r w:rsidRPr="005C1870" w:rsidR="00ED1DEE">
        <w:rPr>
          <w:rFonts w:ascii="Verdana" w:hAnsi="Verdana"/>
          <w:sz w:val="18"/>
          <w:szCs w:val="18"/>
          <w:lang w:val="nl-NL"/>
        </w:rPr>
        <w:t xml:space="preserve">doorslaggevend, maar kan de verdragswoonplaats bepaald worden via onderling overleg tussen </w:t>
      </w:r>
      <w:r w:rsidR="00BD4E1D">
        <w:rPr>
          <w:rFonts w:ascii="Verdana" w:hAnsi="Verdana"/>
          <w:sz w:val="18"/>
          <w:szCs w:val="18"/>
          <w:lang w:val="nl-NL"/>
        </w:rPr>
        <w:t xml:space="preserve">de </w:t>
      </w:r>
      <w:r w:rsidRPr="005C1870" w:rsidR="00ED1DEE">
        <w:rPr>
          <w:rFonts w:ascii="Verdana" w:hAnsi="Verdana"/>
          <w:sz w:val="18"/>
          <w:szCs w:val="18"/>
          <w:lang w:val="nl-NL"/>
        </w:rPr>
        <w:t>bevoegde autoriteiten</w:t>
      </w:r>
      <w:r w:rsidRPr="005C1870">
        <w:rPr>
          <w:rFonts w:ascii="Verdana" w:hAnsi="Verdana"/>
          <w:sz w:val="18"/>
          <w:szCs w:val="18"/>
          <w:lang w:val="nl-NL"/>
        </w:rPr>
        <w:t>. Hierbij zullen de plaats waar de werkelijke leiding van deze persoon is ge</w:t>
      </w:r>
      <w:r w:rsidRPr="005C1870" w:rsidR="00CD6E7D">
        <w:rPr>
          <w:rFonts w:ascii="Verdana" w:hAnsi="Verdana"/>
          <w:sz w:val="18"/>
          <w:szCs w:val="18"/>
          <w:lang w:val="nl-NL"/>
        </w:rPr>
        <w:t>legen</w:t>
      </w:r>
      <w:r w:rsidRPr="005C1870">
        <w:rPr>
          <w:rFonts w:ascii="Verdana" w:hAnsi="Verdana"/>
          <w:sz w:val="18"/>
          <w:szCs w:val="18"/>
          <w:lang w:val="nl-NL"/>
        </w:rPr>
        <w:t xml:space="preserve">, de plaats waar deze persoon is opgericht of anderszins geconstitueerd en alle andere relevante factoren </w:t>
      </w:r>
      <w:r w:rsidRPr="005C1870" w:rsidR="00CD6E7D">
        <w:rPr>
          <w:rFonts w:ascii="Verdana" w:hAnsi="Verdana"/>
          <w:sz w:val="18"/>
          <w:szCs w:val="18"/>
          <w:lang w:val="nl-NL"/>
        </w:rPr>
        <w:t xml:space="preserve">(waaronder het mogelijke fiscale motief voor het ontstaan van een dubbele verdragswoonplaats) </w:t>
      </w:r>
      <w:r w:rsidRPr="005C1870">
        <w:rPr>
          <w:rFonts w:ascii="Verdana" w:hAnsi="Verdana"/>
          <w:sz w:val="18"/>
          <w:szCs w:val="18"/>
          <w:lang w:val="nl-NL"/>
        </w:rPr>
        <w:t xml:space="preserve">in acht </w:t>
      </w:r>
      <w:r w:rsidR="00FA2818">
        <w:rPr>
          <w:rFonts w:ascii="Verdana" w:hAnsi="Verdana"/>
          <w:sz w:val="18"/>
          <w:szCs w:val="18"/>
          <w:lang w:val="nl-NL"/>
        </w:rPr>
        <w:t>worden genomen</w:t>
      </w:r>
      <w:r w:rsidRPr="005C1870">
        <w:rPr>
          <w:rFonts w:ascii="Verdana" w:hAnsi="Verdana"/>
          <w:sz w:val="18"/>
          <w:szCs w:val="18"/>
          <w:lang w:val="nl-NL"/>
        </w:rPr>
        <w:t xml:space="preserve">. Zolang de bevoegde autoriteiten geen overeenstemming hebben bereikt over de </w:t>
      </w:r>
      <w:r w:rsidR="00FA2818">
        <w:rPr>
          <w:rFonts w:ascii="Verdana" w:hAnsi="Verdana"/>
          <w:sz w:val="18"/>
          <w:szCs w:val="18"/>
          <w:lang w:val="nl-NL"/>
        </w:rPr>
        <w:t>verdrags</w:t>
      </w:r>
      <w:r w:rsidRPr="005C1870">
        <w:rPr>
          <w:rFonts w:ascii="Verdana" w:hAnsi="Verdana"/>
          <w:sz w:val="18"/>
          <w:szCs w:val="18"/>
          <w:lang w:val="nl-NL"/>
        </w:rPr>
        <w:t xml:space="preserve">woonplaats kan deze persoon geen aanspraak maken op de verdragsvoordelen, behalve de voordelen </w:t>
      </w:r>
      <w:r w:rsidRPr="005C1870" w:rsidR="006C424C">
        <w:rPr>
          <w:rFonts w:ascii="Verdana" w:hAnsi="Verdana"/>
          <w:sz w:val="18"/>
          <w:szCs w:val="18"/>
          <w:lang w:val="nl-NL"/>
        </w:rPr>
        <w:t xml:space="preserve">van </w:t>
      </w:r>
      <w:r w:rsidRPr="005C1870">
        <w:rPr>
          <w:rFonts w:ascii="Verdana" w:hAnsi="Verdana"/>
          <w:sz w:val="18"/>
          <w:szCs w:val="18"/>
          <w:lang w:val="nl-NL"/>
        </w:rPr>
        <w:t xml:space="preserve">de artikelen 24 </w:t>
      </w:r>
      <w:r w:rsidR="00FA2818">
        <w:rPr>
          <w:rFonts w:ascii="Verdana" w:hAnsi="Verdana"/>
          <w:sz w:val="18"/>
          <w:szCs w:val="18"/>
          <w:lang w:val="nl-NL"/>
        </w:rPr>
        <w:t xml:space="preserve">(non-discriminatie), artikel </w:t>
      </w:r>
      <w:r w:rsidRPr="005C1870">
        <w:rPr>
          <w:rFonts w:ascii="Verdana" w:hAnsi="Verdana"/>
          <w:sz w:val="18"/>
          <w:szCs w:val="18"/>
          <w:lang w:val="nl-NL"/>
        </w:rPr>
        <w:t>25</w:t>
      </w:r>
      <w:r w:rsidRPr="005C1870" w:rsidR="006C424C">
        <w:rPr>
          <w:rFonts w:ascii="Verdana" w:hAnsi="Verdana"/>
          <w:sz w:val="18"/>
          <w:szCs w:val="18"/>
          <w:lang w:val="nl-NL"/>
        </w:rPr>
        <w:t xml:space="preserve"> (</w:t>
      </w:r>
      <w:r w:rsidRPr="005C1870" w:rsidR="00517E94">
        <w:rPr>
          <w:rFonts w:ascii="Verdana" w:hAnsi="Verdana"/>
          <w:sz w:val="18"/>
          <w:szCs w:val="18"/>
          <w:lang w:val="nl-NL"/>
        </w:rPr>
        <w:t xml:space="preserve">procedure voor </w:t>
      </w:r>
      <w:r w:rsidRPr="005C1870" w:rsidR="006C424C">
        <w:rPr>
          <w:rFonts w:ascii="Verdana" w:hAnsi="Verdana"/>
          <w:sz w:val="18"/>
          <w:szCs w:val="18"/>
          <w:lang w:val="nl-NL"/>
        </w:rPr>
        <w:t>onderling overleg)</w:t>
      </w:r>
      <w:r w:rsidRPr="005C1870">
        <w:rPr>
          <w:rFonts w:ascii="Verdana" w:hAnsi="Verdana"/>
          <w:sz w:val="18"/>
          <w:szCs w:val="18"/>
          <w:lang w:val="nl-NL"/>
        </w:rPr>
        <w:t xml:space="preserve"> en </w:t>
      </w:r>
      <w:r w:rsidR="00FA2818">
        <w:rPr>
          <w:rFonts w:ascii="Verdana" w:hAnsi="Verdana"/>
          <w:sz w:val="18"/>
          <w:szCs w:val="18"/>
          <w:lang w:val="nl-NL"/>
        </w:rPr>
        <w:t>van andere artikelen zoals door de bevoegde autoriteiten in onderlinge overeenstemming kan worden bepaald</w:t>
      </w:r>
      <w:r w:rsidRPr="005C1870">
        <w:rPr>
          <w:rFonts w:ascii="Verdana" w:hAnsi="Verdana"/>
          <w:sz w:val="18"/>
          <w:szCs w:val="18"/>
          <w:lang w:val="nl-NL"/>
        </w:rPr>
        <w:t xml:space="preserve">. </w:t>
      </w:r>
      <w:r w:rsidR="00FA2818">
        <w:rPr>
          <w:rFonts w:ascii="Verdana" w:hAnsi="Verdana"/>
          <w:sz w:val="18"/>
          <w:szCs w:val="18"/>
          <w:lang w:val="nl-NL"/>
        </w:rPr>
        <w:t>Het vijfde</w:t>
      </w:r>
      <w:r w:rsidR="002D2A48">
        <w:rPr>
          <w:rFonts w:ascii="Verdana" w:hAnsi="Verdana"/>
          <w:sz w:val="18"/>
          <w:szCs w:val="18"/>
          <w:lang w:val="nl-NL"/>
        </w:rPr>
        <w:t xml:space="preserve"> lid</w:t>
      </w:r>
      <w:r w:rsidR="00FA2818">
        <w:rPr>
          <w:rFonts w:ascii="Verdana" w:hAnsi="Verdana"/>
          <w:sz w:val="18"/>
          <w:szCs w:val="18"/>
          <w:lang w:val="nl-NL"/>
        </w:rPr>
        <w:t xml:space="preserve"> is </w:t>
      </w:r>
      <w:r w:rsidR="002D2A48">
        <w:rPr>
          <w:rFonts w:ascii="Verdana" w:hAnsi="Verdana"/>
          <w:sz w:val="18"/>
          <w:szCs w:val="18"/>
          <w:lang w:val="nl-NL"/>
        </w:rPr>
        <w:t>gebaseerd</w:t>
      </w:r>
      <w:r w:rsidR="00FA2818">
        <w:rPr>
          <w:rFonts w:ascii="Verdana" w:hAnsi="Verdana"/>
          <w:sz w:val="18"/>
          <w:szCs w:val="18"/>
          <w:lang w:val="nl-NL"/>
        </w:rPr>
        <w:t xml:space="preserve"> </w:t>
      </w:r>
      <w:r w:rsidRPr="005C1870" w:rsidR="001C7DDD">
        <w:rPr>
          <w:rFonts w:ascii="Verdana" w:hAnsi="Verdana"/>
          <w:sz w:val="18"/>
          <w:szCs w:val="18"/>
          <w:lang w:val="nl-NL"/>
        </w:rPr>
        <w:t xml:space="preserve">op </w:t>
      </w:r>
      <w:r w:rsidRPr="005C1870" w:rsidR="00CE1FD9">
        <w:rPr>
          <w:rFonts w:ascii="Verdana" w:hAnsi="Verdana"/>
          <w:sz w:val="18"/>
          <w:szCs w:val="18"/>
          <w:lang w:val="nl-NL"/>
        </w:rPr>
        <w:t>het derde lid van</w:t>
      </w:r>
      <w:r w:rsidRPr="005C1870" w:rsidR="00517E94">
        <w:rPr>
          <w:rFonts w:ascii="Verdana" w:hAnsi="Verdana"/>
          <w:sz w:val="18"/>
          <w:szCs w:val="18"/>
          <w:lang w:val="nl-NL"/>
        </w:rPr>
        <w:t xml:space="preserve"> </w:t>
      </w:r>
      <w:r w:rsidRPr="005C1870" w:rsidR="001C7DDD">
        <w:rPr>
          <w:rFonts w:ascii="Verdana" w:hAnsi="Verdana"/>
          <w:sz w:val="18"/>
          <w:szCs w:val="18"/>
          <w:lang w:val="nl-NL"/>
        </w:rPr>
        <w:t>artikel 4 van het OESO-modelverdrag</w:t>
      </w:r>
      <w:r w:rsidR="002D2A48">
        <w:rPr>
          <w:rFonts w:ascii="Verdana" w:hAnsi="Verdana"/>
          <w:sz w:val="18"/>
          <w:szCs w:val="18"/>
          <w:lang w:val="nl-NL"/>
        </w:rPr>
        <w:t xml:space="preserve">. </w:t>
      </w:r>
      <w:r w:rsidR="002D2A48">
        <w:rPr>
          <w:rFonts w:ascii="Verdana" w:hAnsi="Verdana" w:cs="Arial"/>
          <w:sz w:val="18"/>
          <w:szCs w:val="18"/>
          <w:lang w:val="nl-NL"/>
        </w:rPr>
        <w:t xml:space="preserve">Het mede op artikel 4 van het Verdrag betrekking hebbende </w:t>
      </w:r>
      <w:r w:rsidRPr="005C1870" w:rsidR="00897566">
        <w:rPr>
          <w:rFonts w:ascii="Verdana" w:hAnsi="Verdana" w:cs="Arial"/>
          <w:sz w:val="18"/>
          <w:szCs w:val="18"/>
          <w:lang w:val="nl-NL"/>
        </w:rPr>
        <w:t xml:space="preserve">artikel III van het Protocol </w:t>
      </w:r>
      <w:r w:rsidR="002D2A48">
        <w:rPr>
          <w:rFonts w:ascii="Verdana" w:hAnsi="Verdana" w:cs="Arial"/>
          <w:sz w:val="18"/>
          <w:szCs w:val="18"/>
          <w:lang w:val="nl-NL"/>
        </w:rPr>
        <w:t>is reed</w:t>
      </w:r>
      <w:r w:rsidR="00B57197">
        <w:rPr>
          <w:rFonts w:ascii="Verdana" w:hAnsi="Verdana" w:cs="Arial"/>
          <w:sz w:val="18"/>
          <w:szCs w:val="18"/>
          <w:lang w:val="nl-NL"/>
        </w:rPr>
        <w:t>s</w:t>
      </w:r>
      <w:r w:rsidR="002D2A48">
        <w:rPr>
          <w:rFonts w:ascii="Verdana" w:hAnsi="Verdana" w:cs="Arial"/>
          <w:sz w:val="18"/>
          <w:szCs w:val="18"/>
          <w:lang w:val="nl-NL"/>
        </w:rPr>
        <w:t xml:space="preserve"> toegelicht </w:t>
      </w:r>
      <w:r w:rsidR="00F45DB2">
        <w:rPr>
          <w:rFonts w:ascii="Verdana" w:hAnsi="Verdana" w:cs="Arial"/>
          <w:sz w:val="18"/>
          <w:szCs w:val="18"/>
          <w:lang w:val="nl-NL"/>
        </w:rPr>
        <w:t xml:space="preserve">in de toelichting </w:t>
      </w:r>
      <w:r w:rsidR="006E32D5">
        <w:rPr>
          <w:rFonts w:ascii="Verdana" w:hAnsi="Verdana" w:cs="Arial"/>
          <w:sz w:val="18"/>
          <w:szCs w:val="18"/>
          <w:lang w:val="nl-NL"/>
        </w:rPr>
        <w:t>op</w:t>
      </w:r>
      <w:r w:rsidR="002D2A48">
        <w:rPr>
          <w:rFonts w:ascii="Verdana" w:hAnsi="Verdana" w:cs="Arial"/>
          <w:sz w:val="18"/>
          <w:szCs w:val="18"/>
          <w:lang w:val="nl-NL"/>
        </w:rPr>
        <w:t xml:space="preserve"> artikel 2</w:t>
      </w:r>
      <w:r w:rsidRPr="005C1870" w:rsidR="00897566">
        <w:rPr>
          <w:rFonts w:ascii="Verdana" w:hAnsi="Verdana" w:cs="Arial"/>
          <w:sz w:val="18"/>
          <w:szCs w:val="18"/>
          <w:lang w:val="nl-NL"/>
        </w:rPr>
        <w:t>.</w:t>
      </w:r>
    </w:p>
    <w:p w:rsidRPr="005C1870" w:rsidR="00500251" w:rsidP="00500251" w:rsidRDefault="00A779D1" w14:paraId="02419B50" w14:textId="77777777">
      <w:pPr>
        <w:rPr>
          <w:rFonts w:ascii="Verdana" w:hAnsi="Verdana"/>
          <w:sz w:val="18"/>
          <w:szCs w:val="18"/>
          <w:lang w:val="nl-NL"/>
        </w:rPr>
      </w:pPr>
      <w:r w:rsidRPr="005C1870">
        <w:rPr>
          <w:rFonts w:ascii="Verdana" w:hAnsi="Verdana"/>
          <w:sz w:val="18"/>
          <w:szCs w:val="18"/>
          <w:lang w:val="nl-NL"/>
        </w:rPr>
        <w:t xml:space="preserve">Artikel </w:t>
      </w:r>
      <w:r w:rsidRPr="005C1870" w:rsidR="00500251">
        <w:rPr>
          <w:rFonts w:ascii="Verdana" w:hAnsi="Verdana"/>
          <w:sz w:val="18"/>
          <w:szCs w:val="18"/>
          <w:lang w:val="nl-NL"/>
        </w:rPr>
        <w:t>IV</w:t>
      </w:r>
      <w:r w:rsidRPr="005C1870">
        <w:rPr>
          <w:rFonts w:ascii="Verdana" w:hAnsi="Verdana"/>
          <w:sz w:val="18"/>
          <w:szCs w:val="18"/>
          <w:lang w:val="nl-NL"/>
        </w:rPr>
        <w:t xml:space="preserve"> van het Protocol</w:t>
      </w:r>
      <w:r w:rsidRPr="005C1870" w:rsidR="00500251">
        <w:rPr>
          <w:rFonts w:ascii="Verdana" w:hAnsi="Verdana"/>
          <w:sz w:val="18"/>
          <w:szCs w:val="18"/>
          <w:lang w:val="nl-NL"/>
        </w:rPr>
        <w:t xml:space="preserve"> bepaalt dat in het geval een natuurlijke persoon aan boord van een schip woont, de thuishaven van het </w:t>
      </w:r>
      <w:r w:rsidR="0017690D">
        <w:rPr>
          <w:rFonts w:ascii="Verdana" w:hAnsi="Verdana"/>
          <w:sz w:val="18"/>
          <w:szCs w:val="18"/>
          <w:lang w:val="nl-NL"/>
        </w:rPr>
        <w:t>des</w:t>
      </w:r>
      <w:r w:rsidRPr="005C1870" w:rsidR="00500251">
        <w:rPr>
          <w:rFonts w:ascii="Verdana" w:hAnsi="Verdana"/>
          <w:sz w:val="18"/>
          <w:szCs w:val="18"/>
          <w:lang w:val="nl-NL"/>
        </w:rPr>
        <w:t xml:space="preserve">betreffende schip valt onder </w:t>
      </w:r>
      <w:r w:rsidRPr="005C1870">
        <w:rPr>
          <w:rFonts w:ascii="Verdana" w:hAnsi="Verdana"/>
          <w:sz w:val="18"/>
          <w:szCs w:val="18"/>
          <w:lang w:val="nl-NL"/>
        </w:rPr>
        <w:t>‘</w:t>
      </w:r>
      <w:r w:rsidRPr="005C1870" w:rsidR="00500251">
        <w:rPr>
          <w:rFonts w:ascii="Verdana" w:hAnsi="Verdana" w:cs="Arial"/>
          <w:sz w:val="18"/>
          <w:szCs w:val="18"/>
          <w:lang w:val="nl-NL"/>
        </w:rPr>
        <w:t>enige andere soortgelijke omstandigheid</w:t>
      </w:r>
      <w:r w:rsidRPr="005C1870">
        <w:rPr>
          <w:rFonts w:ascii="Verdana" w:hAnsi="Verdana" w:cs="Arial"/>
          <w:sz w:val="18"/>
          <w:szCs w:val="18"/>
          <w:lang w:val="nl-NL"/>
        </w:rPr>
        <w:t>’</w:t>
      </w:r>
      <w:r w:rsidRPr="005C1870" w:rsidR="00500251">
        <w:rPr>
          <w:rFonts w:ascii="Verdana" w:hAnsi="Verdana" w:cs="Arial"/>
          <w:sz w:val="18"/>
          <w:szCs w:val="18"/>
          <w:lang w:val="nl-NL"/>
        </w:rPr>
        <w:t xml:space="preserve"> in het eerste lid van artikel 4. Hiermee wordt </w:t>
      </w:r>
      <w:r w:rsidRPr="005C1870" w:rsidR="00517E94">
        <w:rPr>
          <w:rFonts w:ascii="Verdana" w:hAnsi="Verdana" w:cs="Arial"/>
          <w:sz w:val="18"/>
          <w:szCs w:val="18"/>
          <w:lang w:val="nl-NL"/>
        </w:rPr>
        <w:t>duidelijk gemaakt</w:t>
      </w:r>
      <w:r w:rsidRPr="005C1870" w:rsidR="00500251">
        <w:rPr>
          <w:rFonts w:ascii="Verdana" w:hAnsi="Verdana" w:cs="Arial"/>
          <w:sz w:val="18"/>
          <w:szCs w:val="18"/>
          <w:lang w:val="nl-NL"/>
        </w:rPr>
        <w:t xml:space="preserve"> dat ook deze personen onder de reikwijdte van het Verdrag vallen. </w:t>
      </w:r>
    </w:p>
    <w:p w:rsidRPr="005C1870" w:rsidR="00500251" w:rsidP="00500251" w:rsidRDefault="00500251" w14:paraId="29F00323" w14:textId="77777777">
      <w:pPr>
        <w:rPr>
          <w:rFonts w:ascii="Verdana" w:hAnsi="Verdana"/>
          <w:sz w:val="18"/>
          <w:szCs w:val="18"/>
          <w:highlight w:val="yellow"/>
          <w:lang w:val="nl-NL"/>
        </w:rPr>
      </w:pPr>
    </w:p>
    <w:p w:rsidRPr="005C1870" w:rsidR="00500251" w:rsidP="00500251" w:rsidRDefault="00500251" w14:paraId="77B51C99" w14:textId="77777777">
      <w:pPr>
        <w:ind w:firstLine="0"/>
        <w:rPr>
          <w:rFonts w:ascii="Verdana" w:hAnsi="Verdana"/>
          <w:sz w:val="18"/>
          <w:szCs w:val="18"/>
          <w:lang w:val="nl-NL"/>
        </w:rPr>
      </w:pPr>
      <w:r w:rsidRPr="005C1870">
        <w:rPr>
          <w:rFonts w:ascii="Verdana" w:hAnsi="Verdana"/>
          <w:i/>
          <w:sz w:val="18"/>
          <w:szCs w:val="18"/>
          <w:lang w:val="nl-NL"/>
        </w:rPr>
        <w:lastRenderedPageBreak/>
        <w:t>II.5.</w:t>
      </w:r>
      <w:r w:rsidRPr="005C1870" w:rsidR="00A779D1">
        <w:rPr>
          <w:rFonts w:ascii="Verdana" w:hAnsi="Verdana"/>
          <w:i/>
          <w:sz w:val="18"/>
          <w:szCs w:val="18"/>
          <w:lang w:val="nl-NL"/>
        </w:rPr>
        <w:t xml:space="preserve"> </w:t>
      </w:r>
      <w:r w:rsidRPr="005C1870">
        <w:rPr>
          <w:rFonts w:ascii="Verdana" w:hAnsi="Verdana"/>
          <w:i/>
          <w:sz w:val="18"/>
          <w:szCs w:val="18"/>
          <w:lang w:val="nl-NL"/>
        </w:rPr>
        <w:t>Vaste inrichting (artikel 5</w:t>
      </w:r>
      <w:r w:rsidR="00916448">
        <w:rPr>
          <w:rFonts w:ascii="Verdana" w:hAnsi="Verdana"/>
          <w:i/>
          <w:sz w:val="18"/>
          <w:szCs w:val="18"/>
          <w:lang w:val="nl-NL"/>
        </w:rPr>
        <w:t xml:space="preserve"> </w:t>
      </w:r>
      <w:r w:rsidRPr="00916448" w:rsidR="00916448">
        <w:rPr>
          <w:rFonts w:ascii="Verdana" w:hAnsi="Verdana"/>
          <w:i/>
          <w:sz w:val="18"/>
          <w:szCs w:val="18"/>
          <w:lang w:val="nl-NL"/>
        </w:rPr>
        <w:t>van het Verdrag</w:t>
      </w:r>
      <w:r w:rsidRPr="00916448">
        <w:rPr>
          <w:rFonts w:ascii="Verdana" w:hAnsi="Verdana"/>
          <w:i/>
          <w:sz w:val="18"/>
          <w:szCs w:val="18"/>
          <w:lang w:val="nl-NL"/>
        </w:rPr>
        <w:t xml:space="preserve"> </w:t>
      </w:r>
      <w:r w:rsidRPr="005C1870">
        <w:rPr>
          <w:rFonts w:ascii="Verdana" w:hAnsi="Verdana"/>
          <w:i/>
          <w:sz w:val="18"/>
          <w:szCs w:val="18"/>
          <w:lang w:val="nl-NL"/>
        </w:rPr>
        <w:t>en artikel V</w:t>
      </w:r>
      <w:r w:rsidRPr="00916448" w:rsidR="00916448">
        <w:rPr>
          <w:rFonts w:ascii="Verdana" w:hAnsi="Verdana"/>
          <w:i/>
          <w:sz w:val="18"/>
          <w:szCs w:val="18"/>
          <w:lang w:val="nl-NL"/>
        </w:rPr>
        <w:t xml:space="preserve"> </w:t>
      </w:r>
      <w:r w:rsidR="00916448">
        <w:rPr>
          <w:rFonts w:ascii="Verdana" w:hAnsi="Verdana"/>
          <w:i/>
          <w:sz w:val="18"/>
          <w:szCs w:val="18"/>
          <w:lang w:val="nl-NL"/>
        </w:rPr>
        <w:t xml:space="preserve">van het </w:t>
      </w:r>
      <w:r w:rsidRPr="005C1870" w:rsidR="00916448">
        <w:rPr>
          <w:rFonts w:ascii="Verdana" w:hAnsi="Verdana"/>
          <w:i/>
          <w:sz w:val="18"/>
          <w:szCs w:val="18"/>
          <w:lang w:val="nl-NL"/>
        </w:rPr>
        <w:t>Protocol</w:t>
      </w:r>
      <w:r w:rsidRPr="005C1870">
        <w:rPr>
          <w:rFonts w:ascii="Verdana" w:hAnsi="Verdana"/>
          <w:i/>
          <w:sz w:val="18"/>
          <w:szCs w:val="18"/>
          <w:lang w:val="nl-NL"/>
        </w:rPr>
        <w:t xml:space="preserve">) </w:t>
      </w:r>
      <w:r w:rsidRPr="005C1870">
        <w:rPr>
          <w:rFonts w:ascii="Verdana" w:hAnsi="Verdana"/>
          <w:i/>
          <w:sz w:val="18"/>
          <w:szCs w:val="18"/>
          <w:lang w:val="nl-NL"/>
        </w:rPr>
        <w:br/>
      </w:r>
    </w:p>
    <w:p w:rsidRPr="005C1870" w:rsidR="00500251" w:rsidP="00500251" w:rsidRDefault="00500251" w14:paraId="7A1703FA" w14:textId="77777777">
      <w:pPr>
        <w:ind w:firstLine="720"/>
        <w:rPr>
          <w:rFonts w:ascii="Verdana" w:hAnsi="Verdana" w:cs="Arial"/>
          <w:sz w:val="18"/>
          <w:szCs w:val="18"/>
          <w:lang w:val="nl-NL"/>
        </w:rPr>
      </w:pPr>
      <w:r w:rsidRPr="005C1870">
        <w:rPr>
          <w:rFonts w:ascii="Verdana" w:hAnsi="Verdana"/>
          <w:sz w:val="18"/>
          <w:szCs w:val="18"/>
          <w:lang w:val="nl-NL"/>
        </w:rPr>
        <w:t>Artikel 5</w:t>
      </w:r>
      <w:r w:rsidRPr="005C1870" w:rsidR="008168BA">
        <w:rPr>
          <w:rFonts w:ascii="Verdana" w:hAnsi="Verdana"/>
          <w:sz w:val="18"/>
          <w:szCs w:val="18"/>
          <w:lang w:val="nl-NL"/>
        </w:rPr>
        <w:t xml:space="preserve"> van het Verdrag</w:t>
      </w:r>
      <w:r w:rsidRPr="005C1870">
        <w:rPr>
          <w:rFonts w:ascii="Verdana" w:hAnsi="Verdana"/>
          <w:sz w:val="18"/>
          <w:szCs w:val="18"/>
          <w:lang w:val="nl-NL"/>
        </w:rPr>
        <w:t xml:space="preserve"> definieert het begrip ‘vaste inrichting’. </w:t>
      </w:r>
      <w:r w:rsidRPr="005C1870" w:rsidR="004D6855">
        <w:rPr>
          <w:rFonts w:ascii="Verdana" w:hAnsi="Verdana" w:cs="Arial"/>
          <w:sz w:val="18"/>
          <w:szCs w:val="18"/>
          <w:lang w:val="nl-NL"/>
        </w:rPr>
        <w:t>Daarbij is artikel 5 van het OESO-modelverdrag als uitgangspunt genomen</w:t>
      </w:r>
      <w:r w:rsidRPr="005C1870" w:rsidR="003E13F9">
        <w:rPr>
          <w:rFonts w:ascii="Verdana" w:hAnsi="Verdana" w:cs="Arial"/>
          <w:sz w:val="18"/>
          <w:szCs w:val="18"/>
          <w:lang w:val="nl-NL"/>
        </w:rPr>
        <w:t>.</w:t>
      </w:r>
      <w:r w:rsidRPr="005C1870">
        <w:rPr>
          <w:rFonts w:ascii="Verdana" w:hAnsi="Verdana" w:cs="Arial"/>
          <w:sz w:val="18"/>
          <w:szCs w:val="18"/>
          <w:lang w:val="nl-NL"/>
        </w:rPr>
        <w:t xml:space="preserve"> Op verzoek van Nederland is dit artikel aangevuld met bepalingen over de aanwezigheid van een vaste inrichting met betrekking tot werkzaamheden buitengaats (vierde, vijfde en zesde lid</w:t>
      </w:r>
      <w:r w:rsidRPr="005C1870" w:rsidR="000B574F">
        <w:rPr>
          <w:rFonts w:ascii="Verdana" w:hAnsi="Verdana" w:cs="Arial"/>
          <w:sz w:val="18"/>
          <w:szCs w:val="18"/>
          <w:lang w:val="nl-NL"/>
        </w:rPr>
        <w:t>, onderdeel b</w:t>
      </w:r>
      <w:r w:rsidRPr="005C1870">
        <w:rPr>
          <w:rFonts w:ascii="Verdana" w:hAnsi="Verdana" w:cs="Arial"/>
          <w:sz w:val="18"/>
          <w:szCs w:val="18"/>
          <w:lang w:val="nl-NL"/>
        </w:rPr>
        <w:t>)</w:t>
      </w:r>
      <w:r w:rsidRPr="005C1870">
        <w:rPr>
          <w:rFonts w:ascii="Verdana" w:hAnsi="Verdana"/>
          <w:sz w:val="18"/>
          <w:szCs w:val="18"/>
          <w:lang w:val="nl-NL"/>
        </w:rPr>
        <w:t xml:space="preserve">. </w:t>
      </w:r>
    </w:p>
    <w:p w:rsidRPr="005C1870" w:rsidR="00500251" w:rsidP="00500251" w:rsidRDefault="00500251" w14:paraId="60008B53" w14:textId="77777777">
      <w:pPr>
        <w:rPr>
          <w:rFonts w:ascii="Verdana" w:hAnsi="Verdana"/>
          <w:sz w:val="18"/>
          <w:szCs w:val="18"/>
          <w:lang w:val="nl-NL"/>
        </w:rPr>
      </w:pPr>
      <w:r w:rsidRPr="005C1870">
        <w:rPr>
          <w:rFonts w:ascii="Verdana" w:hAnsi="Verdana"/>
          <w:sz w:val="18"/>
          <w:szCs w:val="18"/>
          <w:lang w:val="nl-NL"/>
        </w:rPr>
        <w:t xml:space="preserve">Volgens het eerste lid betekent de uitdrukking ‘vaste inrichting’ voor de toepassing van het Verdrag een vaste bedrijfsinrichting met behulp waarvan de werkzaamheden van een onderneming geheel of gedeeltelijk worden uitgeoefend. </w:t>
      </w:r>
    </w:p>
    <w:p w:rsidRPr="007B014A" w:rsidR="00876C75" w:rsidP="007B014A" w:rsidRDefault="00500251" w14:paraId="0FEDD296" w14:textId="77777777">
      <w:pPr>
        <w:rPr>
          <w:rFonts w:ascii="Verdana" w:hAnsi="Verdana"/>
          <w:sz w:val="18"/>
          <w:szCs w:val="18"/>
          <w:lang w:val="nl-NL"/>
        </w:rPr>
      </w:pPr>
      <w:r w:rsidRPr="005C1870">
        <w:rPr>
          <w:rFonts w:ascii="Verdana" w:hAnsi="Verdana"/>
          <w:sz w:val="18"/>
          <w:szCs w:val="18"/>
          <w:lang w:val="nl-NL"/>
        </w:rPr>
        <w:t>Het tweede lid bepaalt vervolgens dat de uitdrukking ‘vaste inrichting’ in het bijzonder omvat een plaats waar leiding wordt gegeven, een filiaal, een kantoor, een fabriek, een werkplaats, een mijn, olie- of gasbron, groeve of enige andere plaats waar natuurlijke rijkdommen worden gewonnen.</w:t>
      </w:r>
      <w:r w:rsidRPr="005C1870">
        <w:rPr>
          <w:rFonts w:ascii="Verdana" w:hAnsi="Verdana"/>
          <w:sz w:val="18"/>
          <w:szCs w:val="18"/>
          <w:lang w:val="nl-NL"/>
        </w:rPr>
        <w:br/>
      </w:r>
      <w:r w:rsidRPr="005C1870">
        <w:rPr>
          <w:rFonts w:ascii="Verdana" w:hAnsi="Verdana"/>
          <w:sz w:val="18"/>
          <w:szCs w:val="18"/>
          <w:lang w:val="nl-NL"/>
        </w:rPr>
        <w:tab/>
        <w:t xml:space="preserve">Het derde lid bepaalt dat </w:t>
      </w:r>
      <w:r w:rsidRPr="005C1870" w:rsidR="00382456">
        <w:rPr>
          <w:rFonts w:ascii="Verdana" w:hAnsi="Verdana"/>
          <w:sz w:val="18"/>
          <w:szCs w:val="18"/>
          <w:lang w:val="nl-NL"/>
        </w:rPr>
        <w:t xml:space="preserve">bij </w:t>
      </w:r>
      <w:r w:rsidRPr="005C1870">
        <w:rPr>
          <w:rFonts w:ascii="Verdana" w:hAnsi="Verdana"/>
          <w:sz w:val="18"/>
          <w:szCs w:val="18"/>
          <w:lang w:val="nl-NL"/>
        </w:rPr>
        <w:t xml:space="preserve">uitvoering van een bouwwerk of van constructie- of installatiewerkzaamheden alleen dan </w:t>
      </w:r>
      <w:r w:rsidRPr="005C1870" w:rsidR="00382456">
        <w:rPr>
          <w:rFonts w:ascii="Verdana" w:hAnsi="Verdana"/>
          <w:sz w:val="18"/>
          <w:szCs w:val="18"/>
          <w:lang w:val="nl-NL"/>
        </w:rPr>
        <w:t xml:space="preserve">van </w:t>
      </w:r>
      <w:r w:rsidRPr="005C1870">
        <w:rPr>
          <w:rFonts w:ascii="Verdana" w:hAnsi="Verdana"/>
          <w:sz w:val="18"/>
          <w:szCs w:val="18"/>
          <w:lang w:val="nl-NL"/>
        </w:rPr>
        <w:t xml:space="preserve">een vaste inrichting </w:t>
      </w:r>
      <w:r w:rsidRPr="005C1870" w:rsidR="00382456">
        <w:rPr>
          <w:rFonts w:ascii="Verdana" w:hAnsi="Verdana"/>
          <w:sz w:val="18"/>
          <w:szCs w:val="18"/>
          <w:lang w:val="nl-NL"/>
        </w:rPr>
        <w:t>sprake is</w:t>
      </w:r>
      <w:r w:rsidRPr="005C1870" w:rsidR="008C113B">
        <w:rPr>
          <w:rFonts w:ascii="Verdana" w:hAnsi="Verdana"/>
          <w:sz w:val="18"/>
          <w:szCs w:val="18"/>
          <w:lang w:val="nl-NL"/>
        </w:rPr>
        <w:t xml:space="preserve"> </w:t>
      </w:r>
      <w:r w:rsidRPr="005C1870">
        <w:rPr>
          <w:rFonts w:ascii="Verdana" w:hAnsi="Verdana"/>
          <w:sz w:val="18"/>
          <w:szCs w:val="18"/>
          <w:lang w:val="nl-NL"/>
        </w:rPr>
        <w:t>als deze</w:t>
      </w:r>
      <w:r w:rsidRPr="005C1870" w:rsidR="002F2835">
        <w:rPr>
          <w:rFonts w:ascii="Verdana" w:hAnsi="Verdana"/>
          <w:sz w:val="18"/>
          <w:szCs w:val="18"/>
          <w:lang w:val="nl-NL"/>
        </w:rPr>
        <w:t xml:space="preserve"> </w:t>
      </w:r>
      <w:r w:rsidRPr="005C1870">
        <w:rPr>
          <w:rFonts w:ascii="Verdana" w:hAnsi="Verdana"/>
          <w:sz w:val="18"/>
          <w:szCs w:val="18"/>
          <w:lang w:val="nl-NL"/>
        </w:rPr>
        <w:t xml:space="preserve">werkzaamheden langer duren dan </w:t>
      </w:r>
      <w:r w:rsidR="000819E4">
        <w:rPr>
          <w:rFonts w:ascii="Verdana" w:hAnsi="Verdana"/>
          <w:sz w:val="18"/>
          <w:szCs w:val="18"/>
          <w:lang w:val="nl-NL"/>
        </w:rPr>
        <w:t>twaalf</w:t>
      </w:r>
      <w:r w:rsidRPr="005C1870" w:rsidR="000819E4">
        <w:rPr>
          <w:rFonts w:ascii="Verdana" w:hAnsi="Verdana"/>
          <w:sz w:val="18"/>
          <w:szCs w:val="18"/>
          <w:lang w:val="nl-NL"/>
        </w:rPr>
        <w:t xml:space="preserve"> </w:t>
      </w:r>
      <w:r w:rsidRPr="005C1870">
        <w:rPr>
          <w:rFonts w:ascii="Verdana" w:hAnsi="Verdana"/>
          <w:sz w:val="18"/>
          <w:szCs w:val="18"/>
          <w:lang w:val="nl-NL"/>
        </w:rPr>
        <w:t>maanden</w:t>
      </w:r>
      <w:r w:rsidR="002D2A48">
        <w:rPr>
          <w:rFonts w:ascii="Verdana" w:hAnsi="Verdana"/>
          <w:sz w:val="18"/>
          <w:szCs w:val="18"/>
          <w:lang w:val="nl-NL"/>
        </w:rPr>
        <w:t>.</w:t>
      </w:r>
      <w:r w:rsidRPr="005C1870" w:rsidR="00AD3222">
        <w:rPr>
          <w:rFonts w:ascii="Verdana" w:hAnsi="Verdana"/>
          <w:sz w:val="18"/>
          <w:szCs w:val="18"/>
          <w:lang w:val="nl-NL"/>
        </w:rPr>
        <w:t xml:space="preserve"> </w:t>
      </w:r>
    </w:p>
    <w:p w:rsidR="007B014A" w:rsidP="007B014A" w:rsidRDefault="00134AD8" w14:paraId="31B47965" w14:textId="77777777">
      <w:pPr>
        <w:rPr>
          <w:rFonts w:ascii="Verdana" w:hAnsi="Verdana"/>
          <w:sz w:val="18"/>
          <w:szCs w:val="18"/>
          <w:lang w:val="nl-NL"/>
        </w:rPr>
      </w:pPr>
      <w:r w:rsidRPr="005C1870">
        <w:rPr>
          <w:rFonts w:ascii="Verdana" w:hAnsi="Verdana"/>
          <w:sz w:val="18"/>
          <w:szCs w:val="18"/>
          <w:lang w:val="nl-NL"/>
        </w:rPr>
        <w:t>Ingevolge het zesde lid, onderdeel a, worden activiteiten</w:t>
      </w:r>
      <w:r w:rsidRPr="005C1870" w:rsidR="00C267F2">
        <w:rPr>
          <w:rFonts w:ascii="Verdana" w:hAnsi="Verdana"/>
          <w:sz w:val="18"/>
          <w:szCs w:val="18"/>
          <w:lang w:val="nl-NL"/>
        </w:rPr>
        <w:t xml:space="preserve"> (die langer duren dan </w:t>
      </w:r>
      <w:r w:rsidR="000819E4">
        <w:rPr>
          <w:rFonts w:ascii="Verdana" w:hAnsi="Verdana"/>
          <w:sz w:val="18"/>
          <w:szCs w:val="18"/>
          <w:lang w:val="nl-NL"/>
        </w:rPr>
        <w:t>dertig</w:t>
      </w:r>
      <w:r w:rsidRPr="005C1870" w:rsidR="000819E4">
        <w:rPr>
          <w:rFonts w:ascii="Verdana" w:hAnsi="Verdana"/>
          <w:sz w:val="18"/>
          <w:szCs w:val="18"/>
          <w:lang w:val="nl-NL"/>
        </w:rPr>
        <w:t xml:space="preserve"> </w:t>
      </w:r>
      <w:r w:rsidRPr="005C1870" w:rsidR="00C267F2">
        <w:rPr>
          <w:rFonts w:ascii="Verdana" w:hAnsi="Verdana"/>
          <w:sz w:val="18"/>
          <w:szCs w:val="18"/>
          <w:lang w:val="nl-NL"/>
        </w:rPr>
        <w:t>dagen)</w:t>
      </w:r>
      <w:r w:rsidRPr="005C1870">
        <w:rPr>
          <w:rFonts w:ascii="Verdana" w:hAnsi="Verdana"/>
          <w:sz w:val="18"/>
          <w:szCs w:val="18"/>
          <w:lang w:val="nl-NL"/>
        </w:rPr>
        <w:t xml:space="preserve"> van nauw verbonden ondernemingen samengeteld om te bepalen of de tijdsdrempel van </w:t>
      </w:r>
      <w:r w:rsidRPr="005C1870" w:rsidR="00C267F2">
        <w:rPr>
          <w:rFonts w:ascii="Verdana" w:hAnsi="Verdana"/>
          <w:sz w:val="18"/>
          <w:szCs w:val="18"/>
          <w:lang w:val="nl-NL"/>
        </w:rPr>
        <w:t xml:space="preserve">het derde lid is overschreden. Met deze bepaling wordt beoogd te voorkomen dat op kunstmatige wijze contracten worden opgesplitst om zo de kwalificatie als vaste inrichting op grond van het derde lid te voorkomen. Deze bepaling is </w:t>
      </w:r>
      <w:r w:rsidRPr="005C1870" w:rsidR="00876C75">
        <w:rPr>
          <w:rFonts w:ascii="Verdana" w:hAnsi="Verdana"/>
          <w:sz w:val="18"/>
          <w:szCs w:val="18"/>
          <w:lang w:val="nl-NL"/>
        </w:rPr>
        <w:t>gebaseerd op een voorstel uit het rapport</w:t>
      </w:r>
      <w:r w:rsidRPr="005C1870" w:rsidR="00C267F2">
        <w:rPr>
          <w:rFonts w:ascii="Verdana" w:hAnsi="Verdana"/>
          <w:sz w:val="18"/>
          <w:szCs w:val="18"/>
          <w:lang w:val="nl-NL"/>
        </w:rPr>
        <w:t xml:space="preserve"> bij BEPS-actie 7 en is opgenomen in artikel 14 van het MLI.</w:t>
      </w:r>
      <w:r w:rsidR="007B014A">
        <w:rPr>
          <w:rFonts w:ascii="Verdana" w:hAnsi="Verdana"/>
          <w:sz w:val="18"/>
          <w:szCs w:val="18"/>
          <w:lang w:val="nl-NL"/>
        </w:rPr>
        <w:t xml:space="preserve"> </w:t>
      </w:r>
    </w:p>
    <w:p w:rsidR="007B014A" w:rsidP="007B014A" w:rsidRDefault="007B014A" w14:paraId="73A1D44E" w14:textId="77777777">
      <w:pPr>
        <w:rPr>
          <w:rFonts w:ascii="Verdana" w:hAnsi="Verdana"/>
          <w:sz w:val="18"/>
          <w:szCs w:val="18"/>
          <w:lang w:val="nl-NL"/>
        </w:rPr>
      </w:pPr>
      <w:r>
        <w:rPr>
          <w:rFonts w:ascii="Verdana" w:hAnsi="Verdana"/>
          <w:sz w:val="18"/>
          <w:szCs w:val="18"/>
          <w:lang w:val="nl-NL"/>
        </w:rPr>
        <w:t>Het vierde, vijfde en zesde lid</w:t>
      </w:r>
      <w:r w:rsidR="005E2511">
        <w:rPr>
          <w:rFonts w:ascii="Verdana" w:hAnsi="Verdana"/>
          <w:sz w:val="18"/>
          <w:szCs w:val="18"/>
          <w:lang w:val="nl-NL"/>
        </w:rPr>
        <w:t>, onderdeel b,</w:t>
      </w:r>
      <w:r>
        <w:rPr>
          <w:rFonts w:ascii="Verdana" w:hAnsi="Verdana"/>
          <w:sz w:val="18"/>
          <w:szCs w:val="18"/>
          <w:lang w:val="nl-NL"/>
        </w:rPr>
        <w:t xml:space="preserve"> bevatten bepalingen, in aansluiting bij het in o</w:t>
      </w:r>
      <w:r w:rsidRPr="005C1870">
        <w:rPr>
          <w:rFonts w:ascii="Verdana" w:hAnsi="Verdana"/>
          <w:sz w:val="18"/>
          <w:szCs w:val="18"/>
          <w:lang w:val="nl-NL"/>
        </w:rPr>
        <w:t xml:space="preserve">nderdeel 2.6.3 van de NFV 2011 </w:t>
      </w:r>
      <w:r>
        <w:rPr>
          <w:rFonts w:ascii="Verdana" w:hAnsi="Verdana"/>
          <w:sz w:val="18"/>
          <w:szCs w:val="18"/>
          <w:lang w:val="nl-NL"/>
        </w:rPr>
        <w:t xml:space="preserve">uiteengezette beleid, die betrekking hebben op de aanwezigheid in een </w:t>
      </w:r>
      <w:r w:rsidR="000759AE">
        <w:rPr>
          <w:rFonts w:ascii="Verdana" w:hAnsi="Verdana"/>
          <w:sz w:val="18"/>
          <w:szCs w:val="18"/>
          <w:lang w:val="nl-NL"/>
        </w:rPr>
        <w:t>v</w:t>
      </w:r>
      <w:r>
        <w:rPr>
          <w:rFonts w:ascii="Verdana" w:hAnsi="Verdana"/>
          <w:sz w:val="18"/>
          <w:szCs w:val="18"/>
          <w:lang w:val="nl-NL"/>
        </w:rPr>
        <w:t xml:space="preserve">erdragsluitende </w:t>
      </w:r>
      <w:r w:rsidR="000759AE">
        <w:rPr>
          <w:rFonts w:ascii="Verdana" w:hAnsi="Verdana"/>
          <w:sz w:val="18"/>
          <w:szCs w:val="18"/>
          <w:lang w:val="nl-NL"/>
        </w:rPr>
        <w:t>s</w:t>
      </w:r>
      <w:r>
        <w:rPr>
          <w:rFonts w:ascii="Verdana" w:hAnsi="Verdana"/>
          <w:sz w:val="18"/>
          <w:szCs w:val="18"/>
          <w:lang w:val="nl-NL"/>
        </w:rPr>
        <w:t>taat van een vaste inrichting met betrekking tot zogenoemde “</w:t>
      </w:r>
      <w:r w:rsidRPr="005C1870">
        <w:rPr>
          <w:rFonts w:ascii="Verdana" w:hAnsi="Verdana"/>
          <w:sz w:val="18"/>
          <w:szCs w:val="18"/>
          <w:lang w:val="nl-NL"/>
        </w:rPr>
        <w:t>werkzaamheden buitengaats</w:t>
      </w:r>
      <w:r>
        <w:rPr>
          <w:rFonts w:ascii="Verdana" w:hAnsi="Verdana"/>
          <w:sz w:val="18"/>
          <w:szCs w:val="18"/>
          <w:lang w:val="nl-NL"/>
        </w:rPr>
        <w:t>” (</w:t>
      </w:r>
      <w:r w:rsidRPr="00DB4D31">
        <w:rPr>
          <w:rFonts w:ascii="Verdana" w:hAnsi="Verdana"/>
          <w:i/>
          <w:sz w:val="18"/>
          <w:szCs w:val="18"/>
          <w:lang w:val="nl-NL"/>
        </w:rPr>
        <w:t>offshore activities</w:t>
      </w:r>
      <w:r>
        <w:rPr>
          <w:rFonts w:ascii="Verdana" w:hAnsi="Verdana"/>
          <w:sz w:val="18"/>
          <w:szCs w:val="18"/>
          <w:lang w:val="nl-NL"/>
        </w:rPr>
        <w:t>).</w:t>
      </w:r>
    </w:p>
    <w:p w:rsidRPr="00556990" w:rsidR="00500251" w:rsidP="00E01754" w:rsidRDefault="00500251" w14:paraId="225AB284" w14:textId="77777777">
      <w:pPr>
        <w:rPr>
          <w:rFonts w:ascii="Verdana" w:hAnsi="Verdana"/>
          <w:sz w:val="18"/>
          <w:szCs w:val="18"/>
          <w:lang w:val="nl-NL"/>
        </w:rPr>
      </w:pPr>
      <w:r w:rsidRPr="005C1870">
        <w:rPr>
          <w:rFonts w:ascii="Verdana" w:hAnsi="Verdana"/>
          <w:sz w:val="18"/>
          <w:szCs w:val="18"/>
          <w:lang w:val="nl-NL"/>
        </w:rPr>
        <w:t>In</w:t>
      </w:r>
      <w:r w:rsidRPr="005C1870" w:rsidR="00E928E1">
        <w:rPr>
          <w:rFonts w:ascii="Verdana" w:hAnsi="Verdana"/>
          <w:sz w:val="18"/>
          <w:szCs w:val="18"/>
          <w:lang w:val="nl-NL"/>
        </w:rPr>
        <w:t>gevolge</w:t>
      </w:r>
      <w:r w:rsidRPr="005C1870" w:rsidR="00173F7D">
        <w:rPr>
          <w:rFonts w:ascii="Verdana" w:hAnsi="Verdana"/>
          <w:sz w:val="18"/>
          <w:szCs w:val="18"/>
          <w:lang w:val="nl-NL"/>
        </w:rPr>
        <w:t xml:space="preserve"> </w:t>
      </w:r>
      <w:r w:rsidRPr="005C1870">
        <w:rPr>
          <w:rFonts w:ascii="Verdana" w:hAnsi="Verdana"/>
          <w:sz w:val="18"/>
          <w:szCs w:val="18"/>
          <w:lang w:val="nl-NL"/>
        </w:rPr>
        <w:t xml:space="preserve">het vierde lid wordt een vaste inrichting aanwezig geacht wanneer </w:t>
      </w:r>
      <w:r w:rsidR="007B014A">
        <w:rPr>
          <w:rFonts w:ascii="Verdana" w:hAnsi="Verdana"/>
          <w:sz w:val="18"/>
          <w:szCs w:val="18"/>
          <w:lang w:val="nl-NL"/>
        </w:rPr>
        <w:t xml:space="preserve">gedurende een periode van ten minste dertig dagen (in een periode van twaalf maanden) werkzaamheden worden verricht in het gebied buiten en aansluitend aan de territoriale zee van een verdragsluitende staat waarbinnen die staat krachtens internationaal recht rechtsmacht of soevereine rechten mag uitoefenen. </w:t>
      </w:r>
      <w:r w:rsidRPr="005C1870" w:rsidR="004F5AEB">
        <w:rPr>
          <w:rFonts w:ascii="Verdana" w:hAnsi="Verdana"/>
          <w:sz w:val="18"/>
          <w:szCs w:val="18"/>
          <w:lang w:val="nl-NL"/>
        </w:rPr>
        <w:t xml:space="preserve">In </w:t>
      </w:r>
      <w:r w:rsidRPr="005C1870" w:rsidR="00FA20C9">
        <w:rPr>
          <w:rFonts w:ascii="Verdana" w:hAnsi="Verdana"/>
          <w:sz w:val="18"/>
          <w:szCs w:val="18"/>
          <w:lang w:val="nl-NL"/>
        </w:rPr>
        <w:t xml:space="preserve">afwijking van hetgeen hierover is opgemerkt in </w:t>
      </w:r>
      <w:r w:rsidRPr="005C1870" w:rsidR="004F5AEB">
        <w:rPr>
          <w:rFonts w:ascii="Verdana" w:hAnsi="Verdana"/>
          <w:sz w:val="18"/>
          <w:szCs w:val="18"/>
          <w:lang w:val="nl-NL"/>
        </w:rPr>
        <w:t xml:space="preserve">onderdeel 2.6.3 van de NFV 2011 </w:t>
      </w:r>
      <w:r w:rsidRPr="005C1870" w:rsidR="00FA20C9">
        <w:rPr>
          <w:rFonts w:ascii="Verdana" w:hAnsi="Verdana"/>
          <w:sz w:val="18"/>
          <w:szCs w:val="18"/>
          <w:lang w:val="nl-NL"/>
        </w:rPr>
        <w:t>is overeengekomen deze uitbreiding van het vaste</w:t>
      </w:r>
      <w:r w:rsidRPr="005C1870" w:rsidR="005E7008">
        <w:rPr>
          <w:rFonts w:ascii="Verdana" w:hAnsi="Verdana"/>
          <w:sz w:val="18"/>
          <w:szCs w:val="18"/>
          <w:lang w:val="nl-NL"/>
        </w:rPr>
        <w:t>-</w:t>
      </w:r>
      <w:r w:rsidRPr="005C1870" w:rsidR="00FA20C9">
        <w:rPr>
          <w:rFonts w:ascii="Verdana" w:hAnsi="Verdana"/>
          <w:sz w:val="18"/>
          <w:szCs w:val="18"/>
          <w:lang w:val="nl-NL"/>
        </w:rPr>
        <w:t>inrichtingsbegrip ook te laten gelden voor de toepassing van artikel 14 van het Verdrag (</w:t>
      </w:r>
      <w:r w:rsidRPr="005C1870" w:rsidR="00517E94">
        <w:rPr>
          <w:rFonts w:ascii="Verdana" w:hAnsi="Verdana"/>
          <w:sz w:val="18"/>
          <w:szCs w:val="18"/>
          <w:lang w:val="nl-NL"/>
        </w:rPr>
        <w:t>niet-zelfstandige arbeid</w:t>
      </w:r>
      <w:r w:rsidRPr="005C1870" w:rsidR="00FA20C9">
        <w:rPr>
          <w:rFonts w:ascii="Verdana" w:hAnsi="Verdana"/>
          <w:sz w:val="18"/>
          <w:szCs w:val="18"/>
          <w:lang w:val="nl-NL"/>
        </w:rPr>
        <w:t xml:space="preserve">). </w:t>
      </w:r>
      <w:r w:rsidRPr="005C1870" w:rsidR="0044675E">
        <w:rPr>
          <w:rFonts w:ascii="Verdana" w:hAnsi="Verdana"/>
          <w:sz w:val="18"/>
          <w:szCs w:val="18"/>
          <w:lang w:val="nl-NL"/>
        </w:rPr>
        <w:t xml:space="preserve">Hiermee wordt vooral beoogd de belastingheffing </w:t>
      </w:r>
      <w:r w:rsidRPr="005C1870" w:rsidR="002F2835">
        <w:rPr>
          <w:rFonts w:ascii="Verdana" w:hAnsi="Verdana"/>
          <w:sz w:val="18"/>
          <w:szCs w:val="18"/>
          <w:lang w:val="nl-NL"/>
        </w:rPr>
        <w:t xml:space="preserve">te waarborgen </w:t>
      </w:r>
      <w:r w:rsidRPr="005C1870" w:rsidR="0044675E">
        <w:rPr>
          <w:rFonts w:ascii="Verdana" w:hAnsi="Verdana"/>
          <w:sz w:val="18"/>
          <w:szCs w:val="18"/>
          <w:lang w:val="nl-NL"/>
        </w:rPr>
        <w:t>over</w:t>
      </w:r>
      <w:r w:rsidRPr="005C1870" w:rsidR="008C113B">
        <w:rPr>
          <w:rFonts w:ascii="Verdana" w:hAnsi="Verdana"/>
          <w:sz w:val="18"/>
          <w:szCs w:val="18"/>
          <w:lang w:val="nl-NL"/>
        </w:rPr>
        <w:t xml:space="preserve"> </w:t>
      </w:r>
      <w:r w:rsidRPr="005C1870" w:rsidR="004F5AEB">
        <w:rPr>
          <w:rFonts w:ascii="Verdana" w:hAnsi="Verdana"/>
          <w:sz w:val="18"/>
          <w:szCs w:val="18"/>
          <w:lang w:val="nl-NL"/>
        </w:rPr>
        <w:t xml:space="preserve">het loon van werknemers die voor </w:t>
      </w:r>
      <w:r w:rsidRPr="005C1870" w:rsidR="0044675E">
        <w:rPr>
          <w:rFonts w:ascii="Verdana" w:hAnsi="Verdana"/>
          <w:sz w:val="18"/>
          <w:szCs w:val="18"/>
          <w:lang w:val="nl-NL"/>
        </w:rPr>
        <w:t xml:space="preserve">– in dit geval – Bulgaarse </w:t>
      </w:r>
      <w:r w:rsidRPr="005C1870" w:rsidR="004F5AEB">
        <w:rPr>
          <w:rFonts w:ascii="Verdana" w:hAnsi="Verdana"/>
          <w:sz w:val="18"/>
          <w:szCs w:val="18"/>
          <w:lang w:val="nl-NL"/>
        </w:rPr>
        <w:t>ondernemingen op het Nederlandse continentale plat werken</w:t>
      </w:r>
      <w:r w:rsidRPr="005C1870" w:rsidR="002B7BFB">
        <w:rPr>
          <w:rFonts w:ascii="Verdana" w:hAnsi="Verdana"/>
          <w:sz w:val="18"/>
          <w:szCs w:val="18"/>
          <w:lang w:val="nl-NL"/>
        </w:rPr>
        <w:t xml:space="preserve">. Daarom is </w:t>
      </w:r>
      <w:r w:rsidRPr="005C1870" w:rsidR="0041113A">
        <w:rPr>
          <w:rFonts w:ascii="Verdana" w:hAnsi="Verdana"/>
          <w:sz w:val="18"/>
          <w:szCs w:val="18"/>
          <w:lang w:val="nl-NL"/>
        </w:rPr>
        <w:t xml:space="preserve">in het vierde lid </w:t>
      </w:r>
      <w:r w:rsidRPr="005C1870" w:rsidR="00104CEA">
        <w:rPr>
          <w:rFonts w:ascii="Verdana" w:hAnsi="Verdana"/>
          <w:sz w:val="18"/>
          <w:szCs w:val="18"/>
          <w:lang w:val="nl-NL"/>
        </w:rPr>
        <w:t xml:space="preserve">geen uitzondering </w:t>
      </w:r>
      <w:r w:rsidRPr="005C1870" w:rsidR="0041113A">
        <w:rPr>
          <w:rFonts w:ascii="Verdana" w:hAnsi="Verdana"/>
          <w:sz w:val="18"/>
          <w:szCs w:val="18"/>
          <w:lang w:val="nl-NL"/>
        </w:rPr>
        <w:t>op</w:t>
      </w:r>
      <w:r w:rsidRPr="005C1870" w:rsidR="002B7BFB">
        <w:rPr>
          <w:rFonts w:ascii="Verdana" w:hAnsi="Verdana"/>
          <w:sz w:val="18"/>
          <w:szCs w:val="18"/>
          <w:lang w:val="nl-NL"/>
        </w:rPr>
        <w:t>genomen</w:t>
      </w:r>
      <w:r w:rsidRPr="005C1870" w:rsidR="0041113A">
        <w:rPr>
          <w:rFonts w:ascii="Verdana" w:hAnsi="Verdana"/>
          <w:sz w:val="18"/>
          <w:szCs w:val="18"/>
          <w:lang w:val="nl-NL"/>
        </w:rPr>
        <w:t xml:space="preserve"> </w:t>
      </w:r>
      <w:r w:rsidRPr="005C1870" w:rsidR="002B7BFB">
        <w:rPr>
          <w:rFonts w:ascii="Verdana" w:hAnsi="Verdana"/>
          <w:sz w:val="18"/>
          <w:szCs w:val="18"/>
          <w:lang w:val="nl-NL"/>
        </w:rPr>
        <w:t xml:space="preserve">voor de toepassing van </w:t>
      </w:r>
      <w:r w:rsidRPr="005C1870" w:rsidR="00A779D1">
        <w:rPr>
          <w:rFonts w:ascii="Verdana" w:hAnsi="Verdana"/>
          <w:sz w:val="18"/>
          <w:szCs w:val="18"/>
          <w:lang w:val="nl-NL"/>
        </w:rPr>
        <w:t>artikel 14, tweede lid</w:t>
      </w:r>
      <w:r w:rsidRPr="005C1870" w:rsidR="00104CEA">
        <w:rPr>
          <w:rFonts w:ascii="Verdana" w:hAnsi="Verdana"/>
          <w:sz w:val="18"/>
          <w:szCs w:val="18"/>
          <w:lang w:val="nl-NL"/>
        </w:rPr>
        <w:t>, van het Verdrag</w:t>
      </w:r>
      <w:r w:rsidRPr="005C1870" w:rsidR="00A779D1">
        <w:rPr>
          <w:rFonts w:ascii="Verdana" w:hAnsi="Verdana"/>
          <w:sz w:val="18"/>
          <w:szCs w:val="18"/>
          <w:lang w:val="nl-NL"/>
        </w:rPr>
        <w:t>.</w:t>
      </w:r>
      <w:r w:rsidRPr="005C1870" w:rsidR="00FF0FD5">
        <w:rPr>
          <w:rFonts w:ascii="Verdana" w:hAnsi="Verdana" w:cs="Verdana"/>
          <w:sz w:val="18"/>
          <w:szCs w:val="18"/>
          <w:lang w:val="nl-NL"/>
        </w:rPr>
        <w:t xml:space="preserve"> </w:t>
      </w:r>
    </w:p>
    <w:p w:rsidRPr="001C6327" w:rsidR="00500251" w:rsidP="004827B9" w:rsidRDefault="00500251" w14:paraId="0C7F474D" w14:textId="77777777">
      <w:pPr>
        <w:rPr>
          <w:rFonts w:ascii="Verdana" w:hAnsi="Verdana"/>
          <w:sz w:val="18"/>
          <w:szCs w:val="18"/>
          <w:lang w:val="nl-NL"/>
        </w:rPr>
      </w:pPr>
      <w:r w:rsidRPr="001C6327">
        <w:rPr>
          <w:rFonts w:ascii="Verdana" w:hAnsi="Verdana"/>
          <w:sz w:val="18"/>
          <w:szCs w:val="18"/>
          <w:lang w:val="nl-NL"/>
        </w:rPr>
        <w:t xml:space="preserve">Ingevolge het vijfde lid wordt de uitdrukking ‘werkzaamheden buitengaats’ voor de toepassing van het vierde lid geacht niet te omvatten: </w:t>
      </w:r>
    </w:p>
    <w:p w:rsidRPr="00F578EC" w:rsidR="004827B9" w:rsidP="004827B9" w:rsidRDefault="00500251" w14:paraId="09DF042E" w14:textId="77777777">
      <w:pPr>
        <w:pStyle w:val="Lijstalinea"/>
        <w:numPr>
          <w:ilvl w:val="0"/>
          <w:numId w:val="39"/>
        </w:numPr>
        <w:spacing w:line="360" w:lineRule="auto"/>
        <w:rPr>
          <w:rFonts w:ascii="Verdana" w:hAnsi="Verdana"/>
          <w:sz w:val="18"/>
          <w:szCs w:val="18"/>
        </w:rPr>
      </w:pPr>
      <w:r w:rsidRPr="00F578EC">
        <w:rPr>
          <w:rFonts w:ascii="Verdana" w:hAnsi="Verdana"/>
          <w:sz w:val="18"/>
          <w:szCs w:val="18"/>
        </w:rPr>
        <w:t xml:space="preserve">(een combinatie van) activiteiten als bedoeld in het zevende lid; </w:t>
      </w:r>
    </w:p>
    <w:p w:rsidRPr="00BC6175" w:rsidR="004827B9" w:rsidP="004827B9" w:rsidRDefault="007B014A" w14:paraId="4BB01CD2" w14:textId="77777777">
      <w:pPr>
        <w:pStyle w:val="Lijstalinea"/>
        <w:numPr>
          <w:ilvl w:val="0"/>
          <w:numId w:val="39"/>
        </w:numPr>
        <w:spacing w:line="360" w:lineRule="auto"/>
        <w:rPr>
          <w:rFonts w:ascii="Verdana" w:hAnsi="Verdana"/>
          <w:sz w:val="18"/>
          <w:szCs w:val="18"/>
        </w:rPr>
      </w:pPr>
      <w:r w:rsidRPr="00BC6175">
        <w:rPr>
          <w:rFonts w:ascii="Verdana" w:hAnsi="Verdana"/>
          <w:sz w:val="18"/>
          <w:szCs w:val="18"/>
        </w:rPr>
        <w:t xml:space="preserve">sleep- of ankerwerkzaamheden </w:t>
      </w:r>
      <w:r w:rsidRPr="00BC6175" w:rsidR="00500251">
        <w:rPr>
          <w:rFonts w:ascii="Verdana" w:hAnsi="Verdana"/>
          <w:sz w:val="18"/>
          <w:szCs w:val="18"/>
        </w:rPr>
        <w:t xml:space="preserve">die worden verricht met schepen die primair zijn ontworpen </w:t>
      </w:r>
      <w:r>
        <w:rPr>
          <w:rFonts w:ascii="Verdana" w:hAnsi="Verdana"/>
          <w:sz w:val="18"/>
          <w:szCs w:val="18"/>
        </w:rPr>
        <w:t>hier</w:t>
      </w:r>
      <w:r w:rsidRPr="00BC6175" w:rsidR="00500251">
        <w:rPr>
          <w:rFonts w:ascii="Verdana" w:hAnsi="Verdana"/>
          <w:sz w:val="18"/>
          <w:szCs w:val="18"/>
        </w:rPr>
        <w:t>voor en andere activiteiten verricht door dergelijke schepen;</w:t>
      </w:r>
    </w:p>
    <w:p w:rsidRPr="00BC6175" w:rsidR="004827B9" w:rsidP="004827B9" w:rsidRDefault="00500251" w14:paraId="3E4E8266" w14:textId="77777777">
      <w:pPr>
        <w:pStyle w:val="Lijstalinea"/>
        <w:numPr>
          <w:ilvl w:val="0"/>
          <w:numId w:val="39"/>
        </w:numPr>
        <w:spacing w:after="0" w:line="360" w:lineRule="auto"/>
        <w:rPr>
          <w:rFonts w:ascii="Verdana" w:hAnsi="Verdana"/>
          <w:sz w:val="18"/>
          <w:szCs w:val="18"/>
        </w:rPr>
      </w:pPr>
      <w:r w:rsidRPr="00BC6175">
        <w:rPr>
          <w:rFonts w:ascii="Verdana" w:hAnsi="Verdana"/>
          <w:sz w:val="18"/>
          <w:szCs w:val="18"/>
        </w:rPr>
        <w:lastRenderedPageBreak/>
        <w:t xml:space="preserve">het vervoer van voorraden en personeel door schepen of luchtvaartuigen in internationaal verkeer. </w:t>
      </w:r>
    </w:p>
    <w:p w:rsidRPr="005C1870" w:rsidR="00500251" w:rsidP="00500251" w:rsidRDefault="00500251" w14:paraId="64ED6249" w14:textId="77777777">
      <w:pPr>
        <w:rPr>
          <w:rFonts w:ascii="Verdana" w:hAnsi="Verdana"/>
          <w:sz w:val="18"/>
          <w:szCs w:val="18"/>
          <w:lang w:val="nl-NL"/>
        </w:rPr>
      </w:pPr>
      <w:r w:rsidRPr="005C1870">
        <w:rPr>
          <w:rFonts w:ascii="Verdana" w:hAnsi="Verdana"/>
          <w:sz w:val="18"/>
          <w:szCs w:val="18"/>
          <w:lang w:val="nl-NL"/>
        </w:rPr>
        <w:t>Ingevolge het zesde lid</w:t>
      </w:r>
      <w:r w:rsidRPr="005C1870" w:rsidR="005B167D">
        <w:rPr>
          <w:rFonts w:ascii="Verdana" w:hAnsi="Verdana"/>
          <w:sz w:val="18"/>
          <w:szCs w:val="18"/>
          <w:lang w:val="nl-NL"/>
        </w:rPr>
        <w:t>, onderdeel b,</w:t>
      </w:r>
      <w:r w:rsidRPr="005C1870">
        <w:rPr>
          <w:rFonts w:ascii="Verdana" w:hAnsi="Verdana"/>
          <w:sz w:val="18"/>
          <w:szCs w:val="18"/>
          <w:lang w:val="nl-NL"/>
        </w:rPr>
        <w:t xml:space="preserve"> </w:t>
      </w:r>
      <w:r w:rsidRPr="005C1870" w:rsidR="00A25764">
        <w:rPr>
          <w:rFonts w:ascii="Verdana" w:hAnsi="Verdana"/>
          <w:sz w:val="18"/>
          <w:szCs w:val="18"/>
          <w:lang w:val="nl-NL"/>
        </w:rPr>
        <w:t xml:space="preserve">worden </w:t>
      </w:r>
      <w:r w:rsidRPr="005C1870">
        <w:rPr>
          <w:rFonts w:ascii="Verdana" w:hAnsi="Verdana"/>
          <w:sz w:val="18"/>
          <w:szCs w:val="18"/>
          <w:lang w:val="nl-NL"/>
        </w:rPr>
        <w:t>bij elkaar behorende activiteiten van verbonden ondernemingen samengeteld om te bepalen of de tijdsdrempel van het vierde lid, in verbinding met het vijfde lid, is overschreden.</w:t>
      </w:r>
    </w:p>
    <w:p w:rsidRPr="005C1870" w:rsidR="00876C75" w:rsidP="00500251" w:rsidRDefault="00500251" w14:paraId="01E0858E" w14:textId="77777777">
      <w:pPr>
        <w:ind w:firstLine="720"/>
        <w:rPr>
          <w:rFonts w:ascii="Verdana" w:hAnsi="Verdana"/>
          <w:sz w:val="18"/>
          <w:szCs w:val="18"/>
          <w:lang w:val="nl-NL"/>
        </w:rPr>
      </w:pPr>
      <w:r w:rsidRPr="005C1870">
        <w:rPr>
          <w:rFonts w:ascii="Verdana" w:hAnsi="Verdana"/>
          <w:sz w:val="18"/>
          <w:szCs w:val="18"/>
          <w:lang w:val="nl-NL"/>
        </w:rPr>
        <w:t>Het zevende lid omschrijft een aantal situaties waarin geen vaste inrichting aanwezig wordt geacht.</w:t>
      </w:r>
      <w:r w:rsidRPr="005C1870" w:rsidR="00C267F2">
        <w:rPr>
          <w:rFonts w:ascii="Verdana" w:hAnsi="Verdana"/>
          <w:sz w:val="18"/>
          <w:szCs w:val="18"/>
          <w:lang w:val="nl-NL"/>
        </w:rPr>
        <w:t xml:space="preserve"> I</w:t>
      </w:r>
      <w:r w:rsidRPr="005C1870" w:rsidR="00876C75">
        <w:rPr>
          <w:rFonts w:ascii="Verdana" w:hAnsi="Verdana"/>
          <w:sz w:val="18"/>
          <w:szCs w:val="18"/>
          <w:lang w:val="nl-NL"/>
        </w:rPr>
        <w:t>n overeenstemming met h</w:t>
      </w:r>
      <w:r w:rsidRPr="005C1870" w:rsidR="00C267F2">
        <w:rPr>
          <w:rFonts w:ascii="Verdana" w:hAnsi="Verdana"/>
          <w:sz w:val="18"/>
          <w:szCs w:val="18"/>
          <w:lang w:val="nl-NL"/>
        </w:rPr>
        <w:t>et rapport bij BEPS-actie 7 is vereist dat deze activiteiten van voorbereiden</w:t>
      </w:r>
      <w:r w:rsidRPr="005C1870" w:rsidR="00876C75">
        <w:rPr>
          <w:rFonts w:ascii="Verdana" w:hAnsi="Verdana"/>
          <w:sz w:val="18"/>
          <w:szCs w:val="18"/>
          <w:lang w:val="nl-NL"/>
        </w:rPr>
        <w:t>de</w:t>
      </w:r>
      <w:r w:rsidRPr="005C1870" w:rsidR="00C267F2">
        <w:rPr>
          <w:rFonts w:ascii="Verdana" w:hAnsi="Verdana"/>
          <w:sz w:val="18"/>
          <w:szCs w:val="18"/>
          <w:lang w:val="nl-NL"/>
        </w:rPr>
        <w:t xml:space="preserve"> aard zijn of het karakter van hulpactiviteit hebben</w:t>
      </w:r>
      <w:r w:rsidRPr="005C1870">
        <w:rPr>
          <w:rFonts w:ascii="Verdana" w:hAnsi="Verdana"/>
          <w:sz w:val="18"/>
          <w:szCs w:val="18"/>
          <w:lang w:val="nl-NL"/>
        </w:rPr>
        <w:t xml:space="preserve">. </w:t>
      </w:r>
    </w:p>
    <w:p w:rsidRPr="005C1870" w:rsidR="00500251" w:rsidP="00500251" w:rsidRDefault="00291088" w14:paraId="1D7055CE" w14:textId="77777777">
      <w:pPr>
        <w:ind w:firstLine="720"/>
        <w:rPr>
          <w:rFonts w:ascii="Verdana" w:hAnsi="Verdana" w:cs="Arial"/>
          <w:sz w:val="18"/>
          <w:szCs w:val="18"/>
          <w:lang w:val="nl-NL"/>
        </w:rPr>
      </w:pPr>
      <w:r w:rsidRPr="005C1870">
        <w:rPr>
          <w:rFonts w:ascii="Verdana" w:hAnsi="Verdana"/>
          <w:sz w:val="18"/>
          <w:szCs w:val="18"/>
          <w:lang w:val="nl-NL"/>
        </w:rPr>
        <w:t xml:space="preserve">Het </w:t>
      </w:r>
      <w:r w:rsidRPr="005C1870" w:rsidR="00325094">
        <w:rPr>
          <w:rFonts w:ascii="Verdana" w:hAnsi="Verdana"/>
          <w:sz w:val="18"/>
          <w:szCs w:val="18"/>
          <w:lang w:val="nl-NL"/>
        </w:rPr>
        <w:t>achtste</w:t>
      </w:r>
      <w:r w:rsidRPr="005C1870">
        <w:rPr>
          <w:rFonts w:ascii="Verdana" w:hAnsi="Verdana"/>
          <w:sz w:val="18"/>
          <w:szCs w:val="18"/>
          <w:lang w:val="nl-NL"/>
        </w:rPr>
        <w:t xml:space="preserve"> lid bevat </w:t>
      </w:r>
      <w:r w:rsidRPr="005C1870" w:rsidR="006C1E83">
        <w:rPr>
          <w:rFonts w:ascii="Verdana" w:hAnsi="Verdana"/>
          <w:sz w:val="18"/>
          <w:szCs w:val="18"/>
          <w:lang w:val="nl-NL"/>
        </w:rPr>
        <w:t xml:space="preserve">een </w:t>
      </w:r>
      <w:r w:rsidRPr="005C1870">
        <w:rPr>
          <w:rFonts w:ascii="Verdana" w:hAnsi="Verdana"/>
          <w:sz w:val="18"/>
          <w:szCs w:val="18"/>
          <w:lang w:val="nl-NL"/>
        </w:rPr>
        <w:t xml:space="preserve">bepaling die </w:t>
      </w:r>
      <w:r w:rsidRPr="005C1870" w:rsidR="006C1E83">
        <w:rPr>
          <w:rFonts w:ascii="Verdana" w:hAnsi="Verdana"/>
          <w:sz w:val="18"/>
          <w:szCs w:val="18"/>
          <w:lang w:val="nl-NL"/>
        </w:rPr>
        <w:t xml:space="preserve">bedoeld is om te voorkomen dat activiteiten op kunstmatige wijze worden verspreid over nauw verbonden ondernemingen om daarmee te bereiken dat deze activiteiten onder </w:t>
      </w:r>
      <w:r w:rsidRPr="005C1870" w:rsidR="00325094">
        <w:rPr>
          <w:rFonts w:ascii="Verdana" w:hAnsi="Verdana"/>
          <w:sz w:val="18"/>
          <w:szCs w:val="18"/>
          <w:lang w:val="nl-NL"/>
        </w:rPr>
        <w:t>een van de uitzonderingen van het zevende lid vallen.</w:t>
      </w:r>
      <w:r w:rsidRPr="005C1870" w:rsidR="006C1E83">
        <w:rPr>
          <w:rFonts w:ascii="Verdana" w:hAnsi="Verdana"/>
          <w:sz w:val="18"/>
          <w:szCs w:val="18"/>
          <w:lang w:val="nl-NL"/>
        </w:rPr>
        <w:t xml:space="preserve"> </w:t>
      </w:r>
      <w:r w:rsidRPr="005C1870" w:rsidR="00325094">
        <w:rPr>
          <w:rFonts w:ascii="Verdana" w:hAnsi="Verdana"/>
          <w:sz w:val="18"/>
          <w:szCs w:val="18"/>
          <w:lang w:val="nl-NL"/>
        </w:rPr>
        <w:t xml:space="preserve">Deze bepaling is </w:t>
      </w:r>
      <w:r w:rsidRPr="005C1870" w:rsidR="00A32880">
        <w:rPr>
          <w:rFonts w:ascii="Verdana" w:hAnsi="Verdana"/>
          <w:sz w:val="18"/>
          <w:szCs w:val="18"/>
          <w:lang w:val="nl-NL"/>
        </w:rPr>
        <w:t>gebaseerd op</w:t>
      </w:r>
      <w:r w:rsidRPr="005C1870" w:rsidR="00325094">
        <w:rPr>
          <w:rFonts w:ascii="Verdana" w:hAnsi="Verdana"/>
          <w:sz w:val="18"/>
          <w:szCs w:val="18"/>
          <w:lang w:val="nl-NL"/>
        </w:rPr>
        <w:t xml:space="preserve"> </w:t>
      </w:r>
      <w:r w:rsidRPr="005C1870" w:rsidR="00A1125F">
        <w:rPr>
          <w:rFonts w:ascii="Verdana" w:hAnsi="Verdana"/>
          <w:sz w:val="18"/>
          <w:szCs w:val="18"/>
          <w:lang w:val="nl-NL"/>
        </w:rPr>
        <w:t xml:space="preserve">artikel 5, </w:t>
      </w:r>
      <w:r w:rsidR="004507E0">
        <w:rPr>
          <w:rFonts w:ascii="Verdana" w:hAnsi="Verdana"/>
          <w:sz w:val="18"/>
          <w:szCs w:val="18"/>
          <w:lang w:val="nl-NL"/>
        </w:rPr>
        <w:t>lid 4.1</w:t>
      </w:r>
      <w:r w:rsidRPr="005C1870" w:rsidR="002F2835">
        <w:rPr>
          <w:rFonts w:ascii="Verdana" w:hAnsi="Verdana"/>
          <w:sz w:val="18"/>
          <w:szCs w:val="18"/>
          <w:lang w:val="nl-NL"/>
        </w:rPr>
        <w:t xml:space="preserve">, van het OESO-modelverdrag en </w:t>
      </w:r>
      <w:r w:rsidRPr="005C1870" w:rsidR="00325094">
        <w:rPr>
          <w:rFonts w:ascii="Verdana" w:hAnsi="Verdana"/>
          <w:sz w:val="18"/>
          <w:szCs w:val="18"/>
          <w:lang w:val="nl-NL"/>
        </w:rPr>
        <w:t xml:space="preserve">het voorstel voor een dergelijke antifragmentatiebepaling in </w:t>
      </w:r>
      <w:r w:rsidR="003103E7">
        <w:rPr>
          <w:rFonts w:ascii="Verdana" w:hAnsi="Verdana"/>
          <w:sz w:val="18"/>
          <w:szCs w:val="18"/>
          <w:lang w:val="nl-NL"/>
        </w:rPr>
        <w:t xml:space="preserve">het </w:t>
      </w:r>
      <w:r w:rsidRPr="005C1870" w:rsidR="00325094">
        <w:rPr>
          <w:rFonts w:ascii="Verdana" w:hAnsi="Verdana"/>
          <w:sz w:val="18"/>
          <w:szCs w:val="18"/>
          <w:lang w:val="nl-NL"/>
        </w:rPr>
        <w:t>rapport bij BEPS-actie 7</w:t>
      </w:r>
      <w:r w:rsidRPr="005C1870" w:rsidR="00A32880">
        <w:rPr>
          <w:rFonts w:ascii="Verdana" w:hAnsi="Verdana"/>
          <w:sz w:val="18"/>
          <w:szCs w:val="18"/>
          <w:lang w:val="nl-NL"/>
        </w:rPr>
        <w:t xml:space="preserve">. </w:t>
      </w:r>
    </w:p>
    <w:p w:rsidRPr="005C1870" w:rsidR="00500251" w:rsidP="00500251" w:rsidRDefault="00E928E1" w14:paraId="799882AC" w14:textId="77777777">
      <w:pPr>
        <w:ind w:firstLine="720"/>
        <w:rPr>
          <w:rFonts w:ascii="Verdana" w:hAnsi="Verdana" w:cs="Arial"/>
          <w:sz w:val="18"/>
          <w:szCs w:val="18"/>
          <w:lang w:val="nl-NL"/>
        </w:rPr>
      </w:pPr>
      <w:r w:rsidRPr="005C1870">
        <w:rPr>
          <w:rFonts w:ascii="Verdana" w:hAnsi="Verdana" w:cs="Arial"/>
          <w:sz w:val="18"/>
          <w:szCs w:val="18"/>
          <w:lang w:val="nl-NL"/>
        </w:rPr>
        <w:t>Ingevolge</w:t>
      </w:r>
      <w:r w:rsidRPr="005C1870" w:rsidR="00500251">
        <w:rPr>
          <w:rFonts w:ascii="Verdana" w:hAnsi="Verdana" w:cs="Arial"/>
          <w:sz w:val="18"/>
          <w:szCs w:val="18"/>
          <w:lang w:val="nl-NL"/>
        </w:rPr>
        <w:t xml:space="preserve"> het </w:t>
      </w:r>
      <w:r w:rsidRPr="005C1870" w:rsidR="00291088">
        <w:rPr>
          <w:rFonts w:ascii="Verdana" w:hAnsi="Verdana" w:cs="Arial"/>
          <w:sz w:val="18"/>
          <w:szCs w:val="18"/>
          <w:lang w:val="nl-NL"/>
        </w:rPr>
        <w:t>negende</w:t>
      </w:r>
      <w:r w:rsidRPr="005C1870" w:rsidR="00500251">
        <w:rPr>
          <w:rFonts w:ascii="Verdana" w:hAnsi="Verdana" w:cs="Arial"/>
          <w:sz w:val="18"/>
          <w:szCs w:val="18"/>
          <w:lang w:val="nl-NL"/>
        </w:rPr>
        <w:t xml:space="preserve"> lid wordt een onderneming geacht over een vaste inrichting te beschikken als een voor die onderneming werkzame persoon, anders dan een onafhankelijke vertegenwoordiger in de zin van het </w:t>
      </w:r>
      <w:r w:rsidRPr="005C1870" w:rsidR="00325094">
        <w:rPr>
          <w:rFonts w:ascii="Verdana" w:hAnsi="Verdana" w:cs="Arial"/>
          <w:sz w:val="18"/>
          <w:szCs w:val="18"/>
          <w:lang w:val="nl-NL"/>
        </w:rPr>
        <w:t>tiende</w:t>
      </w:r>
      <w:r w:rsidRPr="005C1870" w:rsidR="00500251">
        <w:rPr>
          <w:rFonts w:ascii="Verdana" w:hAnsi="Verdana" w:cs="Arial"/>
          <w:sz w:val="18"/>
          <w:szCs w:val="18"/>
          <w:lang w:val="nl-NL"/>
        </w:rPr>
        <w:t xml:space="preserve"> lid, gemachtigd is om namens die onderneming in een </w:t>
      </w:r>
      <w:r w:rsidR="0021450B">
        <w:rPr>
          <w:rFonts w:ascii="Verdana" w:hAnsi="Verdana" w:cs="Arial"/>
          <w:sz w:val="18"/>
          <w:szCs w:val="18"/>
          <w:lang w:val="nl-NL"/>
        </w:rPr>
        <w:t>verdragsluitende staat</w:t>
      </w:r>
      <w:r w:rsidRPr="005C1870" w:rsidR="00500251">
        <w:rPr>
          <w:rFonts w:ascii="Verdana" w:hAnsi="Verdana" w:cs="Arial"/>
          <w:sz w:val="18"/>
          <w:szCs w:val="18"/>
          <w:lang w:val="nl-NL"/>
        </w:rPr>
        <w:t xml:space="preserve"> overeenkomsten af te sluiten en dat recht gewoonlijk uitoefent. </w:t>
      </w:r>
      <w:r w:rsidRPr="005C1870" w:rsidR="00601952">
        <w:rPr>
          <w:rFonts w:ascii="Verdana" w:hAnsi="Verdana" w:cs="Arial"/>
          <w:sz w:val="18"/>
          <w:szCs w:val="18"/>
          <w:lang w:val="nl-NL"/>
        </w:rPr>
        <w:t>Werkzaamheden</w:t>
      </w:r>
      <w:r w:rsidRPr="005C1870" w:rsidR="00325094">
        <w:rPr>
          <w:rFonts w:ascii="Verdana" w:hAnsi="Verdana" w:cs="Arial"/>
          <w:sz w:val="18"/>
          <w:szCs w:val="18"/>
          <w:lang w:val="nl-NL"/>
        </w:rPr>
        <w:t xml:space="preserve"> die</w:t>
      </w:r>
      <w:r w:rsidRPr="005C1870" w:rsidR="00601952">
        <w:rPr>
          <w:rFonts w:ascii="Verdana" w:hAnsi="Verdana" w:cs="Arial"/>
          <w:sz w:val="18"/>
          <w:szCs w:val="18"/>
          <w:lang w:val="nl-NL"/>
        </w:rPr>
        <w:t xml:space="preserve"> beperkt blijven tot</w:t>
      </w:r>
      <w:r w:rsidRPr="005C1870" w:rsidR="00325094">
        <w:rPr>
          <w:rFonts w:ascii="Verdana" w:hAnsi="Verdana" w:cs="Arial"/>
          <w:sz w:val="18"/>
          <w:szCs w:val="18"/>
          <w:lang w:val="nl-NL"/>
        </w:rPr>
        <w:t xml:space="preserve"> </w:t>
      </w:r>
      <w:r w:rsidRPr="005C1870" w:rsidR="00601952">
        <w:rPr>
          <w:rFonts w:ascii="Verdana" w:hAnsi="Verdana" w:cs="Arial"/>
          <w:sz w:val="18"/>
          <w:szCs w:val="18"/>
          <w:lang w:val="nl-NL"/>
        </w:rPr>
        <w:t xml:space="preserve">activiteiten die </w:t>
      </w:r>
      <w:r w:rsidRPr="005C1870" w:rsidR="00325094">
        <w:rPr>
          <w:rFonts w:ascii="Verdana" w:hAnsi="Verdana" w:cs="Arial"/>
          <w:sz w:val="18"/>
          <w:szCs w:val="18"/>
          <w:lang w:val="nl-NL"/>
        </w:rPr>
        <w:t>vallen onder</w:t>
      </w:r>
      <w:r w:rsidRPr="005C1870" w:rsidR="00876C75">
        <w:rPr>
          <w:rFonts w:ascii="Verdana" w:hAnsi="Verdana" w:cs="Arial"/>
          <w:sz w:val="18"/>
          <w:szCs w:val="18"/>
          <w:lang w:val="nl-NL"/>
        </w:rPr>
        <w:t xml:space="preserve"> de reikwijdte van </w:t>
      </w:r>
      <w:r w:rsidRPr="005C1870" w:rsidR="00500251">
        <w:rPr>
          <w:rFonts w:ascii="Verdana" w:hAnsi="Verdana" w:cs="Arial"/>
          <w:sz w:val="18"/>
          <w:szCs w:val="18"/>
          <w:lang w:val="nl-NL"/>
        </w:rPr>
        <w:t>het zevende lid</w:t>
      </w:r>
      <w:r w:rsidRPr="005C1870" w:rsidR="00601952">
        <w:rPr>
          <w:rFonts w:ascii="Verdana" w:hAnsi="Verdana" w:cs="Arial"/>
          <w:sz w:val="18"/>
          <w:szCs w:val="18"/>
          <w:lang w:val="nl-NL"/>
        </w:rPr>
        <w:t xml:space="preserve"> zijn uitgezonderd.</w:t>
      </w:r>
      <w:r w:rsidRPr="005C1870" w:rsidR="001F5199">
        <w:rPr>
          <w:rFonts w:ascii="Verdana" w:hAnsi="Verdana" w:cs="Arial"/>
          <w:sz w:val="18"/>
          <w:szCs w:val="18"/>
          <w:lang w:val="nl-NL"/>
        </w:rPr>
        <w:t xml:space="preserve"> </w:t>
      </w:r>
    </w:p>
    <w:p w:rsidRPr="005C1870" w:rsidR="007B014A" w:rsidP="007B014A" w:rsidRDefault="007B014A" w14:paraId="6AD9F239" w14:textId="77777777">
      <w:pPr>
        <w:ind w:firstLine="720"/>
        <w:rPr>
          <w:rFonts w:ascii="Verdana" w:hAnsi="Verdana" w:cs="Arial"/>
          <w:sz w:val="18"/>
          <w:szCs w:val="18"/>
          <w:lang w:val="nl-NL"/>
        </w:rPr>
      </w:pPr>
      <w:r>
        <w:rPr>
          <w:rFonts w:ascii="Verdana" w:hAnsi="Verdana" w:cs="Arial"/>
          <w:sz w:val="18"/>
          <w:szCs w:val="18"/>
          <w:lang w:val="nl-NL"/>
        </w:rPr>
        <w:t xml:space="preserve">De in het negende en tiende lid opgenomen bepalingen komen overeen met de bepalingen die waren opgenomen in artikel 5, vijfde en zesde lid, </w:t>
      </w:r>
      <w:r w:rsidRPr="005C1870">
        <w:rPr>
          <w:rFonts w:ascii="Verdana" w:hAnsi="Verdana" w:cs="Arial"/>
          <w:sz w:val="18"/>
          <w:szCs w:val="18"/>
          <w:lang w:val="nl-NL"/>
        </w:rPr>
        <w:t xml:space="preserve">van het OESO-modelverdrag zoals dat luidde voor </w:t>
      </w:r>
      <w:r>
        <w:rPr>
          <w:rFonts w:ascii="Verdana" w:hAnsi="Verdana" w:cs="Arial"/>
          <w:sz w:val="18"/>
          <w:szCs w:val="18"/>
          <w:lang w:val="nl-NL"/>
        </w:rPr>
        <w:t xml:space="preserve">de aanpassingen op </w:t>
      </w:r>
      <w:r w:rsidRPr="005C1870">
        <w:rPr>
          <w:rFonts w:ascii="Verdana" w:hAnsi="Verdana" w:cs="Arial"/>
          <w:sz w:val="18"/>
          <w:szCs w:val="18"/>
          <w:lang w:val="nl-NL"/>
        </w:rPr>
        <w:t>21 november 2017</w:t>
      </w:r>
      <w:r>
        <w:rPr>
          <w:rFonts w:ascii="Verdana" w:hAnsi="Verdana" w:cs="Arial"/>
          <w:sz w:val="18"/>
          <w:szCs w:val="18"/>
          <w:lang w:val="nl-NL"/>
        </w:rPr>
        <w:t xml:space="preserve"> naar aanleiding van het BEPS-project. Hiermee sluiten deze leden aan </w:t>
      </w:r>
      <w:r w:rsidRPr="005C1870">
        <w:rPr>
          <w:rFonts w:ascii="Verdana" w:hAnsi="Verdana" w:cs="Arial"/>
          <w:sz w:val="18"/>
          <w:szCs w:val="18"/>
          <w:lang w:val="nl-NL"/>
        </w:rPr>
        <w:t xml:space="preserve">bij de </w:t>
      </w:r>
      <w:r>
        <w:rPr>
          <w:rFonts w:ascii="Verdana" w:hAnsi="Verdana" w:cs="Arial"/>
          <w:sz w:val="18"/>
          <w:szCs w:val="18"/>
          <w:lang w:val="nl-NL"/>
        </w:rPr>
        <w:t xml:space="preserve">voorbehouden die door </w:t>
      </w:r>
      <w:r w:rsidRPr="005C1870">
        <w:rPr>
          <w:rFonts w:ascii="Verdana" w:hAnsi="Verdana" w:cs="Arial"/>
          <w:sz w:val="18"/>
          <w:szCs w:val="18"/>
          <w:lang w:val="nl-NL"/>
        </w:rPr>
        <w:t xml:space="preserve">Bulgarije en Nederland </w:t>
      </w:r>
      <w:r>
        <w:rPr>
          <w:rFonts w:ascii="Verdana" w:hAnsi="Verdana" w:cs="Arial"/>
          <w:sz w:val="18"/>
          <w:szCs w:val="18"/>
          <w:lang w:val="nl-NL"/>
        </w:rPr>
        <w:t>zijn gemaakt bij artikel 12 van het MLI dat betrekking heeft op de doorwerking naar (gedekte) belastingverdragen van de bedoelde aanpassingen van de bepalingen over de afhankelijke en de onafhankelijke vertegenwoordiger.</w:t>
      </w:r>
    </w:p>
    <w:p w:rsidRPr="005C1870" w:rsidR="00601952" w:rsidP="00601952" w:rsidRDefault="00601952" w14:paraId="462E6AB8" w14:textId="77777777">
      <w:pPr>
        <w:ind w:firstLine="720"/>
        <w:rPr>
          <w:rFonts w:ascii="Verdana" w:hAnsi="Verdana" w:cs="Arial"/>
          <w:sz w:val="18"/>
          <w:szCs w:val="18"/>
          <w:lang w:val="nl-NL"/>
        </w:rPr>
      </w:pPr>
      <w:r w:rsidRPr="005C1870">
        <w:rPr>
          <w:rFonts w:ascii="Verdana" w:hAnsi="Verdana" w:cs="Arial"/>
          <w:sz w:val="18"/>
          <w:szCs w:val="18"/>
          <w:lang w:val="nl-NL"/>
        </w:rPr>
        <w:t>Het elfde</w:t>
      </w:r>
      <w:r w:rsidRPr="005C1870" w:rsidR="00876C75">
        <w:rPr>
          <w:rFonts w:ascii="Verdana" w:hAnsi="Verdana" w:cs="Arial"/>
          <w:sz w:val="18"/>
          <w:szCs w:val="18"/>
          <w:lang w:val="nl-NL"/>
        </w:rPr>
        <w:t xml:space="preserve"> lid</w:t>
      </w:r>
      <w:r w:rsidRPr="005C1870">
        <w:rPr>
          <w:rFonts w:ascii="Verdana" w:hAnsi="Verdana" w:cs="Arial"/>
          <w:sz w:val="18"/>
          <w:szCs w:val="18"/>
          <w:lang w:val="nl-NL"/>
        </w:rPr>
        <w:t xml:space="preserve"> bevat een definitie van ‘nauw met een onderneming verbonden persoon of onderneming’. Deze definitie is van belang </w:t>
      </w:r>
      <w:r w:rsidRPr="005C1870" w:rsidR="007E398C">
        <w:rPr>
          <w:rFonts w:ascii="Verdana" w:hAnsi="Verdana" w:cs="Arial"/>
          <w:sz w:val="18"/>
          <w:szCs w:val="18"/>
          <w:lang w:val="nl-NL"/>
        </w:rPr>
        <w:t>bij</w:t>
      </w:r>
      <w:r w:rsidRPr="005C1870">
        <w:rPr>
          <w:rFonts w:ascii="Verdana" w:hAnsi="Verdana" w:cs="Arial"/>
          <w:sz w:val="18"/>
          <w:szCs w:val="18"/>
          <w:lang w:val="nl-NL"/>
        </w:rPr>
        <w:t xml:space="preserve"> de</w:t>
      </w:r>
      <w:r w:rsidRPr="005C1870" w:rsidR="00876C75">
        <w:rPr>
          <w:rFonts w:ascii="Verdana" w:hAnsi="Verdana" w:cs="Arial"/>
          <w:sz w:val="18"/>
          <w:szCs w:val="18"/>
          <w:lang w:val="nl-NL"/>
        </w:rPr>
        <w:t xml:space="preserve"> uitleg van het zesde en achtste</w:t>
      </w:r>
      <w:r w:rsidRPr="005C1870">
        <w:rPr>
          <w:rFonts w:ascii="Verdana" w:hAnsi="Verdana" w:cs="Arial"/>
          <w:sz w:val="18"/>
          <w:szCs w:val="18"/>
          <w:lang w:val="nl-NL"/>
        </w:rPr>
        <w:t xml:space="preserve"> lid</w:t>
      </w:r>
      <w:r w:rsidRPr="005C1870" w:rsidR="007E398C">
        <w:rPr>
          <w:rFonts w:ascii="Verdana" w:hAnsi="Verdana" w:cs="Arial"/>
          <w:sz w:val="18"/>
          <w:szCs w:val="18"/>
          <w:lang w:val="nl-NL"/>
        </w:rPr>
        <w:t xml:space="preserve"> van </w:t>
      </w:r>
      <w:r w:rsidR="007B014A">
        <w:rPr>
          <w:rFonts w:ascii="Verdana" w:hAnsi="Verdana" w:cs="Arial"/>
          <w:sz w:val="18"/>
          <w:szCs w:val="18"/>
          <w:lang w:val="nl-NL"/>
        </w:rPr>
        <w:t>dit artikel.</w:t>
      </w:r>
    </w:p>
    <w:p w:rsidRPr="005C1870" w:rsidR="00500251" w:rsidP="00500251" w:rsidRDefault="00500251" w14:paraId="7DC0F1FA" w14:textId="466B5F29">
      <w:pPr>
        <w:ind w:firstLine="720"/>
        <w:rPr>
          <w:rFonts w:ascii="Verdana" w:hAnsi="Verdana" w:cs="Arial"/>
          <w:sz w:val="18"/>
          <w:szCs w:val="18"/>
          <w:lang w:val="nl-NL"/>
        </w:rPr>
      </w:pPr>
      <w:r w:rsidRPr="005C1870">
        <w:rPr>
          <w:rFonts w:ascii="Verdana" w:hAnsi="Verdana" w:cs="Arial"/>
          <w:sz w:val="18"/>
          <w:szCs w:val="18"/>
          <w:lang w:val="nl-NL"/>
        </w:rPr>
        <w:t xml:space="preserve">Het </w:t>
      </w:r>
      <w:r w:rsidRPr="005C1870" w:rsidR="00601952">
        <w:rPr>
          <w:rFonts w:ascii="Verdana" w:hAnsi="Verdana" w:cs="Arial"/>
          <w:sz w:val="18"/>
          <w:szCs w:val="18"/>
          <w:lang w:val="nl-NL"/>
        </w:rPr>
        <w:t>twaalfde</w:t>
      </w:r>
      <w:r w:rsidRPr="005C1870" w:rsidR="00325094">
        <w:rPr>
          <w:rFonts w:ascii="Verdana" w:hAnsi="Verdana" w:cs="Arial"/>
          <w:sz w:val="18"/>
          <w:szCs w:val="18"/>
          <w:lang w:val="nl-NL"/>
        </w:rPr>
        <w:t xml:space="preserve"> </w:t>
      </w:r>
      <w:r w:rsidRPr="005C1870">
        <w:rPr>
          <w:rFonts w:ascii="Verdana" w:hAnsi="Verdana" w:cs="Arial"/>
          <w:sz w:val="18"/>
          <w:szCs w:val="18"/>
          <w:lang w:val="nl-NL"/>
        </w:rPr>
        <w:t xml:space="preserve">lid bepaalt dat de enkele omstandigheid dat een lichaam </w:t>
      </w:r>
      <w:r w:rsidR="003103E7">
        <w:rPr>
          <w:rFonts w:ascii="Verdana" w:hAnsi="Verdana" w:cs="Arial"/>
          <w:sz w:val="18"/>
          <w:szCs w:val="18"/>
          <w:lang w:val="nl-NL"/>
        </w:rPr>
        <w:t>dat</w:t>
      </w:r>
      <w:r w:rsidRPr="005C1870" w:rsidR="003103E7">
        <w:rPr>
          <w:rFonts w:ascii="Verdana" w:hAnsi="Verdana" w:cs="Arial"/>
          <w:sz w:val="18"/>
          <w:szCs w:val="18"/>
          <w:lang w:val="nl-NL"/>
        </w:rPr>
        <w:t xml:space="preserve"> </w:t>
      </w:r>
      <w:r w:rsidRPr="005C1870">
        <w:rPr>
          <w:rFonts w:ascii="Verdana" w:hAnsi="Verdana" w:cs="Arial"/>
          <w:sz w:val="18"/>
          <w:szCs w:val="18"/>
          <w:lang w:val="nl-NL"/>
        </w:rPr>
        <w:t xml:space="preserve">inwoner is van een </w:t>
      </w:r>
      <w:r w:rsidR="0021450B">
        <w:rPr>
          <w:rFonts w:ascii="Verdana" w:hAnsi="Verdana" w:cs="Arial"/>
          <w:sz w:val="18"/>
          <w:szCs w:val="18"/>
          <w:lang w:val="nl-NL"/>
        </w:rPr>
        <w:t>verdragsluitende staat</w:t>
      </w:r>
      <w:r w:rsidRPr="005C1870">
        <w:rPr>
          <w:rFonts w:ascii="Verdana" w:hAnsi="Verdana" w:cs="Arial"/>
          <w:sz w:val="18"/>
          <w:szCs w:val="18"/>
          <w:lang w:val="nl-NL"/>
        </w:rPr>
        <w:t xml:space="preserve"> een lichaam beheerst dat in de andere </w:t>
      </w:r>
      <w:r w:rsidR="0021450B">
        <w:rPr>
          <w:rFonts w:ascii="Verdana" w:hAnsi="Verdana" w:cs="Arial"/>
          <w:sz w:val="18"/>
          <w:szCs w:val="18"/>
          <w:lang w:val="nl-NL"/>
        </w:rPr>
        <w:t>verdragsluitende staat</w:t>
      </w:r>
      <w:r w:rsidRPr="005C1870">
        <w:rPr>
          <w:rFonts w:ascii="Verdana" w:hAnsi="Verdana" w:cs="Arial"/>
          <w:sz w:val="18"/>
          <w:szCs w:val="18"/>
          <w:lang w:val="nl-NL"/>
        </w:rPr>
        <w:t xml:space="preserve"> is gevestigd, dan wel in die andere </w:t>
      </w:r>
      <w:r w:rsidR="003103E7">
        <w:rPr>
          <w:rFonts w:ascii="Verdana" w:hAnsi="Verdana" w:cs="Arial"/>
          <w:sz w:val="18"/>
          <w:szCs w:val="18"/>
          <w:lang w:val="nl-NL"/>
        </w:rPr>
        <w:t>staat</w:t>
      </w:r>
      <w:r w:rsidRPr="005C1870">
        <w:rPr>
          <w:rFonts w:ascii="Verdana" w:hAnsi="Verdana" w:cs="Arial"/>
          <w:sz w:val="18"/>
          <w:szCs w:val="18"/>
          <w:lang w:val="nl-NL"/>
        </w:rPr>
        <w:t xml:space="preserve"> door middel van een vaste inrichting of anderszins zaken doet, niet meebrengt dat een van deze lichamen een vaste inrichting vormt van het andere lichaam. </w:t>
      </w:r>
    </w:p>
    <w:p w:rsidRPr="005C1870" w:rsidR="00500251" w:rsidP="00500251" w:rsidRDefault="00E928E1" w14:paraId="6E0FFB8E" w14:textId="31C28597">
      <w:pPr>
        <w:ind w:firstLine="720"/>
        <w:rPr>
          <w:rFonts w:ascii="Verdana" w:hAnsi="Verdana" w:cs="Arial"/>
          <w:sz w:val="18"/>
          <w:szCs w:val="18"/>
          <w:lang w:val="nl-NL"/>
        </w:rPr>
      </w:pPr>
      <w:r w:rsidRPr="005C1870">
        <w:rPr>
          <w:rFonts w:ascii="Verdana" w:hAnsi="Verdana"/>
          <w:sz w:val="18"/>
          <w:szCs w:val="18"/>
          <w:lang w:val="nl-NL"/>
        </w:rPr>
        <w:t>A</w:t>
      </w:r>
      <w:r w:rsidRPr="005C1870" w:rsidR="00500251">
        <w:rPr>
          <w:rFonts w:ascii="Verdana" w:hAnsi="Verdana"/>
          <w:sz w:val="18"/>
          <w:szCs w:val="18"/>
          <w:lang w:val="nl-NL"/>
        </w:rPr>
        <w:t>rtikel V van het Protocol bepaal</w:t>
      </w:r>
      <w:r w:rsidRPr="005C1870">
        <w:rPr>
          <w:rFonts w:ascii="Verdana" w:hAnsi="Verdana"/>
          <w:sz w:val="18"/>
          <w:szCs w:val="18"/>
          <w:lang w:val="nl-NL"/>
        </w:rPr>
        <w:t>t</w:t>
      </w:r>
      <w:r w:rsidRPr="005C1870" w:rsidR="00500251">
        <w:rPr>
          <w:rFonts w:ascii="Verdana" w:hAnsi="Verdana"/>
          <w:sz w:val="18"/>
          <w:szCs w:val="18"/>
          <w:lang w:val="nl-NL"/>
        </w:rPr>
        <w:t xml:space="preserve"> dat exploratie- en exploitatierechten ter zake van natuurlijke rijkdommen </w:t>
      </w:r>
      <w:r w:rsidRPr="005C1870" w:rsidR="00870470">
        <w:rPr>
          <w:rFonts w:ascii="Verdana" w:hAnsi="Verdana"/>
          <w:sz w:val="18"/>
          <w:szCs w:val="18"/>
          <w:lang w:val="nl-NL"/>
        </w:rPr>
        <w:t xml:space="preserve">buitengaats </w:t>
      </w:r>
      <w:r w:rsidRPr="005C1870" w:rsidR="00500251">
        <w:rPr>
          <w:rFonts w:ascii="Verdana" w:hAnsi="Verdana"/>
          <w:sz w:val="18"/>
          <w:szCs w:val="18"/>
          <w:lang w:val="nl-NL"/>
        </w:rPr>
        <w:t xml:space="preserve">van een </w:t>
      </w:r>
      <w:r w:rsidR="0021450B">
        <w:rPr>
          <w:rFonts w:ascii="Verdana" w:hAnsi="Verdana"/>
          <w:sz w:val="18"/>
          <w:szCs w:val="18"/>
          <w:lang w:val="nl-NL"/>
        </w:rPr>
        <w:t>verdragsluitende staat</w:t>
      </w:r>
      <w:r w:rsidRPr="005C1870" w:rsidR="00500251">
        <w:rPr>
          <w:rFonts w:ascii="Verdana" w:hAnsi="Verdana"/>
          <w:sz w:val="18"/>
          <w:szCs w:val="18"/>
          <w:lang w:val="nl-NL"/>
        </w:rPr>
        <w:t xml:space="preserve">, met inbegrip van een belang bij dergelijke rechten, worden aangemerkt als onroerende zaken in die </w:t>
      </w:r>
      <w:r w:rsidR="003103E7">
        <w:rPr>
          <w:rFonts w:ascii="Verdana" w:hAnsi="Verdana"/>
          <w:sz w:val="18"/>
          <w:szCs w:val="18"/>
          <w:lang w:val="nl-NL"/>
        </w:rPr>
        <w:t>staat</w:t>
      </w:r>
      <w:r w:rsidRPr="005C1870" w:rsidR="00500251">
        <w:rPr>
          <w:rFonts w:ascii="Verdana" w:hAnsi="Verdana"/>
          <w:sz w:val="18"/>
          <w:szCs w:val="18"/>
          <w:lang w:val="nl-NL"/>
        </w:rPr>
        <w:t xml:space="preserve"> en geacht worden te behoren tot de activa van een vaste inrichting in die </w:t>
      </w:r>
      <w:r w:rsidR="003103E7">
        <w:rPr>
          <w:rFonts w:ascii="Verdana" w:hAnsi="Verdana"/>
          <w:sz w:val="18"/>
          <w:szCs w:val="18"/>
          <w:lang w:val="nl-NL"/>
        </w:rPr>
        <w:t>staat</w:t>
      </w:r>
      <w:r w:rsidRPr="005C1870" w:rsidR="00500251">
        <w:rPr>
          <w:rFonts w:ascii="Verdana" w:hAnsi="Verdana"/>
          <w:sz w:val="18"/>
          <w:szCs w:val="18"/>
          <w:lang w:val="nl-NL"/>
        </w:rPr>
        <w:t xml:space="preserve">. Hiermee wordt zeker gesteld dat inkomsten die uit dergelijke rechten worden verkregen en winst die wordt behaald met de vervreemding van dergelijke rechten ter belastingheffing toekomen aan de </w:t>
      </w:r>
      <w:r w:rsidR="003103E7">
        <w:rPr>
          <w:rFonts w:ascii="Verdana" w:hAnsi="Verdana"/>
          <w:sz w:val="18"/>
          <w:szCs w:val="18"/>
          <w:lang w:val="nl-NL"/>
        </w:rPr>
        <w:t>staat</w:t>
      </w:r>
      <w:r w:rsidRPr="005C1870" w:rsidR="00500251">
        <w:rPr>
          <w:rFonts w:ascii="Verdana" w:hAnsi="Verdana"/>
          <w:sz w:val="18"/>
          <w:szCs w:val="18"/>
          <w:lang w:val="nl-NL"/>
        </w:rPr>
        <w:t xml:space="preserve"> </w:t>
      </w:r>
      <w:r w:rsidRPr="005C1870">
        <w:rPr>
          <w:rFonts w:ascii="Verdana" w:hAnsi="Verdana"/>
          <w:sz w:val="18"/>
          <w:szCs w:val="18"/>
          <w:lang w:val="nl-NL"/>
        </w:rPr>
        <w:t>waarin</w:t>
      </w:r>
      <w:r w:rsidRPr="005C1870" w:rsidR="00500251">
        <w:rPr>
          <w:rFonts w:ascii="Verdana" w:hAnsi="Verdana"/>
          <w:sz w:val="18"/>
          <w:szCs w:val="18"/>
          <w:lang w:val="nl-NL"/>
        </w:rPr>
        <w:t xml:space="preserve"> de natuurlijke rijkdommen</w:t>
      </w:r>
      <w:r w:rsidRPr="005C1870">
        <w:rPr>
          <w:rFonts w:ascii="Verdana" w:hAnsi="Verdana"/>
          <w:sz w:val="18"/>
          <w:szCs w:val="18"/>
          <w:lang w:val="nl-NL"/>
        </w:rPr>
        <w:t xml:space="preserve"> zijn gelegen</w:t>
      </w:r>
      <w:r w:rsidRPr="005C1870" w:rsidR="00500251">
        <w:rPr>
          <w:rFonts w:ascii="Verdana" w:hAnsi="Verdana"/>
          <w:sz w:val="18"/>
          <w:szCs w:val="18"/>
          <w:lang w:val="nl-NL"/>
        </w:rPr>
        <w:t xml:space="preserve">. </w:t>
      </w:r>
      <w:r w:rsidRPr="005C1870" w:rsidR="00500251">
        <w:rPr>
          <w:rFonts w:ascii="Verdana" w:hAnsi="Verdana"/>
          <w:sz w:val="18"/>
          <w:szCs w:val="18"/>
          <w:lang w:val="nl-NL"/>
        </w:rPr>
        <w:br/>
      </w:r>
    </w:p>
    <w:p w:rsidRPr="005C1870" w:rsidR="00500251" w:rsidP="00500251" w:rsidRDefault="00500251" w14:paraId="76325A9D" w14:textId="77777777">
      <w:pPr>
        <w:ind w:firstLine="0"/>
        <w:rPr>
          <w:rFonts w:ascii="Verdana" w:hAnsi="Verdana"/>
          <w:sz w:val="18"/>
          <w:szCs w:val="18"/>
          <w:lang w:val="nl-NL"/>
        </w:rPr>
      </w:pPr>
      <w:r w:rsidRPr="005C1870">
        <w:rPr>
          <w:rFonts w:ascii="Verdana" w:hAnsi="Verdana"/>
          <w:i/>
          <w:sz w:val="18"/>
          <w:szCs w:val="18"/>
          <w:lang w:val="nl-NL"/>
        </w:rPr>
        <w:lastRenderedPageBreak/>
        <w:t xml:space="preserve">II.6. Inkomsten uit onroerende zaken (artikel 6 </w:t>
      </w:r>
      <w:r w:rsidRPr="00916448" w:rsidR="00916448">
        <w:rPr>
          <w:rFonts w:ascii="Verdana" w:hAnsi="Verdana"/>
          <w:i/>
          <w:sz w:val="18"/>
          <w:szCs w:val="18"/>
          <w:lang w:val="nl-NL"/>
        </w:rPr>
        <w:t xml:space="preserve">van het Verdrag </w:t>
      </w:r>
      <w:r w:rsidRPr="005C1870">
        <w:rPr>
          <w:rFonts w:ascii="Verdana" w:hAnsi="Verdana"/>
          <w:i/>
          <w:sz w:val="18"/>
          <w:szCs w:val="18"/>
          <w:lang w:val="nl-NL"/>
        </w:rPr>
        <w:t>en artikelen V en VI</w:t>
      </w:r>
      <w:r w:rsidRPr="00916448" w:rsidR="00916448">
        <w:rPr>
          <w:rFonts w:ascii="Verdana" w:hAnsi="Verdana"/>
          <w:i/>
          <w:sz w:val="18"/>
          <w:szCs w:val="18"/>
          <w:lang w:val="nl-NL"/>
        </w:rPr>
        <w:t xml:space="preserve"> </w:t>
      </w:r>
      <w:r w:rsidR="00916448">
        <w:rPr>
          <w:rFonts w:ascii="Verdana" w:hAnsi="Verdana"/>
          <w:i/>
          <w:sz w:val="18"/>
          <w:szCs w:val="18"/>
          <w:lang w:val="nl-NL"/>
        </w:rPr>
        <w:t xml:space="preserve">van het </w:t>
      </w:r>
      <w:r w:rsidRPr="005C1870" w:rsidR="00916448">
        <w:rPr>
          <w:rFonts w:ascii="Verdana" w:hAnsi="Verdana"/>
          <w:i/>
          <w:sz w:val="18"/>
          <w:szCs w:val="18"/>
          <w:lang w:val="nl-NL"/>
        </w:rPr>
        <w:t>Protocol</w:t>
      </w:r>
      <w:r w:rsidRPr="005C1870">
        <w:rPr>
          <w:rFonts w:ascii="Verdana" w:hAnsi="Verdana"/>
          <w:i/>
          <w:sz w:val="18"/>
          <w:szCs w:val="18"/>
          <w:lang w:val="nl-NL"/>
        </w:rPr>
        <w:t xml:space="preserve">) </w:t>
      </w:r>
      <w:r w:rsidRPr="005C1870">
        <w:rPr>
          <w:rFonts w:ascii="Verdana" w:hAnsi="Verdana"/>
          <w:i/>
          <w:sz w:val="18"/>
          <w:szCs w:val="18"/>
          <w:lang w:val="nl-NL"/>
        </w:rPr>
        <w:br/>
      </w:r>
    </w:p>
    <w:p w:rsidRPr="005C1870" w:rsidR="0080797D" w:rsidP="00500251" w:rsidRDefault="00500251" w14:paraId="04CB25C3" w14:textId="77777777">
      <w:pPr>
        <w:ind w:firstLine="720"/>
        <w:rPr>
          <w:rFonts w:ascii="Verdana" w:hAnsi="Verdana" w:cs="Arial"/>
          <w:sz w:val="18"/>
          <w:szCs w:val="18"/>
          <w:lang w:val="nl-NL"/>
        </w:rPr>
      </w:pPr>
      <w:r w:rsidRPr="005C1870">
        <w:rPr>
          <w:rFonts w:ascii="Verdana" w:hAnsi="Verdana" w:cs="Arial"/>
          <w:sz w:val="18"/>
          <w:szCs w:val="18"/>
          <w:lang w:val="nl-NL"/>
        </w:rPr>
        <w:t>Artikel 6</w:t>
      </w:r>
      <w:r w:rsidRPr="005C1870" w:rsidR="008168BA">
        <w:rPr>
          <w:rFonts w:ascii="Verdana" w:hAnsi="Verdana" w:cs="Arial"/>
          <w:sz w:val="18"/>
          <w:szCs w:val="18"/>
          <w:lang w:val="nl-NL"/>
        </w:rPr>
        <w:t xml:space="preserve"> van het Verdrag</w:t>
      </w:r>
      <w:r w:rsidRPr="005C1870">
        <w:rPr>
          <w:rFonts w:ascii="Verdana" w:hAnsi="Verdana" w:cs="Arial"/>
          <w:sz w:val="18"/>
          <w:szCs w:val="18"/>
          <w:lang w:val="nl-NL"/>
        </w:rPr>
        <w:t xml:space="preserve"> ziet op inkomsten uit onroerende zaken. </w:t>
      </w:r>
      <w:r w:rsidRPr="005C1870" w:rsidR="00D812F5">
        <w:rPr>
          <w:rFonts w:ascii="Verdana" w:hAnsi="Verdana" w:cs="Arial"/>
          <w:sz w:val="18"/>
          <w:szCs w:val="18"/>
          <w:lang w:val="nl-NL"/>
        </w:rPr>
        <w:t xml:space="preserve">Deze bepaling </w:t>
      </w:r>
      <w:r w:rsidRPr="005C1870" w:rsidR="00D95663">
        <w:rPr>
          <w:rFonts w:ascii="Verdana" w:hAnsi="Verdana" w:cs="Arial"/>
          <w:sz w:val="18"/>
          <w:szCs w:val="18"/>
          <w:lang w:val="nl-NL"/>
        </w:rPr>
        <w:t xml:space="preserve">is gebaseerd op </w:t>
      </w:r>
      <w:r w:rsidRPr="005C1870">
        <w:rPr>
          <w:rFonts w:ascii="Verdana" w:hAnsi="Verdana" w:cs="Arial"/>
          <w:sz w:val="18"/>
          <w:szCs w:val="18"/>
          <w:lang w:val="nl-NL"/>
        </w:rPr>
        <w:t xml:space="preserve">artikel 6 van het OESO-modelverdrag. </w:t>
      </w:r>
    </w:p>
    <w:p w:rsidRPr="005C1870" w:rsidR="00500251" w:rsidP="00500251" w:rsidRDefault="00500251" w14:paraId="00744C89" w14:textId="77777777">
      <w:pPr>
        <w:ind w:firstLine="720"/>
        <w:rPr>
          <w:rFonts w:ascii="Verdana" w:hAnsi="Verdana" w:cs="Arial"/>
          <w:sz w:val="18"/>
          <w:szCs w:val="18"/>
          <w:lang w:val="nl-NL"/>
        </w:rPr>
      </w:pPr>
      <w:r w:rsidRPr="005C1870">
        <w:rPr>
          <w:rFonts w:ascii="Verdana" w:hAnsi="Verdana" w:cs="Arial"/>
          <w:sz w:val="18"/>
          <w:szCs w:val="18"/>
          <w:lang w:val="nl-NL"/>
        </w:rPr>
        <w:t xml:space="preserve">Het eerste lid bepaalt dat inkomsten die een inwoner van een </w:t>
      </w:r>
      <w:r w:rsidR="0021450B">
        <w:rPr>
          <w:rFonts w:ascii="Verdana" w:hAnsi="Verdana" w:cs="Arial"/>
          <w:sz w:val="18"/>
          <w:szCs w:val="18"/>
          <w:lang w:val="nl-NL"/>
        </w:rPr>
        <w:t>verdragsluitende staat</w:t>
      </w:r>
      <w:r w:rsidRPr="005C1870">
        <w:rPr>
          <w:rFonts w:ascii="Verdana" w:hAnsi="Verdana" w:cs="Arial"/>
          <w:sz w:val="18"/>
          <w:szCs w:val="18"/>
          <w:lang w:val="nl-NL"/>
        </w:rPr>
        <w:t xml:space="preserve"> krijgt uit onroerende zaken (inkomsten uit landbouw- of bosbedrijven daaronder begrepen) gelegen in de andere </w:t>
      </w:r>
      <w:r w:rsidR="0021450B">
        <w:rPr>
          <w:rFonts w:ascii="Verdana" w:hAnsi="Verdana" w:cs="Arial"/>
          <w:sz w:val="18"/>
          <w:szCs w:val="18"/>
          <w:lang w:val="nl-NL"/>
        </w:rPr>
        <w:t>verdragsluitende staat</w:t>
      </w:r>
      <w:r w:rsidRPr="005C1870">
        <w:rPr>
          <w:rFonts w:ascii="Verdana" w:hAnsi="Verdana" w:cs="Arial"/>
          <w:sz w:val="18"/>
          <w:szCs w:val="18"/>
          <w:lang w:val="nl-NL"/>
        </w:rPr>
        <w:t xml:space="preserve">, in die andere </w:t>
      </w:r>
      <w:r w:rsidR="003103E7">
        <w:rPr>
          <w:rFonts w:ascii="Verdana" w:hAnsi="Verdana" w:cs="Arial"/>
          <w:sz w:val="18"/>
          <w:szCs w:val="18"/>
          <w:lang w:val="nl-NL"/>
        </w:rPr>
        <w:t>staat</w:t>
      </w:r>
      <w:r w:rsidRPr="005C1870">
        <w:rPr>
          <w:rFonts w:ascii="Verdana" w:hAnsi="Verdana" w:cs="Arial"/>
          <w:sz w:val="18"/>
          <w:szCs w:val="18"/>
          <w:lang w:val="nl-NL"/>
        </w:rPr>
        <w:t xml:space="preserve"> mogen worden belast. </w:t>
      </w:r>
    </w:p>
    <w:p w:rsidRPr="005C1870" w:rsidR="00500251" w:rsidP="00500251" w:rsidRDefault="00500251" w14:paraId="08A8DB12" w14:textId="77777777">
      <w:pPr>
        <w:ind w:firstLine="720"/>
        <w:rPr>
          <w:rFonts w:ascii="Verdana" w:hAnsi="Verdana" w:cs="Arial"/>
          <w:sz w:val="18"/>
          <w:szCs w:val="18"/>
          <w:lang w:val="nl-NL"/>
        </w:rPr>
      </w:pPr>
      <w:r w:rsidRPr="005C1870">
        <w:rPr>
          <w:rFonts w:ascii="Verdana" w:hAnsi="Verdana" w:cs="Arial"/>
          <w:sz w:val="18"/>
          <w:szCs w:val="18"/>
          <w:lang w:val="nl-NL"/>
        </w:rPr>
        <w:t xml:space="preserve">Ingevolge het tweede lid heeft de uitdrukking ‘onroerende zaken’ de betekenis onder het recht van de </w:t>
      </w:r>
      <w:r w:rsidR="0021450B">
        <w:rPr>
          <w:rFonts w:ascii="Verdana" w:hAnsi="Verdana" w:cs="Arial"/>
          <w:sz w:val="18"/>
          <w:szCs w:val="18"/>
          <w:lang w:val="nl-NL"/>
        </w:rPr>
        <w:t>verdragsluitende staat</w:t>
      </w:r>
      <w:r w:rsidRPr="005C1870">
        <w:rPr>
          <w:rFonts w:ascii="Verdana" w:hAnsi="Verdana" w:cs="Arial"/>
          <w:sz w:val="18"/>
          <w:szCs w:val="18"/>
          <w:lang w:val="nl-NL"/>
        </w:rPr>
        <w:t xml:space="preserve"> waar de onroerende zaken zijn gelegen. Het tweede lid be</w:t>
      </w:r>
      <w:r w:rsidRPr="005C1870" w:rsidR="00075163">
        <w:rPr>
          <w:rFonts w:ascii="Verdana" w:hAnsi="Verdana" w:cs="Arial"/>
          <w:sz w:val="18"/>
          <w:szCs w:val="18"/>
          <w:lang w:val="nl-NL"/>
        </w:rPr>
        <w:t xml:space="preserve">vat verder een opsomming van </w:t>
      </w:r>
      <w:r w:rsidRPr="005C1870" w:rsidR="004E734F">
        <w:rPr>
          <w:rFonts w:ascii="Verdana" w:hAnsi="Verdana" w:cs="Arial"/>
          <w:sz w:val="18"/>
          <w:szCs w:val="18"/>
          <w:lang w:val="nl-NL"/>
        </w:rPr>
        <w:t>hetgeen</w:t>
      </w:r>
      <w:r w:rsidRPr="005C1870" w:rsidR="00075163">
        <w:rPr>
          <w:rFonts w:ascii="Verdana" w:hAnsi="Verdana" w:cs="Arial"/>
          <w:sz w:val="18"/>
          <w:szCs w:val="18"/>
          <w:lang w:val="nl-NL"/>
        </w:rPr>
        <w:t xml:space="preserve"> in ieder geval </w:t>
      </w:r>
      <w:r w:rsidRPr="005C1870" w:rsidR="004E734F">
        <w:rPr>
          <w:rFonts w:ascii="Verdana" w:hAnsi="Verdana" w:cs="Arial"/>
          <w:sz w:val="18"/>
          <w:szCs w:val="18"/>
          <w:lang w:val="nl-NL"/>
        </w:rPr>
        <w:t xml:space="preserve">tot </w:t>
      </w:r>
      <w:r w:rsidRPr="005C1870" w:rsidR="00075163">
        <w:rPr>
          <w:rFonts w:ascii="Verdana" w:hAnsi="Verdana" w:cs="Arial"/>
          <w:sz w:val="18"/>
          <w:szCs w:val="18"/>
          <w:lang w:val="nl-NL"/>
        </w:rPr>
        <w:t xml:space="preserve">de onroerende zaken </w:t>
      </w:r>
      <w:r w:rsidR="00A91FB6">
        <w:rPr>
          <w:rFonts w:ascii="Verdana" w:hAnsi="Verdana" w:cs="Arial"/>
          <w:sz w:val="18"/>
          <w:szCs w:val="18"/>
          <w:lang w:val="nl-NL"/>
        </w:rPr>
        <w:t>behoort</w:t>
      </w:r>
      <w:r w:rsidRPr="005C1870" w:rsidR="00A91FB6">
        <w:rPr>
          <w:rFonts w:ascii="Verdana" w:hAnsi="Verdana" w:cs="Arial"/>
          <w:sz w:val="18"/>
          <w:szCs w:val="18"/>
          <w:lang w:val="nl-NL"/>
        </w:rPr>
        <w:t xml:space="preserve"> </w:t>
      </w:r>
      <w:r w:rsidRPr="005C1870" w:rsidR="00075163">
        <w:rPr>
          <w:rFonts w:ascii="Verdana" w:hAnsi="Verdana" w:cs="Arial"/>
          <w:sz w:val="18"/>
          <w:szCs w:val="18"/>
          <w:lang w:val="nl-NL"/>
        </w:rPr>
        <w:t xml:space="preserve">en enkele zaken </w:t>
      </w:r>
      <w:r w:rsidRPr="005C1870" w:rsidR="007E398C">
        <w:rPr>
          <w:rFonts w:ascii="Verdana" w:hAnsi="Verdana" w:cs="Arial"/>
          <w:sz w:val="18"/>
          <w:szCs w:val="18"/>
          <w:lang w:val="nl-NL"/>
        </w:rPr>
        <w:t xml:space="preserve">die </w:t>
      </w:r>
      <w:r w:rsidRPr="005C1870" w:rsidR="00075163">
        <w:rPr>
          <w:rFonts w:ascii="Verdana" w:hAnsi="Verdana" w:cs="Arial"/>
          <w:sz w:val="18"/>
          <w:szCs w:val="18"/>
          <w:lang w:val="nl-NL"/>
        </w:rPr>
        <w:t xml:space="preserve">nadrukkelijk niet als onroerende zaken worden beschouwd. </w:t>
      </w:r>
    </w:p>
    <w:p w:rsidRPr="005C1870" w:rsidR="00500251" w:rsidP="00500251" w:rsidRDefault="00E928E1" w14:paraId="50E8F6F7" w14:textId="77777777">
      <w:pPr>
        <w:ind w:firstLine="720"/>
        <w:rPr>
          <w:rFonts w:ascii="Verdana" w:hAnsi="Verdana" w:cs="Arial"/>
          <w:sz w:val="18"/>
          <w:szCs w:val="18"/>
          <w:lang w:val="nl-NL"/>
        </w:rPr>
      </w:pPr>
      <w:r w:rsidRPr="005C1870">
        <w:rPr>
          <w:rFonts w:ascii="Verdana" w:hAnsi="Verdana" w:cs="Arial"/>
          <w:sz w:val="18"/>
          <w:szCs w:val="18"/>
          <w:lang w:val="nl-NL"/>
        </w:rPr>
        <w:t xml:space="preserve">Ingevolge </w:t>
      </w:r>
      <w:r w:rsidRPr="005C1870" w:rsidR="00500251">
        <w:rPr>
          <w:rFonts w:ascii="Verdana" w:hAnsi="Verdana" w:cs="Arial"/>
          <w:sz w:val="18"/>
          <w:szCs w:val="18"/>
          <w:lang w:val="nl-NL"/>
        </w:rPr>
        <w:t>het derde lid zijn de bepalingen van het eerste lid van</w:t>
      </w:r>
      <w:r w:rsidRPr="005C1870" w:rsidR="00A7465A">
        <w:rPr>
          <w:rFonts w:ascii="Verdana" w:hAnsi="Verdana" w:cs="Arial"/>
          <w:sz w:val="18"/>
          <w:szCs w:val="18"/>
          <w:lang w:val="nl-NL"/>
        </w:rPr>
        <w:t xml:space="preserve"> overeenkomstige</w:t>
      </w:r>
      <w:r w:rsidRPr="005C1870" w:rsidR="00500251">
        <w:rPr>
          <w:rFonts w:ascii="Verdana" w:hAnsi="Verdana" w:cs="Arial"/>
          <w:sz w:val="18"/>
          <w:szCs w:val="18"/>
          <w:lang w:val="nl-NL"/>
        </w:rPr>
        <w:t xml:space="preserve"> toepassing op inkomsten verkregen uit de rechtstreekse exploitatie, het verhuren of verpachten en elke andere vorm van exploitatie van onroerende zaken.</w:t>
      </w:r>
    </w:p>
    <w:p w:rsidRPr="005C1870" w:rsidR="007A191F" w:rsidRDefault="00500251" w14:paraId="14573444" w14:textId="77777777">
      <w:pPr>
        <w:ind w:firstLine="708"/>
        <w:rPr>
          <w:rFonts w:ascii="Verdana" w:hAnsi="Verdana" w:cs="Arial"/>
          <w:sz w:val="18"/>
          <w:szCs w:val="18"/>
          <w:lang w:val="nl-NL"/>
        </w:rPr>
      </w:pPr>
      <w:r w:rsidRPr="005C1870">
        <w:rPr>
          <w:rFonts w:ascii="Verdana" w:hAnsi="Verdana" w:cs="Arial"/>
          <w:sz w:val="18"/>
          <w:szCs w:val="18"/>
          <w:lang w:val="nl-NL"/>
        </w:rPr>
        <w:t xml:space="preserve">Ingevolge het vierde lid zijn de bepalingen van het eerste en derde lid ook van toepassing op inkomsten uit onroerende zaken van een onderneming. </w:t>
      </w:r>
    </w:p>
    <w:p w:rsidRPr="005C1870" w:rsidR="00897566" w:rsidP="00897566" w:rsidRDefault="00897566" w14:paraId="707CDE48" w14:textId="77777777">
      <w:pPr>
        <w:rPr>
          <w:rFonts w:ascii="Verdana" w:hAnsi="Verdana"/>
          <w:sz w:val="18"/>
          <w:szCs w:val="18"/>
          <w:lang w:val="nl-NL"/>
        </w:rPr>
      </w:pPr>
      <w:r w:rsidRPr="005C1870">
        <w:rPr>
          <w:rFonts w:ascii="Verdana" w:hAnsi="Verdana" w:cs="Arial"/>
          <w:sz w:val="18"/>
          <w:szCs w:val="18"/>
          <w:lang w:val="nl-NL"/>
        </w:rPr>
        <w:t>Voor de toelichting op artikel V van het Protocol wordt verwezen naar de toelichting op artikel 5.</w:t>
      </w:r>
    </w:p>
    <w:p w:rsidRPr="005C1870" w:rsidR="007B014A" w:rsidP="007B014A" w:rsidRDefault="007B014A" w14:paraId="0168583C" w14:textId="65799F76">
      <w:pPr>
        <w:ind w:firstLine="708"/>
        <w:rPr>
          <w:rFonts w:ascii="Verdana" w:hAnsi="Verdana" w:cs="Arial"/>
          <w:sz w:val="18"/>
          <w:szCs w:val="18"/>
          <w:lang w:val="nl-NL"/>
        </w:rPr>
      </w:pPr>
      <w:r w:rsidRPr="005C1870">
        <w:rPr>
          <w:rFonts w:ascii="Verdana" w:hAnsi="Verdana" w:cs="Arial"/>
          <w:sz w:val="18"/>
          <w:szCs w:val="18"/>
          <w:lang w:val="nl-NL"/>
        </w:rPr>
        <w:t xml:space="preserve">Artikel VI van het Protocol bevat een bepaling over de </w:t>
      </w:r>
      <w:r>
        <w:rPr>
          <w:rFonts w:ascii="Verdana" w:hAnsi="Verdana" w:cs="Arial"/>
          <w:sz w:val="18"/>
          <w:szCs w:val="18"/>
          <w:lang w:val="nl-NL"/>
        </w:rPr>
        <w:t xml:space="preserve">wijze waarop de verdragsvoordelen kunnen worden ingeroepen voor </w:t>
      </w:r>
      <w:r w:rsidRPr="005C1870">
        <w:rPr>
          <w:rFonts w:ascii="Verdana" w:hAnsi="Verdana" w:cs="Arial"/>
          <w:sz w:val="18"/>
          <w:szCs w:val="18"/>
          <w:lang w:val="nl-NL"/>
        </w:rPr>
        <w:t>inkomsten</w:t>
      </w:r>
      <w:r>
        <w:rPr>
          <w:rFonts w:ascii="Verdana" w:hAnsi="Verdana" w:cs="Arial"/>
          <w:sz w:val="18"/>
          <w:szCs w:val="18"/>
          <w:lang w:val="nl-NL"/>
        </w:rPr>
        <w:t>, waaronder de inkomsten waarop artikel 6 van het Verdrag betrekking heeft,</w:t>
      </w:r>
      <w:r w:rsidRPr="005C1870">
        <w:rPr>
          <w:rFonts w:ascii="Verdana" w:hAnsi="Verdana" w:cs="Arial"/>
          <w:sz w:val="18"/>
          <w:szCs w:val="18"/>
          <w:lang w:val="nl-NL"/>
        </w:rPr>
        <w:t xml:space="preserve"> die worden behaald met tussenkomst van besloten fonds</w:t>
      </w:r>
      <w:r>
        <w:rPr>
          <w:rFonts w:ascii="Verdana" w:hAnsi="Verdana" w:cs="Arial"/>
          <w:sz w:val="18"/>
          <w:szCs w:val="18"/>
          <w:lang w:val="nl-NL"/>
        </w:rPr>
        <w:t>en</w:t>
      </w:r>
      <w:r w:rsidRPr="005C1870">
        <w:rPr>
          <w:rFonts w:ascii="Verdana" w:hAnsi="Verdana" w:cs="Arial"/>
          <w:sz w:val="18"/>
          <w:szCs w:val="18"/>
          <w:lang w:val="nl-NL"/>
        </w:rPr>
        <w:t xml:space="preserve"> voor </w:t>
      </w:r>
      <w:r w:rsidR="006E32D5">
        <w:rPr>
          <w:rFonts w:ascii="Verdana" w:hAnsi="Verdana" w:cs="Arial"/>
          <w:sz w:val="18"/>
          <w:szCs w:val="18"/>
          <w:lang w:val="nl-NL"/>
        </w:rPr>
        <w:t>gezamenlijke rekening</w:t>
      </w:r>
      <w:r w:rsidRPr="005C1870">
        <w:rPr>
          <w:rFonts w:ascii="Verdana" w:hAnsi="Verdana" w:cs="Arial"/>
          <w:sz w:val="18"/>
          <w:szCs w:val="18"/>
          <w:lang w:val="nl-NL"/>
        </w:rPr>
        <w:t xml:space="preserve">. </w:t>
      </w:r>
      <w:r>
        <w:rPr>
          <w:rFonts w:ascii="Verdana" w:hAnsi="Verdana" w:cs="Arial"/>
          <w:sz w:val="18"/>
          <w:szCs w:val="18"/>
          <w:lang w:val="nl-NL"/>
        </w:rPr>
        <w:t>Deze bepaling sluit aan bij het in onderdeel 2.4 van de NFV</w:t>
      </w:r>
      <w:r w:rsidR="009302A5">
        <w:rPr>
          <w:rFonts w:ascii="Verdana" w:hAnsi="Verdana" w:cs="Arial"/>
          <w:sz w:val="18"/>
          <w:szCs w:val="18"/>
          <w:lang w:val="nl-NL"/>
        </w:rPr>
        <w:t xml:space="preserve"> </w:t>
      </w:r>
      <w:r>
        <w:rPr>
          <w:rFonts w:ascii="Verdana" w:hAnsi="Verdana" w:cs="Arial"/>
          <w:sz w:val="18"/>
          <w:szCs w:val="18"/>
          <w:lang w:val="nl-NL"/>
        </w:rPr>
        <w:t>2011 uiteengezette beleid.</w:t>
      </w:r>
    </w:p>
    <w:p w:rsidRPr="005C1870" w:rsidR="00500251" w:rsidP="00500251" w:rsidRDefault="00500251" w14:paraId="1B0DB4D0" w14:textId="77777777">
      <w:pPr>
        <w:ind w:firstLine="0"/>
        <w:rPr>
          <w:rFonts w:ascii="Verdana" w:hAnsi="Verdana"/>
          <w:sz w:val="18"/>
          <w:szCs w:val="18"/>
          <w:lang w:val="nl-NL"/>
        </w:rPr>
      </w:pPr>
    </w:p>
    <w:p w:rsidRPr="005C1870" w:rsidR="00500251" w:rsidP="00500251" w:rsidRDefault="00500251" w14:paraId="77DE602F" w14:textId="77777777">
      <w:pPr>
        <w:ind w:firstLine="0"/>
        <w:rPr>
          <w:rFonts w:ascii="Verdana" w:hAnsi="Verdana"/>
          <w:sz w:val="18"/>
          <w:szCs w:val="18"/>
          <w:lang w:val="nl-NL"/>
        </w:rPr>
      </w:pPr>
      <w:r w:rsidRPr="005C1870">
        <w:rPr>
          <w:rFonts w:ascii="Verdana" w:hAnsi="Verdana"/>
          <w:i/>
          <w:sz w:val="18"/>
          <w:szCs w:val="18"/>
          <w:lang w:val="nl-NL"/>
        </w:rPr>
        <w:t xml:space="preserve">II.7. Winst uit onderneming (artikel 7 </w:t>
      </w:r>
      <w:r w:rsidRPr="00916448" w:rsidR="00916448">
        <w:rPr>
          <w:rFonts w:ascii="Verdana" w:hAnsi="Verdana"/>
          <w:i/>
          <w:sz w:val="18"/>
          <w:szCs w:val="18"/>
          <w:lang w:val="nl-NL"/>
        </w:rPr>
        <w:t xml:space="preserve">van het Verdrag </w:t>
      </w:r>
      <w:r w:rsidRPr="005C1870">
        <w:rPr>
          <w:rFonts w:ascii="Verdana" w:hAnsi="Verdana"/>
          <w:i/>
          <w:sz w:val="18"/>
          <w:szCs w:val="18"/>
          <w:lang w:val="nl-NL"/>
        </w:rPr>
        <w:t>en artikelen V, VII, VIII en IX</w:t>
      </w:r>
      <w:r w:rsidR="00916448">
        <w:rPr>
          <w:rFonts w:ascii="Verdana" w:hAnsi="Verdana"/>
          <w:i/>
          <w:sz w:val="18"/>
          <w:szCs w:val="18"/>
          <w:lang w:val="nl-NL"/>
        </w:rPr>
        <w:t xml:space="preserve"> van het</w:t>
      </w:r>
      <w:r w:rsidRPr="00916448" w:rsidR="00916448">
        <w:rPr>
          <w:rFonts w:ascii="Verdana" w:hAnsi="Verdana"/>
          <w:i/>
          <w:sz w:val="18"/>
          <w:szCs w:val="18"/>
          <w:lang w:val="nl-NL"/>
        </w:rPr>
        <w:t xml:space="preserve"> </w:t>
      </w:r>
      <w:r w:rsidRPr="005C1870" w:rsidR="00916448">
        <w:rPr>
          <w:rFonts w:ascii="Verdana" w:hAnsi="Verdana"/>
          <w:i/>
          <w:sz w:val="18"/>
          <w:szCs w:val="18"/>
          <w:lang w:val="nl-NL"/>
        </w:rPr>
        <w:t>Protocol</w:t>
      </w:r>
      <w:r w:rsidRPr="005C1870">
        <w:rPr>
          <w:rFonts w:ascii="Verdana" w:hAnsi="Verdana"/>
          <w:i/>
          <w:sz w:val="18"/>
          <w:szCs w:val="18"/>
          <w:lang w:val="nl-NL"/>
        </w:rPr>
        <w:t xml:space="preserve">) </w:t>
      </w:r>
      <w:r w:rsidRPr="005C1870">
        <w:rPr>
          <w:rFonts w:ascii="Verdana" w:hAnsi="Verdana"/>
          <w:i/>
          <w:sz w:val="18"/>
          <w:szCs w:val="18"/>
          <w:lang w:val="nl-NL"/>
        </w:rPr>
        <w:br/>
      </w:r>
    </w:p>
    <w:p w:rsidRPr="005C1870" w:rsidR="00FA2EF9" w:rsidP="00500251" w:rsidRDefault="00500251" w14:paraId="291CE180" w14:textId="77777777">
      <w:pPr>
        <w:ind w:firstLine="720"/>
        <w:rPr>
          <w:rFonts w:ascii="Verdana" w:hAnsi="Verdana" w:cs="Arial"/>
          <w:sz w:val="18"/>
          <w:szCs w:val="18"/>
          <w:lang w:val="nl-NL"/>
        </w:rPr>
      </w:pPr>
      <w:r w:rsidRPr="005C1870">
        <w:rPr>
          <w:rFonts w:ascii="Verdana" w:hAnsi="Verdana" w:cs="Arial"/>
          <w:sz w:val="18"/>
          <w:szCs w:val="18"/>
          <w:lang w:val="nl-NL"/>
        </w:rPr>
        <w:t>Artikel 7</w:t>
      </w:r>
      <w:r w:rsidRPr="005C1870" w:rsidR="008168BA">
        <w:rPr>
          <w:rFonts w:ascii="Verdana" w:hAnsi="Verdana" w:cs="Arial"/>
          <w:sz w:val="18"/>
          <w:szCs w:val="18"/>
          <w:lang w:val="nl-NL"/>
        </w:rPr>
        <w:t xml:space="preserve"> van het Verdrag</w:t>
      </w:r>
      <w:r w:rsidRPr="005C1870">
        <w:rPr>
          <w:rFonts w:ascii="Verdana" w:hAnsi="Verdana" w:cs="Arial"/>
          <w:sz w:val="18"/>
          <w:szCs w:val="18"/>
          <w:lang w:val="nl-NL"/>
        </w:rPr>
        <w:t xml:space="preserve"> betreft de verdeling van heffingsrechten over </w:t>
      </w:r>
      <w:r w:rsidRPr="005C1870" w:rsidR="00BB1705">
        <w:rPr>
          <w:rFonts w:ascii="Verdana" w:hAnsi="Verdana" w:cs="Arial"/>
          <w:sz w:val="18"/>
          <w:szCs w:val="18"/>
          <w:lang w:val="nl-NL"/>
        </w:rPr>
        <w:t>de</w:t>
      </w:r>
      <w:r w:rsidRPr="005C1870" w:rsidR="00A1125F">
        <w:rPr>
          <w:rFonts w:ascii="Verdana" w:hAnsi="Verdana" w:cs="Arial"/>
          <w:sz w:val="18"/>
          <w:szCs w:val="18"/>
          <w:lang w:val="nl-NL"/>
        </w:rPr>
        <w:t xml:space="preserve"> </w:t>
      </w:r>
      <w:r w:rsidRPr="005C1870">
        <w:rPr>
          <w:rFonts w:ascii="Verdana" w:hAnsi="Verdana" w:cs="Arial"/>
          <w:sz w:val="18"/>
          <w:szCs w:val="18"/>
          <w:lang w:val="nl-NL"/>
        </w:rPr>
        <w:t>winsten</w:t>
      </w:r>
      <w:r w:rsidRPr="005C1870" w:rsidR="00BB1705">
        <w:rPr>
          <w:rFonts w:ascii="Verdana" w:hAnsi="Verdana" w:cs="Arial"/>
          <w:sz w:val="18"/>
          <w:szCs w:val="18"/>
          <w:lang w:val="nl-NL"/>
        </w:rPr>
        <w:t xml:space="preserve"> van een onderneming van een </w:t>
      </w:r>
      <w:r w:rsidR="0021450B">
        <w:rPr>
          <w:rFonts w:ascii="Verdana" w:hAnsi="Verdana" w:cs="Arial"/>
          <w:sz w:val="18"/>
          <w:szCs w:val="18"/>
          <w:lang w:val="nl-NL"/>
        </w:rPr>
        <w:t>verdragsluitende staat</w:t>
      </w:r>
      <w:r w:rsidRPr="005C1870">
        <w:rPr>
          <w:rFonts w:ascii="Verdana" w:hAnsi="Verdana" w:cs="Arial"/>
          <w:sz w:val="18"/>
          <w:szCs w:val="18"/>
          <w:lang w:val="nl-NL"/>
        </w:rPr>
        <w:t>.</w:t>
      </w:r>
      <w:r w:rsidRPr="005C1870" w:rsidR="00A1125F">
        <w:rPr>
          <w:rFonts w:ascii="Verdana" w:hAnsi="Verdana" w:cs="Arial"/>
          <w:sz w:val="18"/>
          <w:szCs w:val="18"/>
          <w:lang w:val="nl-NL"/>
        </w:rPr>
        <w:t xml:space="preserve"> </w:t>
      </w:r>
      <w:r w:rsidRPr="005C1870" w:rsidR="00BB1705">
        <w:rPr>
          <w:rFonts w:ascii="Verdana" w:hAnsi="Verdana" w:cs="Arial"/>
          <w:sz w:val="18"/>
          <w:szCs w:val="18"/>
          <w:lang w:val="nl-NL"/>
        </w:rPr>
        <w:t xml:space="preserve">Het </w:t>
      </w:r>
      <w:r w:rsidRPr="005C1870" w:rsidR="00A1125F">
        <w:rPr>
          <w:rFonts w:ascii="Verdana" w:hAnsi="Verdana" w:cs="Arial"/>
          <w:sz w:val="18"/>
          <w:szCs w:val="18"/>
          <w:lang w:val="nl-NL"/>
        </w:rPr>
        <w:t>uitgangspunt</w:t>
      </w:r>
      <w:r w:rsidRPr="005C1870" w:rsidR="00BB1705">
        <w:rPr>
          <w:rFonts w:ascii="Verdana" w:hAnsi="Verdana" w:cs="Arial"/>
          <w:sz w:val="18"/>
          <w:szCs w:val="18"/>
          <w:lang w:val="nl-NL"/>
        </w:rPr>
        <w:t xml:space="preserve"> hierbij is dat d</w:t>
      </w:r>
      <w:r w:rsidRPr="005C1870" w:rsidR="00EB6455">
        <w:rPr>
          <w:rFonts w:ascii="Verdana" w:hAnsi="Verdana" w:cs="Arial"/>
          <w:sz w:val="18"/>
          <w:szCs w:val="18"/>
          <w:lang w:val="nl-NL"/>
        </w:rPr>
        <w:t xml:space="preserve">e </w:t>
      </w:r>
      <w:r w:rsidRPr="005C1870" w:rsidR="00BB1705">
        <w:rPr>
          <w:rFonts w:ascii="Verdana" w:hAnsi="Verdana" w:cs="Arial"/>
          <w:sz w:val="18"/>
          <w:szCs w:val="18"/>
          <w:lang w:val="nl-NL"/>
        </w:rPr>
        <w:t xml:space="preserve">winsten van een onderneming van een </w:t>
      </w:r>
      <w:r w:rsidR="0021450B">
        <w:rPr>
          <w:rFonts w:ascii="Verdana" w:hAnsi="Verdana" w:cs="Arial"/>
          <w:sz w:val="18"/>
          <w:szCs w:val="18"/>
          <w:lang w:val="nl-NL"/>
        </w:rPr>
        <w:t>verdragsluitende staat</w:t>
      </w:r>
      <w:r w:rsidRPr="005C1870" w:rsidR="00BB1705">
        <w:rPr>
          <w:rFonts w:ascii="Verdana" w:hAnsi="Verdana" w:cs="Arial"/>
          <w:sz w:val="18"/>
          <w:szCs w:val="18"/>
          <w:lang w:val="nl-NL"/>
        </w:rPr>
        <w:t xml:space="preserve"> slechts in de andere </w:t>
      </w:r>
      <w:r w:rsidR="0021450B">
        <w:rPr>
          <w:rFonts w:ascii="Verdana" w:hAnsi="Verdana" w:cs="Arial"/>
          <w:sz w:val="18"/>
          <w:szCs w:val="18"/>
          <w:lang w:val="nl-NL"/>
        </w:rPr>
        <w:t>verdragsluitende staat</w:t>
      </w:r>
      <w:r w:rsidRPr="005C1870" w:rsidR="00EB6455">
        <w:rPr>
          <w:rFonts w:ascii="Verdana" w:hAnsi="Verdana" w:cs="Arial"/>
          <w:sz w:val="18"/>
          <w:szCs w:val="18"/>
          <w:lang w:val="nl-NL"/>
        </w:rPr>
        <w:t xml:space="preserve"> </w:t>
      </w:r>
      <w:r w:rsidRPr="005C1870" w:rsidR="00BB1705">
        <w:rPr>
          <w:rFonts w:ascii="Verdana" w:hAnsi="Verdana" w:cs="Arial"/>
          <w:sz w:val="18"/>
          <w:szCs w:val="18"/>
          <w:lang w:val="nl-NL"/>
        </w:rPr>
        <w:t xml:space="preserve">mogen worden belast, voor zover </w:t>
      </w:r>
      <w:r w:rsidRPr="005C1870" w:rsidR="00EB6455">
        <w:rPr>
          <w:rFonts w:ascii="Verdana" w:hAnsi="Verdana" w:cs="Arial"/>
          <w:sz w:val="18"/>
          <w:szCs w:val="18"/>
          <w:lang w:val="nl-NL"/>
        </w:rPr>
        <w:t xml:space="preserve">die </w:t>
      </w:r>
      <w:r w:rsidRPr="005C1870" w:rsidR="00BB1705">
        <w:rPr>
          <w:rFonts w:ascii="Verdana" w:hAnsi="Verdana" w:cs="Arial"/>
          <w:sz w:val="18"/>
          <w:szCs w:val="18"/>
          <w:lang w:val="nl-NL"/>
        </w:rPr>
        <w:t xml:space="preserve">winsten </w:t>
      </w:r>
      <w:r w:rsidRPr="005C1870" w:rsidR="00EB6455">
        <w:rPr>
          <w:rFonts w:ascii="Verdana" w:hAnsi="Verdana" w:cs="Arial"/>
          <w:sz w:val="18"/>
          <w:szCs w:val="18"/>
          <w:lang w:val="nl-NL"/>
        </w:rPr>
        <w:t xml:space="preserve">aan </w:t>
      </w:r>
      <w:r w:rsidRPr="005C1870" w:rsidR="00BB1705">
        <w:rPr>
          <w:rFonts w:ascii="Verdana" w:hAnsi="Verdana" w:cs="Arial"/>
          <w:sz w:val="18"/>
          <w:szCs w:val="18"/>
          <w:lang w:val="nl-NL"/>
        </w:rPr>
        <w:t>een</w:t>
      </w:r>
      <w:r w:rsidRPr="005C1870" w:rsidR="00EB6455">
        <w:rPr>
          <w:rFonts w:ascii="Verdana" w:hAnsi="Verdana" w:cs="Arial"/>
          <w:sz w:val="18"/>
          <w:szCs w:val="18"/>
          <w:lang w:val="nl-NL"/>
        </w:rPr>
        <w:t xml:space="preserve"> vaste inrichting </w:t>
      </w:r>
      <w:r w:rsidRPr="005C1870" w:rsidR="00BB1705">
        <w:rPr>
          <w:rFonts w:ascii="Verdana" w:hAnsi="Verdana" w:cs="Arial"/>
          <w:sz w:val="18"/>
          <w:szCs w:val="18"/>
          <w:lang w:val="nl-NL"/>
        </w:rPr>
        <w:t xml:space="preserve">in die andere </w:t>
      </w:r>
      <w:r w:rsidR="003103E7">
        <w:rPr>
          <w:rFonts w:ascii="Verdana" w:hAnsi="Verdana" w:cs="Arial"/>
          <w:sz w:val="18"/>
          <w:szCs w:val="18"/>
          <w:lang w:val="nl-NL"/>
        </w:rPr>
        <w:t>staat</w:t>
      </w:r>
      <w:r w:rsidRPr="005C1870" w:rsidR="00BB1705">
        <w:rPr>
          <w:rFonts w:ascii="Verdana" w:hAnsi="Verdana" w:cs="Arial"/>
          <w:sz w:val="18"/>
          <w:szCs w:val="18"/>
          <w:lang w:val="nl-NL"/>
        </w:rPr>
        <w:t xml:space="preserve"> </w:t>
      </w:r>
      <w:r w:rsidRPr="005C1870" w:rsidR="00EB6455">
        <w:rPr>
          <w:rFonts w:ascii="Verdana" w:hAnsi="Verdana" w:cs="Arial"/>
          <w:sz w:val="18"/>
          <w:szCs w:val="18"/>
          <w:lang w:val="nl-NL"/>
        </w:rPr>
        <w:t xml:space="preserve">zijn toe te rekenen. </w:t>
      </w:r>
    </w:p>
    <w:p w:rsidRPr="005C1870" w:rsidR="00500251" w:rsidP="00500251" w:rsidRDefault="00500251" w14:paraId="5403B574" w14:textId="2ED767FA">
      <w:pPr>
        <w:ind w:firstLine="720"/>
        <w:rPr>
          <w:rFonts w:ascii="Verdana" w:hAnsi="Verdana"/>
          <w:sz w:val="18"/>
          <w:szCs w:val="18"/>
          <w:lang w:val="nl-NL"/>
        </w:rPr>
      </w:pPr>
      <w:r w:rsidRPr="005C1870">
        <w:rPr>
          <w:rFonts w:ascii="Verdana" w:hAnsi="Verdana" w:cs="Arial"/>
          <w:sz w:val="18"/>
          <w:szCs w:val="18"/>
          <w:lang w:val="nl-NL"/>
        </w:rPr>
        <w:t>Tijdens de onderhandelingen heeft Nederland, in lijn met het verdragsbeleid, ingezet op de 2010-versie van artikel 7 van het OESO-modelverdrag (</w:t>
      </w:r>
      <w:r w:rsidRPr="005C1870" w:rsidR="008F3C22">
        <w:rPr>
          <w:rFonts w:ascii="Verdana" w:hAnsi="Verdana" w:cs="Arial"/>
          <w:sz w:val="18"/>
          <w:szCs w:val="18"/>
          <w:lang w:val="nl-NL"/>
        </w:rPr>
        <w:t xml:space="preserve">die </w:t>
      </w:r>
      <w:r w:rsidRPr="005C1870">
        <w:rPr>
          <w:rFonts w:ascii="Verdana" w:hAnsi="Verdana" w:cs="Arial"/>
          <w:sz w:val="18"/>
          <w:szCs w:val="18"/>
          <w:lang w:val="nl-NL"/>
        </w:rPr>
        <w:t xml:space="preserve">overeenkomt met de </w:t>
      </w:r>
      <w:r w:rsidRPr="005C1870" w:rsidR="00BB1705">
        <w:rPr>
          <w:rFonts w:ascii="Verdana" w:hAnsi="Verdana" w:cs="Arial"/>
          <w:sz w:val="18"/>
          <w:szCs w:val="18"/>
          <w:lang w:val="nl-NL"/>
        </w:rPr>
        <w:t>2017</w:t>
      </w:r>
      <w:r w:rsidRPr="005C1870">
        <w:rPr>
          <w:rFonts w:ascii="Verdana" w:hAnsi="Verdana" w:cs="Arial"/>
          <w:sz w:val="18"/>
          <w:szCs w:val="18"/>
          <w:lang w:val="nl-NL"/>
        </w:rPr>
        <w:t xml:space="preserve">-versie). </w:t>
      </w:r>
      <w:r w:rsidRPr="005C1870" w:rsidR="00CF4B81">
        <w:rPr>
          <w:rFonts w:ascii="Verdana" w:hAnsi="Verdana" w:cs="Arial"/>
          <w:sz w:val="18"/>
          <w:szCs w:val="18"/>
          <w:lang w:val="nl-NL"/>
        </w:rPr>
        <w:t xml:space="preserve">Bulgarije </w:t>
      </w:r>
      <w:r w:rsidRPr="005C1870" w:rsidR="00A1125F">
        <w:rPr>
          <w:rFonts w:ascii="Verdana" w:hAnsi="Verdana" w:cs="Arial"/>
          <w:sz w:val="18"/>
          <w:szCs w:val="18"/>
          <w:lang w:val="nl-NL"/>
        </w:rPr>
        <w:t>was niet bereid om deze bepaling op te nemen</w:t>
      </w:r>
      <w:r w:rsidRPr="005C1870" w:rsidR="00CF4B81">
        <w:rPr>
          <w:rFonts w:ascii="Verdana" w:hAnsi="Verdana" w:cs="Arial"/>
          <w:sz w:val="18"/>
          <w:szCs w:val="18"/>
          <w:lang w:val="nl-NL"/>
        </w:rPr>
        <w:t>.</w:t>
      </w:r>
      <w:r w:rsidRPr="005C1870">
        <w:rPr>
          <w:rFonts w:ascii="Verdana" w:hAnsi="Verdana" w:cs="Arial"/>
          <w:sz w:val="18"/>
          <w:szCs w:val="18"/>
          <w:lang w:val="nl-NL"/>
        </w:rPr>
        <w:t xml:space="preserve"> Bulgarije </w:t>
      </w:r>
      <w:r w:rsidRPr="005C1870" w:rsidR="00D14E47">
        <w:rPr>
          <w:rFonts w:ascii="Verdana" w:hAnsi="Verdana" w:cs="Arial"/>
          <w:sz w:val="18"/>
          <w:szCs w:val="18"/>
          <w:lang w:val="nl-NL"/>
        </w:rPr>
        <w:t xml:space="preserve">heeft nog </w:t>
      </w:r>
      <w:r w:rsidRPr="005C1870" w:rsidR="00A1125F">
        <w:rPr>
          <w:rFonts w:ascii="Verdana" w:hAnsi="Verdana" w:cs="Arial"/>
          <w:sz w:val="18"/>
          <w:szCs w:val="18"/>
          <w:lang w:val="nl-NL"/>
        </w:rPr>
        <w:t xml:space="preserve">geen verdragen </w:t>
      </w:r>
      <w:r w:rsidRPr="005C1870">
        <w:rPr>
          <w:rFonts w:ascii="Verdana" w:hAnsi="Verdana" w:cs="Arial"/>
          <w:sz w:val="18"/>
          <w:szCs w:val="18"/>
          <w:lang w:val="nl-NL"/>
        </w:rPr>
        <w:t xml:space="preserve">gesloten waarin de 2010-versie van artikel 7 van het OESO-modelverdrag is opgenomen. In het kader van het </w:t>
      </w:r>
      <w:r w:rsidR="004B7F53">
        <w:rPr>
          <w:rFonts w:ascii="Verdana" w:hAnsi="Verdana" w:cs="Arial"/>
          <w:sz w:val="18"/>
          <w:szCs w:val="18"/>
          <w:lang w:val="nl-NL"/>
        </w:rPr>
        <w:t xml:space="preserve">algehele </w:t>
      </w:r>
      <w:r w:rsidRPr="005C1870">
        <w:rPr>
          <w:rFonts w:ascii="Verdana" w:hAnsi="Verdana" w:cs="Arial"/>
          <w:sz w:val="18"/>
          <w:szCs w:val="18"/>
          <w:lang w:val="nl-NL"/>
        </w:rPr>
        <w:t xml:space="preserve">onderhandelingsresultaat is Nederland akkoord gegaan met het opnemen van de 2008-versie, nadat werd afgesproken een zogenoemde meestbegunstigingsclausule op te nemen in artikel VII van het Protocol. Op grond van die clausule treedt Bulgarije </w:t>
      </w:r>
      <w:r w:rsidR="003657E3">
        <w:rPr>
          <w:rFonts w:ascii="Verdana" w:hAnsi="Verdana" w:cs="Arial"/>
          <w:sz w:val="18"/>
          <w:szCs w:val="18"/>
          <w:lang w:val="nl-NL"/>
        </w:rPr>
        <w:t xml:space="preserve">zo snel mogelijk </w:t>
      </w:r>
      <w:r w:rsidRPr="005C1870">
        <w:rPr>
          <w:rFonts w:ascii="Verdana" w:hAnsi="Verdana" w:cs="Arial"/>
          <w:sz w:val="18"/>
          <w:szCs w:val="18"/>
          <w:lang w:val="nl-NL"/>
        </w:rPr>
        <w:t>met Nederland in onderhandeling over het opnemen van de 2010-versie</w:t>
      </w:r>
      <w:r w:rsidRPr="005C1870" w:rsidR="00B760A3">
        <w:rPr>
          <w:rFonts w:ascii="Verdana" w:hAnsi="Verdana" w:cs="Arial"/>
          <w:sz w:val="18"/>
          <w:szCs w:val="18"/>
          <w:lang w:val="nl-NL"/>
        </w:rPr>
        <w:t xml:space="preserve"> (of latere versie)</w:t>
      </w:r>
      <w:r w:rsidRPr="005C1870">
        <w:rPr>
          <w:rFonts w:ascii="Verdana" w:hAnsi="Verdana" w:cs="Arial"/>
          <w:sz w:val="18"/>
          <w:szCs w:val="18"/>
          <w:lang w:val="nl-NL"/>
        </w:rPr>
        <w:t>, zodra Bulgarije d</w:t>
      </w:r>
      <w:r w:rsidRPr="005C1870" w:rsidR="00B760A3">
        <w:rPr>
          <w:rFonts w:ascii="Verdana" w:hAnsi="Verdana" w:cs="Arial"/>
          <w:sz w:val="18"/>
          <w:szCs w:val="18"/>
          <w:lang w:val="nl-NL"/>
        </w:rPr>
        <w:t>i</w:t>
      </w:r>
      <w:r w:rsidRPr="005C1870">
        <w:rPr>
          <w:rFonts w:ascii="Verdana" w:hAnsi="Verdana" w:cs="Arial"/>
          <w:sz w:val="18"/>
          <w:szCs w:val="18"/>
          <w:lang w:val="nl-NL"/>
        </w:rPr>
        <w:t>e versie van artikel 7 van het OESO-modelverdrag opneemt in een verdrag ter v</w:t>
      </w:r>
      <w:r w:rsidR="00C74E4B">
        <w:rPr>
          <w:rFonts w:ascii="Verdana" w:hAnsi="Verdana" w:cs="Arial"/>
          <w:sz w:val="18"/>
          <w:szCs w:val="18"/>
          <w:lang w:val="nl-NL"/>
        </w:rPr>
        <w:t>e</w:t>
      </w:r>
      <w:r w:rsidRPr="005C1870">
        <w:rPr>
          <w:rFonts w:ascii="Verdana" w:hAnsi="Verdana" w:cs="Arial"/>
          <w:sz w:val="18"/>
          <w:szCs w:val="18"/>
          <w:lang w:val="nl-NL"/>
        </w:rPr>
        <w:t>r</w:t>
      </w:r>
      <w:r w:rsidRPr="005C1870" w:rsidR="001C5B0C">
        <w:rPr>
          <w:rFonts w:ascii="Verdana" w:hAnsi="Verdana" w:cs="Arial"/>
          <w:sz w:val="18"/>
          <w:szCs w:val="18"/>
          <w:lang w:val="nl-NL"/>
        </w:rPr>
        <w:t>mijding</w:t>
      </w:r>
      <w:r w:rsidRPr="005C1870">
        <w:rPr>
          <w:rFonts w:ascii="Verdana" w:hAnsi="Verdana" w:cs="Arial"/>
          <w:sz w:val="18"/>
          <w:szCs w:val="18"/>
          <w:lang w:val="nl-NL"/>
        </w:rPr>
        <w:t xml:space="preserve"> van dubbele belasting met </w:t>
      </w:r>
      <w:r w:rsidRPr="005C1870" w:rsidR="001C5B0C">
        <w:rPr>
          <w:rFonts w:ascii="Verdana" w:hAnsi="Verdana" w:cs="Arial"/>
          <w:sz w:val="18"/>
          <w:szCs w:val="18"/>
          <w:lang w:val="nl-NL"/>
        </w:rPr>
        <w:t xml:space="preserve">een ander lid </w:t>
      </w:r>
      <w:r w:rsidRPr="005C1870">
        <w:rPr>
          <w:rFonts w:ascii="Verdana" w:hAnsi="Verdana" w:cs="Arial"/>
          <w:sz w:val="18"/>
          <w:szCs w:val="18"/>
          <w:lang w:val="nl-NL"/>
        </w:rPr>
        <w:t>van de OESO.</w:t>
      </w:r>
    </w:p>
    <w:p w:rsidRPr="005C1870" w:rsidR="00500251" w:rsidP="00500251" w:rsidRDefault="00500251" w14:paraId="2D5507B2" w14:textId="77777777">
      <w:pPr>
        <w:ind w:firstLine="720"/>
        <w:rPr>
          <w:rFonts w:ascii="Verdana" w:hAnsi="Verdana" w:cs="Arial"/>
          <w:sz w:val="18"/>
          <w:szCs w:val="18"/>
          <w:lang w:val="nl-NL"/>
        </w:rPr>
      </w:pPr>
      <w:r w:rsidRPr="005C1870">
        <w:rPr>
          <w:rFonts w:ascii="Verdana" w:hAnsi="Verdana" w:cs="Arial"/>
          <w:sz w:val="18"/>
          <w:szCs w:val="18"/>
          <w:lang w:val="nl-NL"/>
        </w:rPr>
        <w:lastRenderedPageBreak/>
        <w:t>Voor de toelichting op artikel V van het Protocol wordt verwezen naar de toelichting op artikel 5.</w:t>
      </w:r>
    </w:p>
    <w:p w:rsidRPr="005C1870" w:rsidR="009C40C2" w:rsidP="003823A1" w:rsidRDefault="001C5B0C" w14:paraId="3215085D" w14:textId="3529C77C">
      <w:pPr>
        <w:ind w:firstLine="720"/>
        <w:rPr>
          <w:rFonts w:ascii="Verdana" w:hAnsi="Verdana" w:cs="Arial"/>
          <w:sz w:val="18"/>
          <w:szCs w:val="18"/>
          <w:lang w:val="nl-NL"/>
        </w:rPr>
      </w:pPr>
      <w:r w:rsidRPr="005C1870">
        <w:rPr>
          <w:rFonts w:ascii="Verdana" w:hAnsi="Verdana" w:cs="Arial"/>
          <w:sz w:val="18"/>
          <w:szCs w:val="18"/>
          <w:lang w:val="nl-NL"/>
        </w:rPr>
        <w:t xml:space="preserve">Met het oog op </w:t>
      </w:r>
      <w:r w:rsidRPr="005C1870" w:rsidR="00AA5B36">
        <w:rPr>
          <w:rFonts w:ascii="Verdana" w:hAnsi="Verdana" w:cs="Arial"/>
          <w:sz w:val="18"/>
          <w:szCs w:val="18"/>
          <w:lang w:val="nl-NL"/>
        </w:rPr>
        <w:t xml:space="preserve">het opnemen van de “oude” versie van artikel 7 hecht Nederland aan het opnemen in het </w:t>
      </w:r>
      <w:r w:rsidRPr="005C1870" w:rsidR="00563A3E">
        <w:rPr>
          <w:rFonts w:ascii="Verdana" w:hAnsi="Verdana" w:cs="Arial"/>
          <w:sz w:val="18"/>
          <w:szCs w:val="18"/>
          <w:lang w:val="nl-NL"/>
        </w:rPr>
        <w:t>P</w:t>
      </w:r>
      <w:r w:rsidRPr="005C1870" w:rsidR="00AA5B36">
        <w:rPr>
          <w:rFonts w:ascii="Verdana" w:hAnsi="Verdana" w:cs="Arial"/>
          <w:sz w:val="18"/>
          <w:szCs w:val="18"/>
          <w:lang w:val="nl-NL"/>
        </w:rPr>
        <w:t>rotocol van verduidelijk</w:t>
      </w:r>
      <w:r w:rsidRPr="005C1870" w:rsidR="00DE31A5">
        <w:rPr>
          <w:rFonts w:ascii="Verdana" w:hAnsi="Verdana" w:cs="Arial"/>
          <w:sz w:val="18"/>
          <w:szCs w:val="18"/>
          <w:lang w:val="nl-NL"/>
        </w:rPr>
        <w:t>ingen</w:t>
      </w:r>
      <w:r w:rsidRPr="005C1870" w:rsidR="00AA5B36">
        <w:rPr>
          <w:rFonts w:ascii="Verdana" w:hAnsi="Verdana" w:cs="Arial"/>
          <w:sz w:val="18"/>
          <w:szCs w:val="18"/>
          <w:lang w:val="nl-NL"/>
        </w:rPr>
        <w:t xml:space="preserve"> over de toepassing ervan</w:t>
      </w:r>
      <w:r w:rsidRPr="005C1870" w:rsidR="009C40C2">
        <w:rPr>
          <w:rFonts w:ascii="Verdana" w:hAnsi="Verdana" w:cs="Arial"/>
          <w:sz w:val="18"/>
          <w:szCs w:val="18"/>
          <w:lang w:val="nl-NL"/>
        </w:rPr>
        <w:t xml:space="preserve"> om het bedrijfsleven hierover zekerheid te bieden</w:t>
      </w:r>
      <w:r w:rsidRPr="005C1870" w:rsidR="00AA5B36">
        <w:rPr>
          <w:rFonts w:ascii="Verdana" w:hAnsi="Verdana" w:cs="Arial"/>
          <w:sz w:val="18"/>
          <w:szCs w:val="18"/>
          <w:lang w:val="nl-NL"/>
        </w:rPr>
        <w:t xml:space="preserve">. </w:t>
      </w:r>
      <w:r w:rsidRPr="005C1870" w:rsidR="00500251">
        <w:rPr>
          <w:rFonts w:ascii="Verdana" w:hAnsi="Verdana" w:cs="Arial"/>
          <w:sz w:val="18"/>
          <w:szCs w:val="18"/>
          <w:lang w:val="nl-NL"/>
        </w:rPr>
        <w:t xml:space="preserve">Bulgarije deelt de uitleg </w:t>
      </w:r>
      <w:r w:rsidRPr="005C1870" w:rsidR="009C40C2">
        <w:rPr>
          <w:rFonts w:ascii="Verdana" w:hAnsi="Verdana" w:cs="Arial"/>
          <w:sz w:val="18"/>
          <w:szCs w:val="18"/>
          <w:lang w:val="nl-NL"/>
        </w:rPr>
        <w:t xml:space="preserve">van </w:t>
      </w:r>
      <w:r w:rsidRPr="005C1870" w:rsidR="00500251">
        <w:rPr>
          <w:rFonts w:ascii="Verdana" w:hAnsi="Verdana" w:cs="Arial"/>
          <w:sz w:val="18"/>
          <w:szCs w:val="18"/>
          <w:lang w:val="nl-NL"/>
        </w:rPr>
        <w:t xml:space="preserve">Nederland </w:t>
      </w:r>
      <w:r w:rsidRPr="005C1870" w:rsidR="00563A3E">
        <w:rPr>
          <w:rFonts w:ascii="Verdana" w:hAnsi="Verdana" w:cs="Arial"/>
          <w:sz w:val="18"/>
          <w:szCs w:val="18"/>
          <w:lang w:val="nl-NL"/>
        </w:rPr>
        <w:t xml:space="preserve">en </w:t>
      </w:r>
      <w:r w:rsidRPr="005C1870" w:rsidR="009C40C2">
        <w:rPr>
          <w:rFonts w:ascii="Verdana" w:hAnsi="Verdana" w:cs="Arial"/>
          <w:sz w:val="18"/>
          <w:szCs w:val="18"/>
          <w:lang w:val="nl-NL"/>
        </w:rPr>
        <w:t xml:space="preserve">kon instemmen met </w:t>
      </w:r>
      <w:r w:rsidR="00BC2ED4">
        <w:rPr>
          <w:rFonts w:ascii="Verdana" w:hAnsi="Verdana" w:cs="Arial"/>
          <w:sz w:val="18"/>
          <w:szCs w:val="18"/>
          <w:lang w:val="nl-NL"/>
        </w:rPr>
        <w:t xml:space="preserve">het </w:t>
      </w:r>
      <w:r w:rsidRPr="005C1870" w:rsidR="009C40C2">
        <w:rPr>
          <w:rFonts w:ascii="Verdana" w:hAnsi="Verdana" w:cs="Arial"/>
          <w:sz w:val="18"/>
          <w:szCs w:val="18"/>
          <w:lang w:val="nl-NL"/>
        </w:rPr>
        <w:t xml:space="preserve">voorgestelde </w:t>
      </w:r>
      <w:r w:rsidRPr="005C1870" w:rsidR="00500251">
        <w:rPr>
          <w:rFonts w:ascii="Verdana" w:hAnsi="Verdana" w:cs="Arial"/>
          <w:sz w:val="18"/>
          <w:szCs w:val="18"/>
          <w:lang w:val="nl-NL"/>
        </w:rPr>
        <w:t>artikel VIII van het Protocol.</w:t>
      </w:r>
    </w:p>
    <w:p w:rsidRPr="005C1870" w:rsidR="00F46239" w:rsidP="003823A1" w:rsidRDefault="00500251" w14:paraId="6BEEA34F" w14:textId="77777777">
      <w:pPr>
        <w:ind w:firstLine="720"/>
        <w:rPr>
          <w:rFonts w:ascii="Verdana" w:hAnsi="Verdana" w:cs="Arial"/>
          <w:sz w:val="18"/>
          <w:szCs w:val="18"/>
          <w:lang w:val="nl-NL"/>
        </w:rPr>
      </w:pPr>
      <w:r w:rsidRPr="005C1870">
        <w:rPr>
          <w:rFonts w:ascii="Verdana" w:hAnsi="Verdana" w:cs="Arial"/>
          <w:sz w:val="18"/>
          <w:szCs w:val="18"/>
          <w:lang w:val="nl-NL"/>
        </w:rPr>
        <w:t>Artikel VIII van het Protocol bevat een bepaling over zogenoemde bedrijfsklare projecten (‘</w:t>
      </w:r>
      <w:r w:rsidRPr="005C1870">
        <w:rPr>
          <w:rFonts w:ascii="Verdana" w:hAnsi="Verdana" w:cs="Arial"/>
          <w:i/>
          <w:sz w:val="18"/>
          <w:szCs w:val="18"/>
          <w:lang w:val="nl-NL"/>
        </w:rPr>
        <w:t>turn-key</w:t>
      </w:r>
      <w:r w:rsidRPr="005C1870">
        <w:rPr>
          <w:rFonts w:ascii="Verdana" w:hAnsi="Verdana" w:cs="Arial"/>
          <w:sz w:val="18"/>
          <w:szCs w:val="18"/>
          <w:lang w:val="nl-NL"/>
        </w:rPr>
        <w:t>’-projecten) en stelt zeker dat bij bedrijfsklare projecten niet de volledige contractsom aan de vaste inrichting wordt toegerekend</w:t>
      </w:r>
      <w:r w:rsidRPr="005C1870" w:rsidR="0011250E">
        <w:rPr>
          <w:rFonts w:ascii="Verdana" w:hAnsi="Verdana" w:cs="Arial"/>
          <w:sz w:val="18"/>
          <w:szCs w:val="18"/>
          <w:lang w:val="nl-NL"/>
        </w:rPr>
        <w:t>,</w:t>
      </w:r>
      <w:r w:rsidRPr="005C1870">
        <w:rPr>
          <w:rFonts w:ascii="Verdana" w:hAnsi="Verdana" w:cs="Arial"/>
          <w:sz w:val="18"/>
          <w:szCs w:val="18"/>
          <w:lang w:val="nl-NL"/>
        </w:rPr>
        <w:t xml:space="preserve"> maar dat wordt gekeken naar de werkzaamheden die in het </w:t>
      </w:r>
      <w:r w:rsidRPr="005C1870" w:rsidR="0011250E">
        <w:rPr>
          <w:rFonts w:ascii="Verdana" w:hAnsi="Verdana" w:cs="Arial"/>
          <w:sz w:val="18"/>
          <w:szCs w:val="18"/>
          <w:lang w:val="nl-NL"/>
        </w:rPr>
        <w:t>‘</w:t>
      </w:r>
      <w:r w:rsidRPr="005C1870">
        <w:rPr>
          <w:rFonts w:ascii="Verdana" w:hAnsi="Verdana" w:cs="Arial"/>
          <w:sz w:val="18"/>
          <w:szCs w:val="18"/>
          <w:lang w:val="nl-NL"/>
        </w:rPr>
        <w:t>hoofdhuis’ hebben plaatsgevonden en de werkzaamheden die in de vaste inrichting zijn uitgevoerd. Deze benadering is in lijn met het OESO-commentaar zoals dat vanaf 2008 op dit punt luidt.</w:t>
      </w:r>
    </w:p>
    <w:p w:rsidRPr="005C1870" w:rsidR="003823A1" w:rsidP="003823A1" w:rsidRDefault="00500251" w14:paraId="3CFC1180" w14:textId="77777777">
      <w:pPr>
        <w:ind w:firstLine="720"/>
        <w:rPr>
          <w:rFonts w:ascii="Verdana" w:hAnsi="Verdana"/>
          <w:sz w:val="18"/>
          <w:szCs w:val="18"/>
          <w:lang w:val="nl-NL"/>
        </w:rPr>
      </w:pPr>
      <w:r w:rsidRPr="005C1870">
        <w:rPr>
          <w:rFonts w:ascii="Verdana" w:hAnsi="Verdana" w:cs="Arial"/>
          <w:sz w:val="18"/>
          <w:szCs w:val="18"/>
          <w:lang w:val="nl-NL"/>
        </w:rPr>
        <w:t xml:space="preserve">Artikel IX van het Protocol gaat over de kwalificatie onder het Verdrag van vergoedingen voor technische diensten, waaronder begrepen studies of onderzoeken van wetenschappelijke, geologische of technische aard, of voor diensten van raadgevende of toezichthoudende aard. </w:t>
      </w:r>
      <w:r w:rsidRPr="005C1870" w:rsidR="00A7465A">
        <w:rPr>
          <w:rFonts w:ascii="Verdana" w:hAnsi="Verdana" w:cs="Arial"/>
          <w:sz w:val="18"/>
          <w:szCs w:val="18"/>
          <w:lang w:val="nl-NL"/>
        </w:rPr>
        <w:t>Dit</w:t>
      </w:r>
      <w:r w:rsidRPr="005C1870">
        <w:rPr>
          <w:rFonts w:ascii="Verdana" w:hAnsi="Verdana" w:cs="Arial"/>
          <w:sz w:val="18"/>
          <w:szCs w:val="18"/>
          <w:lang w:val="nl-NL"/>
        </w:rPr>
        <w:t xml:space="preserve"> artikel bepaal</w:t>
      </w:r>
      <w:r w:rsidRPr="005C1870" w:rsidR="00A7465A">
        <w:rPr>
          <w:rFonts w:ascii="Verdana" w:hAnsi="Verdana" w:cs="Arial"/>
          <w:sz w:val="18"/>
          <w:szCs w:val="18"/>
          <w:lang w:val="nl-NL"/>
        </w:rPr>
        <w:t>t</w:t>
      </w:r>
      <w:r w:rsidRPr="005C1870">
        <w:rPr>
          <w:rFonts w:ascii="Verdana" w:hAnsi="Verdana" w:cs="Arial"/>
          <w:sz w:val="18"/>
          <w:szCs w:val="18"/>
          <w:lang w:val="nl-NL"/>
        </w:rPr>
        <w:t xml:space="preserve"> dat artikel 7 </w:t>
      </w:r>
      <w:r w:rsidRPr="005C1870" w:rsidR="0011250E">
        <w:rPr>
          <w:rFonts w:ascii="Verdana" w:hAnsi="Verdana" w:cs="Arial"/>
          <w:sz w:val="18"/>
          <w:szCs w:val="18"/>
          <w:lang w:val="nl-NL"/>
        </w:rPr>
        <w:t xml:space="preserve">van het Verdrag </w:t>
      </w:r>
      <w:r w:rsidRPr="005C1870">
        <w:rPr>
          <w:rFonts w:ascii="Verdana" w:hAnsi="Verdana" w:cs="Arial"/>
          <w:sz w:val="18"/>
          <w:szCs w:val="18"/>
          <w:lang w:val="nl-NL"/>
        </w:rPr>
        <w:t xml:space="preserve">van toepassing is op deze vergoedingen. Deze vergoedingen kunnen dus niet worden aangemerkt als royalty’s in de zin van artikel 12 van het Verdrag. </w:t>
      </w:r>
      <w:r w:rsidR="005E2511">
        <w:rPr>
          <w:rFonts w:ascii="Verdana" w:hAnsi="Verdana" w:cs="Arial"/>
          <w:sz w:val="18"/>
          <w:szCs w:val="18"/>
          <w:lang w:val="nl-NL"/>
        </w:rPr>
        <w:t>Dit sluit aan bij het commentaar op artikel 12 van het OESO-modelverdrag.</w:t>
      </w:r>
      <w:r w:rsidRPr="005C1870">
        <w:rPr>
          <w:rFonts w:ascii="Verdana" w:hAnsi="Verdana" w:cs="Arial"/>
          <w:sz w:val="18"/>
          <w:szCs w:val="18"/>
          <w:lang w:val="nl-NL"/>
        </w:rPr>
        <w:br/>
      </w:r>
    </w:p>
    <w:p w:rsidRPr="001C6327" w:rsidR="00500251" w:rsidP="00500251" w:rsidRDefault="00500251" w14:paraId="2D382275" w14:textId="77777777">
      <w:pPr>
        <w:ind w:firstLine="0"/>
        <w:rPr>
          <w:rFonts w:ascii="Verdana" w:hAnsi="Verdana"/>
          <w:sz w:val="18"/>
          <w:szCs w:val="18"/>
          <w:lang w:val="nl-NL"/>
        </w:rPr>
      </w:pPr>
      <w:r w:rsidRPr="00556990">
        <w:rPr>
          <w:rFonts w:ascii="Verdana" w:hAnsi="Verdana"/>
          <w:i/>
          <w:sz w:val="18"/>
          <w:szCs w:val="18"/>
          <w:lang w:val="nl-NL"/>
        </w:rPr>
        <w:t xml:space="preserve">II.8. Internationaal verkeer (artikel 8 </w:t>
      </w:r>
      <w:r w:rsidRPr="00916448" w:rsidR="00916448">
        <w:rPr>
          <w:rFonts w:ascii="Verdana" w:hAnsi="Verdana"/>
          <w:i/>
          <w:sz w:val="18"/>
          <w:szCs w:val="18"/>
          <w:lang w:val="nl-NL"/>
        </w:rPr>
        <w:t xml:space="preserve">van het Verdrag </w:t>
      </w:r>
      <w:r w:rsidRPr="00556990">
        <w:rPr>
          <w:rFonts w:ascii="Verdana" w:hAnsi="Verdana"/>
          <w:i/>
          <w:sz w:val="18"/>
          <w:szCs w:val="18"/>
          <w:lang w:val="nl-NL"/>
        </w:rPr>
        <w:t>en artikel X</w:t>
      </w:r>
      <w:r w:rsidR="00916448">
        <w:rPr>
          <w:rFonts w:ascii="Verdana" w:hAnsi="Verdana"/>
          <w:i/>
          <w:sz w:val="18"/>
          <w:szCs w:val="18"/>
          <w:lang w:val="nl-NL"/>
        </w:rPr>
        <w:t xml:space="preserve"> van het</w:t>
      </w:r>
      <w:r w:rsidRPr="00916448" w:rsidR="00916448">
        <w:rPr>
          <w:rFonts w:ascii="Verdana" w:hAnsi="Verdana"/>
          <w:i/>
          <w:sz w:val="18"/>
          <w:szCs w:val="18"/>
          <w:lang w:val="nl-NL"/>
        </w:rPr>
        <w:t xml:space="preserve"> </w:t>
      </w:r>
      <w:r w:rsidRPr="00556990" w:rsidR="00916448">
        <w:rPr>
          <w:rFonts w:ascii="Verdana" w:hAnsi="Verdana"/>
          <w:i/>
          <w:sz w:val="18"/>
          <w:szCs w:val="18"/>
          <w:lang w:val="nl-NL"/>
        </w:rPr>
        <w:t>Protocol</w:t>
      </w:r>
      <w:r w:rsidRPr="00556990">
        <w:rPr>
          <w:rFonts w:ascii="Verdana" w:hAnsi="Verdana"/>
          <w:i/>
          <w:sz w:val="18"/>
          <w:szCs w:val="18"/>
          <w:lang w:val="nl-NL"/>
        </w:rPr>
        <w:t xml:space="preserve">) </w:t>
      </w:r>
      <w:r w:rsidRPr="00556990">
        <w:rPr>
          <w:rFonts w:ascii="Verdana" w:hAnsi="Verdana"/>
          <w:i/>
          <w:sz w:val="18"/>
          <w:szCs w:val="18"/>
          <w:lang w:val="nl-NL"/>
        </w:rPr>
        <w:br/>
      </w:r>
    </w:p>
    <w:p w:rsidRPr="00BC6175" w:rsidR="00500251" w:rsidP="00500251" w:rsidRDefault="00500251" w14:paraId="5D8EBCDE" w14:textId="77777777">
      <w:pPr>
        <w:rPr>
          <w:rFonts w:ascii="Verdana" w:hAnsi="Verdana" w:cs="Arial"/>
          <w:sz w:val="18"/>
          <w:szCs w:val="18"/>
          <w:lang w:val="nl-NL"/>
        </w:rPr>
      </w:pPr>
      <w:r w:rsidRPr="00F578EC">
        <w:rPr>
          <w:rFonts w:ascii="Verdana" w:hAnsi="Verdana" w:cs="Arial"/>
          <w:sz w:val="18"/>
          <w:szCs w:val="18"/>
          <w:lang w:val="nl-NL"/>
        </w:rPr>
        <w:t>Artikel 8</w:t>
      </w:r>
      <w:r w:rsidRPr="00F578EC" w:rsidR="008168BA">
        <w:rPr>
          <w:rFonts w:ascii="Verdana" w:hAnsi="Verdana" w:cs="Arial"/>
          <w:sz w:val="18"/>
          <w:szCs w:val="18"/>
          <w:lang w:val="nl-NL"/>
        </w:rPr>
        <w:t xml:space="preserve"> van het Verdrag</w:t>
      </w:r>
      <w:r w:rsidRPr="00F578EC">
        <w:rPr>
          <w:rFonts w:ascii="Verdana" w:hAnsi="Verdana" w:cs="Arial"/>
          <w:sz w:val="18"/>
          <w:szCs w:val="18"/>
          <w:lang w:val="nl-NL"/>
        </w:rPr>
        <w:t xml:space="preserve"> bevat bepalingen voor de verdeling van heffingsrechten over winsten</w:t>
      </w:r>
      <w:r w:rsidR="00733875">
        <w:rPr>
          <w:rFonts w:ascii="Verdana" w:hAnsi="Verdana" w:cs="Arial"/>
          <w:sz w:val="18"/>
          <w:szCs w:val="18"/>
          <w:lang w:val="nl-NL"/>
        </w:rPr>
        <w:t xml:space="preserve"> uit</w:t>
      </w:r>
      <w:r w:rsidRPr="00F578EC">
        <w:rPr>
          <w:rFonts w:ascii="Verdana" w:hAnsi="Verdana" w:cs="Arial"/>
          <w:sz w:val="18"/>
          <w:szCs w:val="18"/>
          <w:lang w:val="nl-NL"/>
        </w:rPr>
        <w:t xml:space="preserve"> transportactiviteiten. </w:t>
      </w:r>
    </w:p>
    <w:p w:rsidRPr="005C1870" w:rsidR="00713AD2" w:rsidP="00A512B5" w:rsidRDefault="00A512B5" w14:paraId="47F06CBC" w14:textId="77777777">
      <w:pPr>
        <w:rPr>
          <w:rFonts w:ascii="Verdana" w:hAnsi="Verdana"/>
          <w:sz w:val="18"/>
          <w:szCs w:val="18"/>
          <w:lang w:val="nl-NL"/>
        </w:rPr>
      </w:pPr>
      <w:r w:rsidRPr="00BC6175">
        <w:rPr>
          <w:rFonts w:ascii="Verdana" w:hAnsi="Verdana" w:cs="Arial"/>
          <w:sz w:val="18"/>
          <w:szCs w:val="18"/>
          <w:lang w:val="nl-NL"/>
        </w:rPr>
        <w:t xml:space="preserve">Op grond van het eerste lid wordt de winst behaald met de exploitatie van schepen, luchtvaartuigen en wegtransportvoertuigen in internationaal verkeer ter belastingheffing toegewezen aan de </w:t>
      </w:r>
      <w:r>
        <w:rPr>
          <w:rFonts w:ascii="Verdana" w:hAnsi="Verdana" w:cs="Arial"/>
          <w:sz w:val="18"/>
          <w:szCs w:val="18"/>
          <w:lang w:val="nl-NL"/>
        </w:rPr>
        <w:t>verdragsluitende staat</w:t>
      </w:r>
      <w:r w:rsidRPr="00BC6175">
        <w:rPr>
          <w:rFonts w:ascii="Verdana" w:hAnsi="Verdana" w:cs="Arial"/>
          <w:sz w:val="18"/>
          <w:szCs w:val="18"/>
          <w:lang w:val="nl-NL"/>
        </w:rPr>
        <w:t xml:space="preserve"> waar</w:t>
      </w:r>
      <w:r w:rsidRPr="00CF22A8">
        <w:rPr>
          <w:rFonts w:ascii="Verdana" w:hAnsi="Verdana" w:cs="Arial"/>
          <w:sz w:val="18"/>
          <w:szCs w:val="18"/>
          <w:lang w:val="nl-NL"/>
        </w:rPr>
        <w:t>van de persoon die de desbetre</w:t>
      </w:r>
      <w:r w:rsidRPr="005C1870">
        <w:rPr>
          <w:rFonts w:ascii="Verdana" w:hAnsi="Verdana" w:cs="Arial"/>
          <w:sz w:val="18"/>
          <w:szCs w:val="18"/>
          <w:lang w:val="nl-NL"/>
        </w:rPr>
        <w:t xml:space="preserve">ffende onderneming drijft inwoner is. </w:t>
      </w:r>
      <w:r>
        <w:rPr>
          <w:rFonts w:ascii="Verdana" w:hAnsi="Verdana" w:cs="Arial"/>
          <w:sz w:val="18"/>
          <w:szCs w:val="18"/>
          <w:lang w:val="nl-NL"/>
        </w:rPr>
        <w:t xml:space="preserve">Afgezien van de uitbreiding naar het wegtransport – zoals ook in </w:t>
      </w:r>
      <w:r w:rsidRPr="005C1870">
        <w:rPr>
          <w:rFonts w:ascii="Verdana" w:hAnsi="Verdana" w:cs="Arial"/>
          <w:sz w:val="18"/>
          <w:szCs w:val="18"/>
          <w:lang w:val="nl-NL"/>
        </w:rPr>
        <w:t xml:space="preserve">het Verdrag van 1990 </w:t>
      </w:r>
      <w:r>
        <w:rPr>
          <w:rFonts w:ascii="Verdana" w:hAnsi="Verdana" w:cs="Arial"/>
          <w:sz w:val="18"/>
          <w:szCs w:val="18"/>
          <w:lang w:val="nl-NL"/>
        </w:rPr>
        <w:t xml:space="preserve">is opgenomen - </w:t>
      </w:r>
      <w:r w:rsidRPr="005C1870">
        <w:rPr>
          <w:rFonts w:ascii="Verdana" w:hAnsi="Verdana"/>
          <w:sz w:val="18"/>
          <w:szCs w:val="18"/>
          <w:lang w:val="nl-NL"/>
        </w:rPr>
        <w:t xml:space="preserve">sluit </w:t>
      </w:r>
      <w:r>
        <w:rPr>
          <w:rFonts w:ascii="Verdana" w:hAnsi="Verdana"/>
          <w:sz w:val="18"/>
          <w:szCs w:val="18"/>
          <w:lang w:val="nl-NL"/>
        </w:rPr>
        <w:t xml:space="preserve">deze bepaling, op verzoek van Bulgarije, aan bij </w:t>
      </w:r>
      <w:r w:rsidRPr="005C1870">
        <w:rPr>
          <w:rFonts w:ascii="Verdana" w:hAnsi="Verdana"/>
          <w:sz w:val="18"/>
          <w:szCs w:val="18"/>
          <w:lang w:val="nl-NL"/>
        </w:rPr>
        <w:t xml:space="preserve">de </w:t>
      </w:r>
      <w:r>
        <w:rPr>
          <w:rFonts w:ascii="Verdana" w:hAnsi="Verdana"/>
          <w:sz w:val="18"/>
          <w:szCs w:val="18"/>
          <w:lang w:val="nl-NL"/>
        </w:rPr>
        <w:t xml:space="preserve">actuele </w:t>
      </w:r>
      <w:r w:rsidRPr="005C1870">
        <w:rPr>
          <w:rFonts w:ascii="Verdana" w:hAnsi="Verdana"/>
          <w:sz w:val="18"/>
          <w:szCs w:val="18"/>
          <w:lang w:val="nl-NL"/>
        </w:rPr>
        <w:t>versie van het OESO-modelverdrag</w:t>
      </w:r>
      <w:r>
        <w:rPr>
          <w:rFonts w:ascii="Verdana" w:hAnsi="Verdana"/>
          <w:sz w:val="18"/>
          <w:szCs w:val="18"/>
          <w:lang w:val="nl-NL"/>
        </w:rPr>
        <w:t>. Sinds de aanpassing op 21 november 2017 gaat het OESO-modelverdrag uit van de toedeling van de heffingsrechten aan de staat waarvan de vervoers</w:t>
      </w:r>
      <w:r w:rsidRPr="00542B47">
        <w:rPr>
          <w:rFonts w:ascii="Verdana" w:hAnsi="Verdana"/>
          <w:i/>
          <w:sz w:val="18"/>
          <w:szCs w:val="18"/>
          <w:lang w:val="nl-NL"/>
        </w:rPr>
        <w:t>ondernemer</w:t>
      </w:r>
      <w:r>
        <w:rPr>
          <w:rFonts w:ascii="Verdana" w:hAnsi="Verdana"/>
          <w:sz w:val="18"/>
          <w:szCs w:val="18"/>
          <w:lang w:val="nl-NL"/>
        </w:rPr>
        <w:t xml:space="preserve"> inwoner is en niet langer aan de staat waarin een vervoers</w:t>
      </w:r>
      <w:r w:rsidRPr="00542B47">
        <w:rPr>
          <w:rFonts w:ascii="Verdana" w:hAnsi="Verdana"/>
          <w:i/>
          <w:sz w:val="18"/>
          <w:szCs w:val="18"/>
          <w:lang w:val="nl-NL"/>
        </w:rPr>
        <w:t>onderneming</w:t>
      </w:r>
      <w:r>
        <w:rPr>
          <w:rFonts w:ascii="Verdana" w:hAnsi="Verdana"/>
          <w:sz w:val="18"/>
          <w:szCs w:val="18"/>
          <w:lang w:val="nl-NL"/>
        </w:rPr>
        <w:t xml:space="preserve"> feitelijk wordt geleid.</w:t>
      </w:r>
      <w:r w:rsidRPr="005C1870">
        <w:rPr>
          <w:rFonts w:ascii="Verdana" w:hAnsi="Verdana"/>
          <w:sz w:val="18"/>
          <w:szCs w:val="18"/>
          <w:lang w:val="nl-NL"/>
        </w:rPr>
        <w:t xml:space="preserve"> In het verlengde hiervan is er minder behoefte aan het opnemen in het Verdrag van een bijzondere bepaling over de positie van KLM N.V. die</w:t>
      </w:r>
      <w:r>
        <w:rPr>
          <w:rFonts w:ascii="Verdana" w:hAnsi="Verdana"/>
          <w:sz w:val="18"/>
          <w:szCs w:val="18"/>
          <w:lang w:val="nl-NL"/>
        </w:rPr>
        <w:t>, zoals opgemerkt in onderdeel 2.6.5 van de NFV 2011,</w:t>
      </w:r>
      <w:r w:rsidRPr="005C1870">
        <w:rPr>
          <w:rFonts w:ascii="Verdana" w:hAnsi="Verdana"/>
          <w:sz w:val="18"/>
          <w:szCs w:val="18"/>
          <w:lang w:val="nl-NL"/>
        </w:rPr>
        <w:t xml:space="preserve"> Nederland pleegt op te nemen indien voor de verdeling van heffingsrechten wordt uitgegaan van de plaats van werkelijke leiding van de </w:t>
      </w:r>
      <w:r>
        <w:rPr>
          <w:rFonts w:ascii="Verdana" w:hAnsi="Verdana"/>
          <w:sz w:val="18"/>
          <w:szCs w:val="18"/>
          <w:lang w:val="nl-NL"/>
        </w:rPr>
        <w:t>vervoers</w:t>
      </w:r>
      <w:r w:rsidRPr="005C1870">
        <w:rPr>
          <w:rFonts w:ascii="Verdana" w:hAnsi="Verdana"/>
          <w:sz w:val="18"/>
          <w:szCs w:val="18"/>
          <w:lang w:val="nl-NL"/>
        </w:rPr>
        <w:t xml:space="preserve">onderneming. </w:t>
      </w:r>
    </w:p>
    <w:p w:rsidRPr="00556990" w:rsidR="00500251" w:rsidP="00500251" w:rsidRDefault="00500251" w14:paraId="6D884B33" w14:textId="03773FD2">
      <w:pPr>
        <w:rPr>
          <w:rFonts w:ascii="Verdana" w:hAnsi="Verdana"/>
          <w:sz w:val="18"/>
          <w:szCs w:val="18"/>
          <w:lang w:val="nl"/>
        </w:rPr>
      </w:pPr>
      <w:r w:rsidRPr="005C1870">
        <w:rPr>
          <w:rFonts w:ascii="Verdana" w:hAnsi="Verdana"/>
          <w:sz w:val="18"/>
          <w:szCs w:val="18"/>
          <w:lang w:val="nl-NL"/>
        </w:rPr>
        <w:t>In het</w:t>
      </w:r>
      <w:r w:rsidRPr="005C1870">
        <w:rPr>
          <w:rFonts w:ascii="Verdana" w:hAnsi="Verdana"/>
          <w:sz w:val="18"/>
          <w:szCs w:val="18"/>
          <w:lang w:val="nl"/>
        </w:rPr>
        <w:t xml:space="preserve"> tweede lid </w:t>
      </w:r>
      <w:r w:rsidRPr="005C1870" w:rsidR="008249E2">
        <w:rPr>
          <w:rFonts w:ascii="Verdana" w:hAnsi="Verdana"/>
          <w:sz w:val="18"/>
          <w:szCs w:val="18"/>
          <w:lang w:val="nl"/>
        </w:rPr>
        <w:t>is</w:t>
      </w:r>
      <w:r w:rsidRPr="005C1870">
        <w:rPr>
          <w:rFonts w:ascii="Verdana" w:hAnsi="Verdana"/>
          <w:sz w:val="18"/>
          <w:szCs w:val="18"/>
          <w:lang w:val="nl"/>
        </w:rPr>
        <w:t xml:space="preserve"> bepaald dat de winst die wordt behaald met de exploitatie van binnenvaartschepen</w:t>
      </w:r>
      <w:r w:rsidR="005E2511">
        <w:rPr>
          <w:rFonts w:ascii="Verdana" w:hAnsi="Verdana"/>
          <w:sz w:val="18"/>
          <w:szCs w:val="18"/>
          <w:lang w:val="nl"/>
        </w:rPr>
        <w:t xml:space="preserve"> </w:t>
      </w:r>
      <w:r w:rsidRPr="005C1870">
        <w:rPr>
          <w:rFonts w:ascii="Verdana" w:hAnsi="Verdana" w:cs="Arial"/>
          <w:sz w:val="18"/>
          <w:szCs w:val="18"/>
          <w:lang w:val="nl-NL"/>
        </w:rPr>
        <w:t>ter belastingheffing</w:t>
      </w:r>
      <w:r w:rsidRPr="005C1870">
        <w:rPr>
          <w:rFonts w:ascii="Verdana" w:hAnsi="Verdana"/>
          <w:sz w:val="18"/>
          <w:szCs w:val="18"/>
          <w:lang w:val="nl"/>
        </w:rPr>
        <w:t xml:space="preserve"> wordt </w:t>
      </w:r>
      <w:r w:rsidRPr="005C1870">
        <w:rPr>
          <w:rFonts w:ascii="Verdana" w:hAnsi="Verdana" w:cs="Arial"/>
          <w:sz w:val="18"/>
          <w:szCs w:val="18"/>
          <w:lang w:val="nl-NL"/>
        </w:rPr>
        <w:t xml:space="preserve">toegewezen aan de </w:t>
      </w:r>
      <w:r w:rsidR="0021450B">
        <w:rPr>
          <w:rFonts w:ascii="Verdana" w:hAnsi="Verdana" w:cs="Arial"/>
          <w:sz w:val="18"/>
          <w:szCs w:val="18"/>
          <w:lang w:val="nl-NL"/>
        </w:rPr>
        <w:t>verdragsluitende staat</w:t>
      </w:r>
      <w:r w:rsidRPr="005C1870">
        <w:rPr>
          <w:rFonts w:ascii="Verdana" w:hAnsi="Verdana" w:cs="Arial"/>
          <w:sz w:val="18"/>
          <w:szCs w:val="18"/>
          <w:lang w:val="nl-NL"/>
        </w:rPr>
        <w:t xml:space="preserve"> waar</w:t>
      </w:r>
      <w:r w:rsidRPr="005C1870" w:rsidR="00005D1D">
        <w:rPr>
          <w:rFonts w:ascii="Verdana" w:hAnsi="Verdana" w:cs="Arial"/>
          <w:sz w:val="18"/>
          <w:szCs w:val="18"/>
          <w:lang w:val="nl-NL"/>
        </w:rPr>
        <w:t>van</w:t>
      </w:r>
      <w:r w:rsidRPr="005C1870">
        <w:rPr>
          <w:rFonts w:ascii="Verdana" w:hAnsi="Verdana" w:cs="Arial"/>
          <w:sz w:val="18"/>
          <w:szCs w:val="18"/>
          <w:lang w:val="nl-NL"/>
        </w:rPr>
        <w:t xml:space="preserve"> de </w:t>
      </w:r>
      <w:r w:rsidRPr="005C1870" w:rsidR="00FB2EB2">
        <w:rPr>
          <w:rFonts w:ascii="Verdana" w:hAnsi="Verdana" w:cs="Arial"/>
          <w:sz w:val="18"/>
          <w:szCs w:val="18"/>
          <w:lang w:val="nl-NL"/>
        </w:rPr>
        <w:t>persoon die de binnenvaart</w:t>
      </w:r>
      <w:r w:rsidRPr="005C1870">
        <w:rPr>
          <w:rFonts w:ascii="Verdana" w:hAnsi="Verdana" w:cs="Arial"/>
          <w:sz w:val="18"/>
          <w:szCs w:val="18"/>
          <w:lang w:val="nl-NL"/>
        </w:rPr>
        <w:t xml:space="preserve">onderneming </w:t>
      </w:r>
      <w:r w:rsidRPr="005C1870" w:rsidR="00FB2EB2">
        <w:rPr>
          <w:rFonts w:ascii="Verdana" w:hAnsi="Verdana" w:cs="Arial"/>
          <w:sz w:val="18"/>
          <w:szCs w:val="18"/>
          <w:lang w:val="nl-NL"/>
        </w:rPr>
        <w:t>drijft inwoner is</w:t>
      </w:r>
      <w:r w:rsidRPr="005C1870">
        <w:rPr>
          <w:rFonts w:ascii="Verdana" w:hAnsi="Verdana"/>
          <w:sz w:val="18"/>
          <w:szCs w:val="18"/>
          <w:lang w:val="nl"/>
        </w:rPr>
        <w:t>.</w:t>
      </w:r>
      <w:r w:rsidRPr="005C1870" w:rsidR="008D114A">
        <w:rPr>
          <w:rFonts w:ascii="Verdana" w:hAnsi="Verdana"/>
          <w:sz w:val="18"/>
          <w:szCs w:val="18"/>
          <w:lang w:val="nl"/>
        </w:rPr>
        <w:t xml:space="preserve"> Dit is van belang voor binnenvaartschepen die gebruik kunnen maken van de verbinding tussen de Noordzee en de Zwarte Zee</w:t>
      </w:r>
      <w:r w:rsidR="00FD7C4E">
        <w:rPr>
          <w:rFonts w:ascii="Verdana" w:hAnsi="Verdana"/>
          <w:sz w:val="18"/>
          <w:szCs w:val="18"/>
          <w:lang w:val="nl"/>
        </w:rPr>
        <w:t>.</w:t>
      </w:r>
    </w:p>
    <w:p w:rsidRPr="00BC6175" w:rsidR="00500251" w:rsidP="00500251" w:rsidRDefault="00500251" w14:paraId="20B9DABE" w14:textId="77777777">
      <w:pPr>
        <w:rPr>
          <w:rFonts w:ascii="Verdana" w:hAnsi="Verdana"/>
          <w:sz w:val="18"/>
          <w:szCs w:val="18"/>
          <w:lang w:val="nl-NL"/>
        </w:rPr>
      </w:pPr>
      <w:r w:rsidRPr="001C6327">
        <w:rPr>
          <w:rFonts w:ascii="Verdana" w:hAnsi="Verdana"/>
          <w:sz w:val="18"/>
          <w:szCs w:val="18"/>
          <w:lang w:val="nl"/>
        </w:rPr>
        <w:t xml:space="preserve">Op grond van het derde lid geldt het eerste lid </w:t>
      </w:r>
      <w:r w:rsidRPr="00CB07AC">
        <w:rPr>
          <w:rFonts w:ascii="Verdana" w:hAnsi="Verdana"/>
          <w:sz w:val="18"/>
          <w:szCs w:val="18"/>
          <w:lang w:val="nl"/>
        </w:rPr>
        <w:t xml:space="preserve">tevens voor winst verkregen uit de exploitatie van schepen, </w:t>
      </w:r>
      <w:r w:rsidRPr="00F578EC">
        <w:rPr>
          <w:rFonts w:ascii="Verdana" w:hAnsi="Verdana" w:cs="Arial"/>
          <w:sz w:val="18"/>
          <w:szCs w:val="18"/>
          <w:lang w:val="nl-NL"/>
        </w:rPr>
        <w:t xml:space="preserve">luchtvaartuigen en wegtransportvoertuigen </w:t>
      </w:r>
      <w:r w:rsidRPr="00F578EC">
        <w:rPr>
          <w:rFonts w:ascii="Verdana" w:hAnsi="Verdana"/>
          <w:sz w:val="18"/>
          <w:szCs w:val="18"/>
          <w:lang w:val="nl"/>
        </w:rPr>
        <w:t>in internationaal verkeer door middel van</w:t>
      </w:r>
      <w:r w:rsidRPr="00BC6175">
        <w:rPr>
          <w:rFonts w:ascii="Verdana" w:hAnsi="Verdana"/>
          <w:sz w:val="18"/>
          <w:szCs w:val="18"/>
          <w:lang w:val="nl-NL"/>
        </w:rPr>
        <w:t xml:space="preserve"> participatie in een poolovereenkomst of deelname in een gemeenschappelijke </w:t>
      </w:r>
      <w:r w:rsidRPr="00BC6175">
        <w:rPr>
          <w:rFonts w:ascii="Verdana" w:hAnsi="Verdana"/>
          <w:sz w:val="18"/>
          <w:szCs w:val="18"/>
          <w:lang w:val="nl-NL"/>
        </w:rPr>
        <w:lastRenderedPageBreak/>
        <w:t>onderneming of internationaal opererend agentschap</w:t>
      </w:r>
      <w:r w:rsidRPr="00BC6175">
        <w:rPr>
          <w:rFonts w:ascii="Verdana" w:hAnsi="Verdana"/>
          <w:sz w:val="18"/>
          <w:szCs w:val="18"/>
          <w:lang w:val="nl"/>
        </w:rPr>
        <w:t xml:space="preserve">. Het derde lid komt overeen met het </w:t>
      </w:r>
      <w:r w:rsidRPr="00BC6175" w:rsidR="007D5C8B">
        <w:rPr>
          <w:rFonts w:ascii="Verdana" w:hAnsi="Verdana"/>
          <w:sz w:val="18"/>
          <w:szCs w:val="18"/>
          <w:lang w:val="nl"/>
        </w:rPr>
        <w:t>tweede</w:t>
      </w:r>
      <w:r w:rsidRPr="00BC6175" w:rsidR="008249E2">
        <w:rPr>
          <w:rFonts w:ascii="Verdana" w:hAnsi="Verdana"/>
          <w:sz w:val="18"/>
          <w:szCs w:val="18"/>
          <w:lang w:val="nl"/>
        </w:rPr>
        <w:t xml:space="preserve"> </w:t>
      </w:r>
      <w:r w:rsidRPr="00BC6175">
        <w:rPr>
          <w:rFonts w:ascii="Verdana" w:hAnsi="Verdana"/>
          <w:sz w:val="18"/>
          <w:szCs w:val="18"/>
          <w:lang w:val="nl"/>
        </w:rPr>
        <w:t>lid van artikel 8 van het OESO-modelverdrag.</w:t>
      </w:r>
    </w:p>
    <w:p w:rsidRPr="005C1870" w:rsidR="00500251" w:rsidP="00500251" w:rsidRDefault="00500251" w14:paraId="15095E34" w14:textId="77777777">
      <w:pPr>
        <w:ind w:firstLine="720"/>
        <w:rPr>
          <w:rFonts w:ascii="Verdana" w:hAnsi="Verdana"/>
          <w:sz w:val="18"/>
          <w:szCs w:val="18"/>
          <w:lang w:val="nl-NL"/>
        </w:rPr>
      </w:pPr>
      <w:r w:rsidRPr="00CF22A8">
        <w:rPr>
          <w:rFonts w:ascii="Verdana" w:hAnsi="Verdana" w:cs="Arial"/>
          <w:sz w:val="18"/>
          <w:szCs w:val="18"/>
          <w:lang w:val="nl-NL"/>
        </w:rPr>
        <w:t>Op verzoek van Nederland bepaalt artikel X van het Protocol conform onderdeel 2.6.</w:t>
      </w:r>
      <w:r w:rsidRPr="005C1870" w:rsidR="00713AD2">
        <w:rPr>
          <w:rFonts w:ascii="Verdana" w:hAnsi="Verdana" w:cs="Arial"/>
          <w:sz w:val="18"/>
          <w:szCs w:val="18"/>
          <w:lang w:val="nl-NL"/>
        </w:rPr>
        <w:t>5</w:t>
      </w:r>
      <w:r w:rsidRPr="005C1870">
        <w:rPr>
          <w:rFonts w:ascii="Verdana" w:hAnsi="Verdana" w:cs="Arial"/>
          <w:sz w:val="18"/>
          <w:szCs w:val="18"/>
          <w:lang w:val="nl-NL"/>
        </w:rPr>
        <w:t xml:space="preserve"> </w:t>
      </w:r>
      <w:r w:rsidRPr="005C1870" w:rsidR="0011250E">
        <w:rPr>
          <w:rFonts w:ascii="Verdana" w:hAnsi="Verdana" w:cs="Arial"/>
          <w:sz w:val="18"/>
          <w:szCs w:val="18"/>
          <w:lang w:val="nl-NL"/>
        </w:rPr>
        <w:t xml:space="preserve">van de </w:t>
      </w:r>
      <w:r w:rsidRPr="005C1870">
        <w:rPr>
          <w:rFonts w:ascii="Verdana" w:hAnsi="Verdana" w:cs="Arial"/>
          <w:sz w:val="18"/>
          <w:szCs w:val="18"/>
          <w:lang w:val="nl-NL"/>
        </w:rPr>
        <w:t xml:space="preserve">NFV 2011 expliciet dat artikel 8 van het Verdrag tevens van toepassing is op belastingen die worden geheven over de bruto-ontvangsten (omzet) uit passagiers- en vrachtvervoer in internationaal verkeer. </w:t>
      </w:r>
    </w:p>
    <w:p w:rsidRPr="005C1870" w:rsidR="00500251" w:rsidP="00500251" w:rsidRDefault="004827B9" w14:paraId="236FA6B1" w14:textId="77777777">
      <w:pPr>
        <w:ind w:firstLine="0"/>
        <w:rPr>
          <w:rFonts w:ascii="Verdana" w:hAnsi="Verdana"/>
          <w:sz w:val="18"/>
          <w:szCs w:val="18"/>
          <w:lang w:val="nl-NL"/>
        </w:rPr>
      </w:pPr>
      <w:r w:rsidRPr="005C1870">
        <w:rPr>
          <w:rFonts w:ascii="Verdana" w:hAnsi="Verdana"/>
          <w:i/>
          <w:sz w:val="18"/>
          <w:szCs w:val="18"/>
          <w:lang w:val="nl-NL"/>
        </w:rPr>
        <w:br/>
      </w:r>
      <w:r w:rsidRPr="005C1870" w:rsidR="00500251">
        <w:rPr>
          <w:rFonts w:ascii="Verdana" w:hAnsi="Verdana"/>
          <w:i/>
          <w:sz w:val="18"/>
          <w:szCs w:val="18"/>
          <w:lang w:val="nl-NL"/>
        </w:rPr>
        <w:t>II.9. Gelieerde ondernemingen (artikel 9</w:t>
      </w:r>
      <w:r w:rsidRPr="00916448" w:rsidR="00916448">
        <w:rPr>
          <w:rFonts w:ascii="Verdana" w:hAnsi="Verdana"/>
          <w:i/>
          <w:sz w:val="18"/>
          <w:szCs w:val="18"/>
          <w:lang w:val="nl-NL"/>
        </w:rPr>
        <w:t xml:space="preserve"> van het Verdrag</w:t>
      </w:r>
      <w:r w:rsidRPr="005C1870" w:rsidR="00500251">
        <w:rPr>
          <w:rFonts w:ascii="Verdana" w:hAnsi="Verdana"/>
          <w:i/>
          <w:sz w:val="18"/>
          <w:szCs w:val="18"/>
          <w:lang w:val="nl-NL"/>
        </w:rPr>
        <w:t>)</w:t>
      </w:r>
      <w:r w:rsidRPr="005C1870" w:rsidR="00500251">
        <w:rPr>
          <w:rFonts w:ascii="Verdana" w:hAnsi="Verdana"/>
          <w:i/>
          <w:sz w:val="18"/>
          <w:szCs w:val="18"/>
          <w:lang w:val="nl-NL"/>
        </w:rPr>
        <w:br/>
      </w:r>
    </w:p>
    <w:p w:rsidRPr="005C1870" w:rsidR="00500251" w:rsidP="00500251" w:rsidRDefault="00500251" w14:paraId="0D5A97D1" w14:textId="77777777">
      <w:pPr>
        <w:ind w:firstLine="720"/>
        <w:rPr>
          <w:rFonts w:ascii="Verdana" w:hAnsi="Verdana" w:cs="Arial"/>
          <w:sz w:val="18"/>
          <w:szCs w:val="18"/>
          <w:lang w:val="nl-NL"/>
        </w:rPr>
      </w:pPr>
      <w:r w:rsidRPr="005C1870">
        <w:rPr>
          <w:rFonts w:ascii="Verdana" w:hAnsi="Verdana" w:cs="Arial"/>
          <w:sz w:val="18"/>
          <w:szCs w:val="18"/>
          <w:lang w:val="nl-NL"/>
        </w:rPr>
        <w:t>Artikel 9</w:t>
      </w:r>
      <w:r w:rsidRPr="005C1870" w:rsidR="00E8409E">
        <w:rPr>
          <w:rFonts w:ascii="Verdana" w:hAnsi="Verdana" w:cs="Arial"/>
          <w:sz w:val="18"/>
          <w:szCs w:val="18"/>
          <w:lang w:val="nl-NL"/>
        </w:rPr>
        <w:t xml:space="preserve"> van het Verdrag</w:t>
      </w:r>
      <w:r w:rsidRPr="005C1870">
        <w:rPr>
          <w:rFonts w:ascii="Verdana" w:hAnsi="Verdana" w:cs="Arial"/>
          <w:sz w:val="18"/>
          <w:szCs w:val="18"/>
          <w:lang w:val="nl-NL"/>
        </w:rPr>
        <w:t xml:space="preserve"> bevat het zogenoemde </w:t>
      </w:r>
      <w:r w:rsidRPr="0018301C">
        <w:rPr>
          <w:rFonts w:ascii="Verdana" w:hAnsi="Verdana" w:cs="Arial"/>
          <w:sz w:val="18"/>
          <w:szCs w:val="18"/>
          <w:lang w:val="nl-NL"/>
        </w:rPr>
        <w:t>arm</w:t>
      </w:r>
      <w:r w:rsidR="0018301C">
        <w:rPr>
          <w:rFonts w:ascii="Verdana" w:hAnsi="Verdana" w:cs="Arial"/>
          <w:sz w:val="18"/>
          <w:szCs w:val="18"/>
          <w:lang w:val="nl-NL"/>
        </w:rPr>
        <w:t>’</w:t>
      </w:r>
      <w:r w:rsidRPr="0018301C">
        <w:rPr>
          <w:rFonts w:ascii="Verdana" w:hAnsi="Verdana" w:cs="Arial"/>
          <w:sz w:val="18"/>
          <w:szCs w:val="18"/>
          <w:lang w:val="nl-NL"/>
        </w:rPr>
        <w:t>s</w:t>
      </w:r>
      <w:r w:rsidR="0018301C">
        <w:rPr>
          <w:rFonts w:ascii="Verdana" w:hAnsi="Verdana" w:cs="Arial"/>
          <w:sz w:val="18"/>
          <w:szCs w:val="18"/>
          <w:lang w:val="nl-NL"/>
        </w:rPr>
        <w:t>-</w:t>
      </w:r>
      <w:r w:rsidRPr="0018301C">
        <w:rPr>
          <w:rFonts w:ascii="Verdana" w:hAnsi="Verdana" w:cs="Arial"/>
          <w:sz w:val="18"/>
          <w:szCs w:val="18"/>
          <w:lang w:val="nl-NL"/>
        </w:rPr>
        <w:t>length</w:t>
      </w:r>
      <w:r w:rsidR="0018301C">
        <w:rPr>
          <w:rFonts w:ascii="Verdana" w:hAnsi="Verdana" w:cs="Arial"/>
          <w:sz w:val="18"/>
          <w:szCs w:val="18"/>
          <w:lang w:val="nl-NL"/>
        </w:rPr>
        <w:t>-</w:t>
      </w:r>
      <w:r w:rsidRPr="0018301C">
        <w:rPr>
          <w:rFonts w:ascii="Verdana" w:hAnsi="Verdana" w:cs="Arial"/>
          <w:sz w:val="18"/>
          <w:szCs w:val="18"/>
          <w:lang w:val="nl-NL"/>
        </w:rPr>
        <w:t>beginsel</w:t>
      </w:r>
      <w:r w:rsidRPr="00556990">
        <w:rPr>
          <w:rFonts w:ascii="Verdana" w:hAnsi="Verdana" w:cs="Arial"/>
          <w:sz w:val="18"/>
          <w:szCs w:val="18"/>
          <w:lang w:val="nl-NL"/>
        </w:rPr>
        <w:t xml:space="preserve"> voor grensoverschrijdende transacties tussen gelieerde ondernemingen</w:t>
      </w:r>
      <w:r w:rsidRPr="00556990" w:rsidR="0089207D">
        <w:rPr>
          <w:rFonts w:ascii="Verdana" w:hAnsi="Verdana" w:cs="Arial"/>
          <w:sz w:val="18"/>
          <w:szCs w:val="18"/>
          <w:lang w:val="nl-NL"/>
        </w:rPr>
        <w:t xml:space="preserve"> en </w:t>
      </w:r>
      <w:r w:rsidRPr="00556990" w:rsidR="00297842">
        <w:rPr>
          <w:rFonts w:ascii="Verdana" w:hAnsi="Verdana" w:cs="Arial"/>
          <w:sz w:val="18"/>
          <w:szCs w:val="18"/>
          <w:lang w:val="nl-NL"/>
        </w:rPr>
        <w:t>komt</w:t>
      </w:r>
      <w:r w:rsidRPr="001C6327" w:rsidR="00E94194">
        <w:rPr>
          <w:rFonts w:ascii="Verdana" w:hAnsi="Verdana" w:cs="Arial"/>
          <w:sz w:val="18"/>
          <w:szCs w:val="18"/>
          <w:lang w:val="nl-NL"/>
        </w:rPr>
        <w:t xml:space="preserve"> nagenoeg geheel overeen met artikel 9 van het OESO-modelverdrag</w:t>
      </w:r>
      <w:r w:rsidRPr="001C6327">
        <w:rPr>
          <w:rFonts w:ascii="Verdana" w:hAnsi="Verdana" w:cs="Arial"/>
          <w:sz w:val="18"/>
          <w:szCs w:val="18"/>
          <w:lang w:val="nl-NL"/>
        </w:rPr>
        <w:t>.</w:t>
      </w:r>
      <w:r w:rsidR="00490FAB">
        <w:rPr>
          <w:rFonts w:ascii="Verdana" w:hAnsi="Verdana" w:cs="Arial"/>
          <w:sz w:val="18"/>
          <w:szCs w:val="18"/>
          <w:lang w:val="nl-NL"/>
        </w:rPr>
        <w:t xml:space="preserve"> </w:t>
      </w:r>
      <w:r w:rsidRPr="00F578EC" w:rsidR="00E94194">
        <w:rPr>
          <w:rFonts w:ascii="Verdana" w:hAnsi="Verdana" w:cs="Arial"/>
          <w:sz w:val="18"/>
          <w:szCs w:val="18"/>
          <w:lang w:val="nl-NL"/>
        </w:rPr>
        <w:t xml:space="preserve">Het </w:t>
      </w:r>
      <w:r w:rsidRPr="00F578EC" w:rsidR="0018301C">
        <w:rPr>
          <w:rFonts w:ascii="Verdana" w:hAnsi="Verdana" w:cs="Arial"/>
          <w:sz w:val="18"/>
          <w:szCs w:val="18"/>
          <w:lang w:val="nl-NL"/>
        </w:rPr>
        <w:t>arm</w:t>
      </w:r>
      <w:r w:rsidR="0018301C">
        <w:rPr>
          <w:rFonts w:ascii="Verdana" w:hAnsi="Verdana" w:cs="Arial"/>
          <w:sz w:val="18"/>
          <w:szCs w:val="18"/>
          <w:lang w:val="nl-NL"/>
        </w:rPr>
        <w:t>’</w:t>
      </w:r>
      <w:r w:rsidRPr="00F578EC" w:rsidR="0018301C">
        <w:rPr>
          <w:rFonts w:ascii="Verdana" w:hAnsi="Verdana" w:cs="Arial"/>
          <w:sz w:val="18"/>
          <w:szCs w:val="18"/>
          <w:lang w:val="nl-NL"/>
        </w:rPr>
        <w:t>s-</w:t>
      </w:r>
      <w:r w:rsidR="0018301C">
        <w:rPr>
          <w:rFonts w:ascii="Verdana" w:hAnsi="Verdana" w:cs="Arial"/>
          <w:sz w:val="18"/>
          <w:szCs w:val="18"/>
          <w:lang w:val="nl-NL"/>
        </w:rPr>
        <w:t>l</w:t>
      </w:r>
      <w:r w:rsidRPr="00F578EC" w:rsidR="0018301C">
        <w:rPr>
          <w:rFonts w:ascii="Verdana" w:hAnsi="Verdana" w:cs="Arial"/>
          <w:sz w:val="18"/>
          <w:szCs w:val="18"/>
          <w:lang w:val="nl-NL"/>
        </w:rPr>
        <w:t>eng</w:t>
      </w:r>
      <w:r w:rsidR="0018301C">
        <w:rPr>
          <w:rFonts w:ascii="Verdana" w:hAnsi="Verdana" w:cs="Arial"/>
          <w:sz w:val="18"/>
          <w:szCs w:val="18"/>
          <w:lang w:val="nl-NL"/>
        </w:rPr>
        <w:t>th-</w:t>
      </w:r>
      <w:r w:rsidRPr="00F578EC" w:rsidR="0018301C">
        <w:rPr>
          <w:rFonts w:ascii="Verdana" w:hAnsi="Verdana" w:cs="Arial"/>
          <w:sz w:val="18"/>
          <w:szCs w:val="18"/>
          <w:lang w:val="nl-NL"/>
        </w:rPr>
        <w:t xml:space="preserve">beginsel </w:t>
      </w:r>
      <w:r w:rsidRPr="00F578EC">
        <w:rPr>
          <w:rFonts w:ascii="Verdana" w:hAnsi="Verdana" w:cs="Arial"/>
          <w:sz w:val="18"/>
          <w:szCs w:val="18"/>
          <w:lang w:val="nl-NL"/>
        </w:rPr>
        <w:t xml:space="preserve">houdt in dat gelieerde ondernemingen </w:t>
      </w:r>
      <w:r w:rsidRPr="00F578EC" w:rsidR="00D01CBA">
        <w:rPr>
          <w:rFonts w:ascii="Verdana" w:hAnsi="Verdana" w:cs="Arial"/>
          <w:sz w:val="18"/>
          <w:szCs w:val="18"/>
          <w:lang w:val="nl-NL"/>
        </w:rPr>
        <w:t>voor fiscale doeleinden geacht worden transacties aan te gaan onder dezelfde voorwaarde</w:t>
      </w:r>
      <w:r w:rsidRPr="00BC6175" w:rsidR="00775161">
        <w:rPr>
          <w:rFonts w:ascii="Verdana" w:hAnsi="Verdana" w:cs="Arial"/>
          <w:sz w:val="18"/>
          <w:szCs w:val="18"/>
          <w:lang w:val="nl-NL"/>
        </w:rPr>
        <w:t>n</w:t>
      </w:r>
      <w:r w:rsidRPr="00BC6175" w:rsidR="00D01CBA">
        <w:rPr>
          <w:rFonts w:ascii="Verdana" w:hAnsi="Verdana" w:cs="Arial"/>
          <w:sz w:val="18"/>
          <w:szCs w:val="18"/>
          <w:lang w:val="nl-NL"/>
        </w:rPr>
        <w:t xml:space="preserve"> als n</w:t>
      </w:r>
      <w:r w:rsidRPr="00BC6175">
        <w:rPr>
          <w:rFonts w:ascii="Verdana" w:hAnsi="Verdana" w:cs="Arial"/>
          <w:sz w:val="18"/>
          <w:szCs w:val="18"/>
          <w:lang w:val="nl-NL"/>
        </w:rPr>
        <w:t>iet</w:t>
      </w:r>
      <w:r w:rsidR="00490FAB">
        <w:rPr>
          <w:rFonts w:ascii="Verdana" w:hAnsi="Verdana" w:cs="Arial"/>
          <w:sz w:val="18"/>
          <w:szCs w:val="18"/>
          <w:lang w:val="nl-NL"/>
        </w:rPr>
        <w:t>-</w:t>
      </w:r>
      <w:r w:rsidRPr="00BC6175">
        <w:rPr>
          <w:rFonts w:ascii="Verdana" w:hAnsi="Verdana" w:cs="Arial"/>
          <w:sz w:val="18"/>
          <w:szCs w:val="18"/>
          <w:lang w:val="nl-NL"/>
        </w:rPr>
        <w:t>gelieerde ondernemingen</w:t>
      </w:r>
      <w:r w:rsidRPr="00BC6175" w:rsidR="008249E2">
        <w:rPr>
          <w:rFonts w:ascii="Verdana" w:hAnsi="Verdana" w:cs="Arial"/>
          <w:sz w:val="18"/>
          <w:szCs w:val="18"/>
          <w:lang w:val="nl-NL"/>
        </w:rPr>
        <w:t xml:space="preserve"> </w:t>
      </w:r>
      <w:r w:rsidRPr="00BC6175">
        <w:rPr>
          <w:rFonts w:ascii="Verdana" w:hAnsi="Verdana" w:cs="Arial"/>
          <w:sz w:val="18"/>
          <w:szCs w:val="18"/>
          <w:lang w:val="nl-NL"/>
        </w:rPr>
        <w:t xml:space="preserve">zouden zijn aangegaan. Bij de vaststelling of sprake is van zakelijke voorwaarden, gelden de door de OESO opgestelde </w:t>
      </w:r>
      <w:r w:rsidRPr="00BC6175">
        <w:rPr>
          <w:rFonts w:ascii="Verdana" w:hAnsi="Verdana" w:cs="Arial"/>
          <w:i/>
          <w:sz w:val="18"/>
          <w:szCs w:val="18"/>
          <w:lang w:val="nl-NL"/>
        </w:rPr>
        <w:t>‘Transfer pricing guidelines for multinational enterprises and tax administrations’</w:t>
      </w:r>
      <w:r w:rsidRPr="00BC6175" w:rsidR="008249E2">
        <w:rPr>
          <w:rFonts w:ascii="Verdana" w:hAnsi="Verdana" w:cs="Arial"/>
          <w:i/>
          <w:sz w:val="18"/>
          <w:szCs w:val="18"/>
          <w:lang w:val="nl-NL"/>
        </w:rPr>
        <w:t xml:space="preserve"> </w:t>
      </w:r>
      <w:r w:rsidRPr="00CF22A8" w:rsidR="008249E2">
        <w:rPr>
          <w:rFonts w:ascii="Verdana" w:hAnsi="Verdana" w:cs="Arial"/>
          <w:sz w:val="18"/>
          <w:szCs w:val="18"/>
          <w:lang w:val="nl-NL"/>
        </w:rPr>
        <w:t>als leidraad</w:t>
      </w:r>
      <w:r w:rsidRPr="00CF22A8" w:rsidR="008249E2">
        <w:rPr>
          <w:rFonts w:ascii="Verdana" w:hAnsi="Verdana" w:cs="Arial"/>
          <w:sz w:val="18"/>
          <w:szCs w:val="18"/>
          <w:bdr w:val="none" w:color="auto" w:sz="0" w:space="0" w:frame="1"/>
          <w:lang w:val="nl-NL"/>
        </w:rPr>
        <w:t xml:space="preserve">. </w:t>
      </w:r>
      <w:r w:rsidRPr="00CF22A8">
        <w:rPr>
          <w:rFonts w:ascii="Verdana" w:hAnsi="Verdana" w:cs="Arial"/>
          <w:sz w:val="18"/>
          <w:szCs w:val="18"/>
          <w:lang w:val="nl-NL"/>
        </w:rPr>
        <w:t xml:space="preserve">Deze </w:t>
      </w:r>
      <w:r w:rsidR="00490FAB">
        <w:rPr>
          <w:rFonts w:ascii="Verdana" w:hAnsi="Verdana" w:cs="Arial"/>
          <w:sz w:val="18"/>
          <w:szCs w:val="18"/>
          <w:lang w:val="nl-NL"/>
        </w:rPr>
        <w:t>OESO-richtlijnen</w:t>
      </w:r>
      <w:r w:rsidRPr="00CF22A8">
        <w:rPr>
          <w:rFonts w:ascii="Verdana" w:hAnsi="Verdana" w:cs="Arial"/>
          <w:sz w:val="18"/>
          <w:szCs w:val="18"/>
          <w:lang w:val="nl-NL"/>
        </w:rPr>
        <w:t xml:space="preserve"> vormen een uitwerking van het </w:t>
      </w:r>
      <w:r w:rsidRPr="00F578EC" w:rsidR="0018301C">
        <w:rPr>
          <w:rFonts w:ascii="Verdana" w:hAnsi="Verdana" w:cs="Arial"/>
          <w:sz w:val="18"/>
          <w:szCs w:val="18"/>
          <w:lang w:val="nl-NL"/>
        </w:rPr>
        <w:t>arm</w:t>
      </w:r>
      <w:r w:rsidR="0018301C">
        <w:rPr>
          <w:rFonts w:ascii="Verdana" w:hAnsi="Verdana" w:cs="Arial"/>
          <w:sz w:val="18"/>
          <w:szCs w:val="18"/>
          <w:lang w:val="nl-NL"/>
        </w:rPr>
        <w:t>’</w:t>
      </w:r>
      <w:r w:rsidRPr="00F578EC" w:rsidR="0018301C">
        <w:rPr>
          <w:rFonts w:ascii="Verdana" w:hAnsi="Verdana" w:cs="Arial"/>
          <w:sz w:val="18"/>
          <w:szCs w:val="18"/>
          <w:lang w:val="nl-NL"/>
        </w:rPr>
        <w:t>s-</w:t>
      </w:r>
      <w:r w:rsidR="0018301C">
        <w:rPr>
          <w:rFonts w:ascii="Verdana" w:hAnsi="Verdana" w:cs="Arial"/>
          <w:sz w:val="18"/>
          <w:szCs w:val="18"/>
          <w:lang w:val="nl-NL"/>
        </w:rPr>
        <w:t>l</w:t>
      </w:r>
      <w:r w:rsidRPr="00F578EC" w:rsidR="0018301C">
        <w:rPr>
          <w:rFonts w:ascii="Verdana" w:hAnsi="Verdana" w:cs="Arial"/>
          <w:sz w:val="18"/>
          <w:szCs w:val="18"/>
          <w:lang w:val="nl-NL"/>
        </w:rPr>
        <w:t>eng</w:t>
      </w:r>
      <w:r w:rsidR="0018301C">
        <w:rPr>
          <w:rFonts w:ascii="Verdana" w:hAnsi="Verdana" w:cs="Arial"/>
          <w:sz w:val="18"/>
          <w:szCs w:val="18"/>
          <w:lang w:val="nl-NL"/>
        </w:rPr>
        <w:t>th-</w:t>
      </w:r>
      <w:r w:rsidRPr="00F578EC" w:rsidR="0018301C">
        <w:rPr>
          <w:rFonts w:ascii="Verdana" w:hAnsi="Verdana" w:cs="Arial"/>
          <w:sz w:val="18"/>
          <w:szCs w:val="18"/>
          <w:lang w:val="nl-NL"/>
        </w:rPr>
        <w:t xml:space="preserve">beginsel </w:t>
      </w:r>
      <w:r w:rsidRPr="005C1870">
        <w:rPr>
          <w:rFonts w:ascii="Verdana" w:hAnsi="Verdana" w:cs="Arial"/>
          <w:sz w:val="18"/>
          <w:szCs w:val="18"/>
          <w:lang w:val="nl-NL"/>
        </w:rPr>
        <w:t xml:space="preserve">dat is neergelegd in artikel 9 van het OESO-modelverdrag en dat nader wordt toegelicht in het commentaar op dat artikel. </w:t>
      </w:r>
    </w:p>
    <w:p w:rsidRPr="00BC6175" w:rsidR="00500251" w:rsidP="00500251" w:rsidRDefault="00500251" w14:paraId="677ED349" w14:textId="77777777">
      <w:pPr>
        <w:ind w:firstLine="720"/>
        <w:rPr>
          <w:rFonts w:ascii="Verdana" w:hAnsi="Verdana"/>
          <w:sz w:val="18"/>
          <w:szCs w:val="18"/>
          <w:lang w:val="nl-NL"/>
        </w:rPr>
      </w:pPr>
      <w:r w:rsidRPr="00916448">
        <w:rPr>
          <w:rFonts w:ascii="Verdana" w:hAnsi="Verdana" w:cs="Arial"/>
          <w:sz w:val="18"/>
          <w:szCs w:val="18"/>
          <w:lang w:val="nl-NL"/>
        </w:rPr>
        <w:t>Het eerste lid bevat de hoofdregel</w:t>
      </w:r>
      <w:r w:rsidRPr="00916448" w:rsidR="008249E2">
        <w:rPr>
          <w:rFonts w:ascii="Verdana" w:hAnsi="Verdana" w:cs="Arial"/>
          <w:sz w:val="18"/>
          <w:szCs w:val="18"/>
          <w:lang w:val="nl-NL"/>
        </w:rPr>
        <w:t>. I</w:t>
      </w:r>
      <w:r w:rsidRPr="00916448">
        <w:rPr>
          <w:rFonts w:ascii="Verdana" w:hAnsi="Verdana" w:cs="Arial"/>
          <w:sz w:val="18"/>
          <w:szCs w:val="18"/>
          <w:lang w:val="nl-NL"/>
        </w:rPr>
        <w:t>ngeval tussen gelieerde ondernemingen in hun handelsbetrekkingen of financiële betrekkingen voorwaarden worden overeengekomen die afwijken van die welke tussen niet</w:t>
      </w:r>
      <w:r w:rsidR="00490FAB">
        <w:rPr>
          <w:rFonts w:ascii="Verdana" w:hAnsi="Verdana" w:cs="Arial"/>
          <w:sz w:val="18"/>
          <w:szCs w:val="18"/>
          <w:lang w:val="nl-NL"/>
        </w:rPr>
        <w:t>-</w:t>
      </w:r>
      <w:r w:rsidRPr="00916448">
        <w:rPr>
          <w:rFonts w:ascii="Verdana" w:hAnsi="Verdana" w:cs="Arial"/>
          <w:sz w:val="18"/>
          <w:szCs w:val="18"/>
          <w:lang w:val="nl-NL"/>
        </w:rPr>
        <w:t xml:space="preserve">gelieerde ondernemingen zouden worden overeengekomen, </w:t>
      </w:r>
      <w:r w:rsidRPr="00916448" w:rsidR="008249E2">
        <w:rPr>
          <w:rFonts w:ascii="Verdana" w:hAnsi="Verdana" w:cs="Arial"/>
          <w:sz w:val="18"/>
          <w:szCs w:val="18"/>
          <w:lang w:val="nl-NL"/>
        </w:rPr>
        <w:t xml:space="preserve">mag </w:t>
      </w:r>
      <w:r w:rsidRPr="00916448">
        <w:rPr>
          <w:rFonts w:ascii="Verdana" w:hAnsi="Verdana" w:cs="Arial"/>
          <w:sz w:val="18"/>
          <w:szCs w:val="18"/>
          <w:lang w:val="nl-NL"/>
        </w:rPr>
        <w:t>de winst die één van de gelieerde ondernemingen als gevolg van die afwijkende</w:t>
      </w:r>
      <w:r w:rsidRPr="00916448" w:rsidR="008249E2">
        <w:rPr>
          <w:rFonts w:ascii="Verdana" w:hAnsi="Verdana" w:cs="Arial"/>
          <w:sz w:val="18"/>
          <w:szCs w:val="18"/>
          <w:lang w:val="nl-NL"/>
        </w:rPr>
        <w:t xml:space="preserve"> voorwaarden niet heeft behaald</w:t>
      </w:r>
      <w:r w:rsidRPr="00780A5E">
        <w:rPr>
          <w:rFonts w:ascii="Verdana" w:hAnsi="Verdana" w:cs="Arial"/>
          <w:sz w:val="18"/>
          <w:szCs w:val="18"/>
          <w:lang w:val="nl-NL"/>
        </w:rPr>
        <w:t xml:space="preserve"> in de winst van die onderneming worden begrepen en dienovereenkomstig worden belast. Tevens is in het eerste lid</w:t>
      </w:r>
      <w:r w:rsidRPr="00780A5E" w:rsidR="005C6F36">
        <w:rPr>
          <w:rFonts w:ascii="Verdana" w:hAnsi="Verdana" w:cs="Arial"/>
          <w:sz w:val="18"/>
          <w:szCs w:val="18"/>
          <w:lang w:val="nl-NL"/>
        </w:rPr>
        <w:t xml:space="preserve">, in afwijking van </w:t>
      </w:r>
      <w:r w:rsidRPr="00780A5E" w:rsidR="00775161">
        <w:rPr>
          <w:rFonts w:ascii="Verdana" w:hAnsi="Verdana" w:cs="Arial"/>
          <w:sz w:val="18"/>
          <w:szCs w:val="18"/>
          <w:lang w:val="nl-NL"/>
        </w:rPr>
        <w:t xml:space="preserve">de tekst van </w:t>
      </w:r>
      <w:r w:rsidRPr="00780A5E" w:rsidR="005C6F36">
        <w:rPr>
          <w:rFonts w:ascii="Verdana" w:hAnsi="Verdana" w:cs="Arial"/>
          <w:sz w:val="18"/>
          <w:szCs w:val="18"/>
          <w:lang w:val="nl-NL"/>
        </w:rPr>
        <w:t>artikel 9 van het OESO-modelverdrag,</w:t>
      </w:r>
      <w:r w:rsidRPr="000819E4">
        <w:rPr>
          <w:rFonts w:ascii="Verdana" w:hAnsi="Verdana" w:cs="Arial"/>
          <w:sz w:val="18"/>
          <w:szCs w:val="18"/>
          <w:lang w:val="nl-NL"/>
        </w:rPr>
        <w:t xml:space="preserve"> de zogenoemde </w:t>
      </w:r>
      <w:r w:rsidRPr="00A937FB">
        <w:rPr>
          <w:rFonts w:ascii="Verdana" w:hAnsi="Verdana" w:cs="Arial"/>
          <w:sz w:val="18"/>
          <w:szCs w:val="18"/>
          <w:lang w:val="nl-NL"/>
        </w:rPr>
        <w:t>cost</w:t>
      </w:r>
      <w:r w:rsidRPr="00A937FB" w:rsidR="0018301C">
        <w:rPr>
          <w:rFonts w:ascii="Verdana" w:hAnsi="Verdana" w:cs="Arial"/>
          <w:sz w:val="18"/>
          <w:szCs w:val="18"/>
          <w:lang w:val="nl-NL"/>
        </w:rPr>
        <w:t>-</w:t>
      </w:r>
      <w:r w:rsidRPr="00A937FB">
        <w:rPr>
          <w:rFonts w:ascii="Verdana" w:hAnsi="Verdana" w:cs="Arial"/>
          <w:sz w:val="18"/>
          <w:szCs w:val="18"/>
          <w:lang w:val="nl-NL"/>
        </w:rPr>
        <w:t>sharing</w:t>
      </w:r>
      <w:r w:rsidRPr="0018301C">
        <w:rPr>
          <w:rFonts w:ascii="Verdana" w:hAnsi="Verdana" w:cs="Arial"/>
          <w:sz w:val="18"/>
          <w:szCs w:val="18"/>
          <w:lang w:val="nl-NL"/>
        </w:rPr>
        <w:t>-bepaling</w:t>
      </w:r>
      <w:r w:rsidRPr="00556990">
        <w:rPr>
          <w:rFonts w:ascii="Verdana" w:hAnsi="Verdana" w:cs="Arial"/>
          <w:sz w:val="18"/>
          <w:szCs w:val="18"/>
          <w:lang w:val="nl-NL"/>
        </w:rPr>
        <w:t xml:space="preserve"> </w:t>
      </w:r>
      <w:r w:rsidRPr="00556990">
        <w:rPr>
          <w:rFonts w:ascii="Verdana" w:hAnsi="Verdana"/>
          <w:sz w:val="18"/>
          <w:szCs w:val="18"/>
          <w:lang w:val="nl-NL"/>
        </w:rPr>
        <w:t>voor gelieerde ondernemingen</w:t>
      </w:r>
      <w:r w:rsidRPr="00556990">
        <w:rPr>
          <w:rFonts w:ascii="Verdana" w:hAnsi="Verdana" w:cs="Arial"/>
          <w:sz w:val="18"/>
          <w:szCs w:val="18"/>
          <w:lang w:val="nl-NL"/>
        </w:rPr>
        <w:t xml:space="preserve"> op</w:t>
      </w:r>
      <w:r w:rsidRPr="001C6327" w:rsidR="005C6F36">
        <w:rPr>
          <w:rFonts w:ascii="Verdana" w:hAnsi="Verdana" w:cs="Arial"/>
          <w:sz w:val="18"/>
          <w:szCs w:val="18"/>
          <w:lang w:val="nl-NL"/>
        </w:rPr>
        <w:t>genomen (in aansluiting bij artikel V</w:t>
      </w:r>
      <w:r w:rsidR="00C65E58">
        <w:rPr>
          <w:rFonts w:ascii="Verdana" w:hAnsi="Verdana" w:cs="Arial"/>
          <w:sz w:val="18"/>
          <w:szCs w:val="18"/>
          <w:lang w:val="nl-NL"/>
        </w:rPr>
        <w:t>, onderdeel a,</w:t>
      </w:r>
      <w:r w:rsidRPr="001C6327" w:rsidR="005C6F36">
        <w:rPr>
          <w:rFonts w:ascii="Verdana" w:hAnsi="Verdana" w:cs="Arial"/>
          <w:sz w:val="18"/>
          <w:szCs w:val="18"/>
          <w:lang w:val="nl-NL"/>
        </w:rPr>
        <w:t xml:space="preserve"> van het Protocol bij het Verdrag </w:t>
      </w:r>
      <w:r w:rsidRPr="001C6327" w:rsidR="00556990">
        <w:rPr>
          <w:rFonts w:ascii="Verdana" w:hAnsi="Verdana" w:cs="Arial"/>
          <w:sz w:val="18"/>
          <w:szCs w:val="18"/>
          <w:lang w:val="nl-NL"/>
        </w:rPr>
        <w:t xml:space="preserve">van </w:t>
      </w:r>
      <w:r w:rsidRPr="00CB07AC" w:rsidR="005C6F36">
        <w:rPr>
          <w:rFonts w:ascii="Verdana" w:hAnsi="Verdana" w:cs="Arial"/>
          <w:sz w:val="18"/>
          <w:szCs w:val="18"/>
          <w:lang w:val="nl-NL"/>
        </w:rPr>
        <w:t>1990).</w:t>
      </w:r>
      <w:r w:rsidRPr="00CB07AC" w:rsidR="008249E2">
        <w:rPr>
          <w:rFonts w:ascii="Verdana" w:hAnsi="Verdana"/>
          <w:sz w:val="18"/>
          <w:szCs w:val="18"/>
          <w:lang w:val="nl-NL"/>
        </w:rPr>
        <w:t xml:space="preserve"> </w:t>
      </w:r>
      <w:r w:rsidRPr="00CB07AC">
        <w:rPr>
          <w:rFonts w:ascii="Verdana" w:hAnsi="Verdana" w:cs="Arial"/>
          <w:sz w:val="18"/>
          <w:szCs w:val="18"/>
          <w:lang w:val="nl-NL"/>
        </w:rPr>
        <w:t xml:space="preserve">Bij </w:t>
      </w:r>
      <w:r w:rsidRPr="00CB07AC">
        <w:rPr>
          <w:rFonts w:ascii="Verdana" w:hAnsi="Verdana" w:cs="Arial"/>
          <w:i/>
          <w:sz w:val="18"/>
          <w:szCs w:val="18"/>
          <w:lang w:val="nl-NL"/>
        </w:rPr>
        <w:t>cost sharing</w:t>
      </w:r>
      <w:r w:rsidRPr="00F578EC">
        <w:rPr>
          <w:rFonts w:ascii="Verdana" w:hAnsi="Verdana" w:cs="Arial"/>
          <w:sz w:val="18"/>
          <w:szCs w:val="18"/>
          <w:lang w:val="nl-NL"/>
        </w:rPr>
        <w:t xml:space="preserve"> worden binnen concernverband afspraken gemaakt over de verdeling van concernkosten. De bepaling verduidelijkt dat de enkele omstandigheid dat gelieerde ondernemingen </w:t>
      </w:r>
      <w:r w:rsidRPr="00A937FB">
        <w:rPr>
          <w:rFonts w:ascii="Verdana" w:hAnsi="Verdana" w:cs="Arial"/>
          <w:sz w:val="18"/>
          <w:szCs w:val="18"/>
          <w:lang w:val="nl-NL"/>
        </w:rPr>
        <w:t>cost</w:t>
      </w:r>
      <w:r w:rsidRPr="00A937FB" w:rsidR="00E8409E">
        <w:rPr>
          <w:rFonts w:ascii="Verdana" w:hAnsi="Verdana" w:cs="Arial"/>
          <w:sz w:val="18"/>
          <w:szCs w:val="18"/>
          <w:lang w:val="nl-NL"/>
        </w:rPr>
        <w:t>-</w:t>
      </w:r>
      <w:r w:rsidRPr="00A937FB">
        <w:rPr>
          <w:rFonts w:ascii="Verdana" w:hAnsi="Verdana" w:cs="Arial"/>
          <w:sz w:val="18"/>
          <w:szCs w:val="18"/>
          <w:lang w:val="nl-NL"/>
        </w:rPr>
        <w:t>sharing</w:t>
      </w:r>
      <w:r w:rsidRPr="0018301C">
        <w:rPr>
          <w:rFonts w:ascii="Verdana" w:hAnsi="Verdana" w:cs="Arial"/>
          <w:sz w:val="18"/>
          <w:szCs w:val="18"/>
          <w:lang w:val="nl-NL"/>
        </w:rPr>
        <w:t>-</w:t>
      </w:r>
      <w:r w:rsidRPr="00F578EC">
        <w:rPr>
          <w:rFonts w:ascii="Verdana" w:hAnsi="Verdana" w:cs="Arial"/>
          <w:sz w:val="18"/>
          <w:szCs w:val="18"/>
          <w:lang w:val="nl-NL"/>
        </w:rPr>
        <w:t xml:space="preserve">overeenkomsten of algemene dienstverleningsovereenkomsten sluiten voor (de </w:t>
      </w:r>
      <w:r w:rsidRPr="00BC6175">
        <w:rPr>
          <w:rFonts w:ascii="Verdana" w:hAnsi="Verdana" w:cs="Arial"/>
          <w:sz w:val="18"/>
          <w:szCs w:val="18"/>
          <w:lang w:val="nl-NL"/>
        </w:rPr>
        <w:t xml:space="preserve">toerekening van) kosten van de algemene leiding, algemene beheerskosten, technische en zakelijke kosten, kosten voor onderzoek en ontwikkeling en andere soortgelijke kosten, op zichzelf geen aanleiding vormt om te veronderstellen dat zij onzakelijk handelen. Een dergelijke bepaling laat uiteraard de mogelijkheid onverlet om de in het kader van </w:t>
      </w:r>
      <w:r w:rsidRPr="00BC6175">
        <w:rPr>
          <w:rFonts w:ascii="Verdana" w:hAnsi="Verdana" w:cs="Arial"/>
          <w:i/>
          <w:sz w:val="18"/>
          <w:szCs w:val="18"/>
          <w:lang w:val="nl-NL"/>
        </w:rPr>
        <w:t>cost sharing</w:t>
      </w:r>
      <w:r w:rsidRPr="00BC6175">
        <w:rPr>
          <w:rFonts w:ascii="Verdana" w:hAnsi="Verdana" w:cs="Arial"/>
          <w:sz w:val="18"/>
          <w:szCs w:val="18"/>
          <w:lang w:val="nl-NL"/>
        </w:rPr>
        <w:t xml:space="preserve"> overeengekomen kostenverdeling te toetsen aan het </w:t>
      </w:r>
      <w:r w:rsidRPr="00F578EC" w:rsidR="0018301C">
        <w:rPr>
          <w:rFonts w:ascii="Verdana" w:hAnsi="Verdana" w:cs="Arial"/>
          <w:sz w:val="18"/>
          <w:szCs w:val="18"/>
          <w:lang w:val="nl-NL"/>
        </w:rPr>
        <w:t>arm</w:t>
      </w:r>
      <w:r w:rsidR="0018301C">
        <w:rPr>
          <w:rFonts w:ascii="Verdana" w:hAnsi="Verdana" w:cs="Arial"/>
          <w:sz w:val="18"/>
          <w:szCs w:val="18"/>
          <w:lang w:val="nl-NL"/>
        </w:rPr>
        <w:t>’</w:t>
      </w:r>
      <w:r w:rsidRPr="00F578EC" w:rsidR="0018301C">
        <w:rPr>
          <w:rFonts w:ascii="Verdana" w:hAnsi="Verdana" w:cs="Arial"/>
          <w:sz w:val="18"/>
          <w:szCs w:val="18"/>
          <w:lang w:val="nl-NL"/>
        </w:rPr>
        <w:t>s-</w:t>
      </w:r>
      <w:r w:rsidR="0018301C">
        <w:rPr>
          <w:rFonts w:ascii="Verdana" w:hAnsi="Verdana" w:cs="Arial"/>
          <w:sz w:val="18"/>
          <w:szCs w:val="18"/>
          <w:lang w:val="nl-NL"/>
        </w:rPr>
        <w:t>l</w:t>
      </w:r>
      <w:r w:rsidRPr="00F578EC" w:rsidR="0018301C">
        <w:rPr>
          <w:rFonts w:ascii="Verdana" w:hAnsi="Verdana" w:cs="Arial"/>
          <w:sz w:val="18"/>
          <w:szCs w:val="18"/>
          <w:lang w:val="nl-NL"/>
        </w:rPr>
        <w:t>eng</w:t>
      </w:r>
      <w:r w:rsidR="0018301C">
        <w:rPr>
          <w:rFonts w:ascii="Verdana" w:hAnsi="Verdana" w:cs="Arial"/>
          <w:sz w:val="18"/>
          <w:szCs w:val="18"/>
          <w:lang w:val="nl-NL"/>
        </w:rPr>
        <w:t>th-</w:t>
      </w:r>
      <w:r w:rsidRPr="00F578EC" w:rsidR="0018301C">
        <w:rPr>
          <w:rFonts w:ascii="Verdana" w:hAnsi="Verdana" w:cs="Arial"/>
          <w:sz w:val="18"/>
          <w:szCs w:val="18"/>
          <w:lang w:val="nl-NL"/>
        </w:rPr>
        <w:t>beginsel</w:t>
      </w:r>
      <w:r w:rsidRPr="00BC6175">
        <w:rPr>
          <w:rFonts w:ascii="Verdana" w:hAnsi="Verdana" w:cs="Arial"/>
          <w:sz w:val="18"/>
          <w:szCs w:val="18"/>
          <w:lang w:val="nl-NL"/>
        </w:rPr>
        <w:t>.</w:t>
      </w:r>
    </w:p>
    <w:p w:rsidRPr="00916448" w:rsidR="00500251" w:rsidP="00500251" w:rsidRDefault="00500251" w14:paraId="077C97BA" w14:textId="0C51E42D">
      <w:pPr>
        <w:ind w:firstLine="720"/>
        <w:rPr>
          <w:rFonts w:ascii="Verdana" w:hAnsi="Verdana" w:cs="Arial"/>
          <w:sz w:val="18"/>
          <w:szCs w:val="18"/>
          <w:lang w:val="nl-NL"/>
        </w:rPr>
      </w:pPr>
      <w:r w:rsidRPr="00CF22A8">
        <w:rPr>
          <w:rFonts w:ascii="Verdana" w:hAnsi="Verdana" w:cs="Arial"/>
          <w:sz w:val="18"/>
          <w:szCs w:val="18"/>
          <w:lang w:val="nl-NL"/>
        </w:rPr>
        <w:t xml:space="preserve">Op grond van het tweede lid dient een </w:t>
      </w:r>
      <w:r w:rsidR="0021450B">
        <w:rPr>
          <w:rFonts w:ascii="Verdana" w:hAnsi="Verdana" w:cs="Arial"/>
          <w:sz w:val="18"/>
          <w:szCs w:val="18"/>
          <w:lang w:val="nl-NL"/>
        </w:rPr>
        <w:t>verdragsluitende staat</w:t>
      </w:r>
      <w:r w:rsidR="00490FAB">
        <w:rPr>
          <w:rFonts w:ascii="Verdana" w:hAnsi="Verdana" w:cs="Arial"/>
          <w:sz w:val="18"/>
          <w:szCs w:val="18"/>
          <w:lang w:val="nl-NL"/>
        </w:rPr>
        <w:t>,</w:t>
      </w:r>
      <w:r w:rsidRPr="005C1870">
        <w:rPr>
          <w:rFonts w:ascii="Verdana" w:hAnsi="Verdana" w:cs="Arial"/>
          <w:sz w:val="18"/>
          <w:szCs w:val="18"/>
          <w:lang w:val="nl-NL"/>
        </w:rPr>
        <w:t xml:space="preserve"> indien een transactie tussen verbonden ondernemingen leidt tot belastingheffing in de andere </w:t>
      </w:r>
      <w:r w:rsidR="0021450B">
        <w:rPr>
          <w:rFonts w:ascii="Verdana" w:hAnsi="Verdana" w:cs="Arial"/>
          <w:sz w:val="18"/>
          <w:szCs w:val="18"/>
          <w:lang w:val="nl-NL"/>
        </w:rPr>
        <w:t>verdragsluitende staat</w:t>
      </w:r>
      <w:r w:rsidRPr="00916448">
        <w:rPr>
          <w:rFonts w:ascii="Verdana" w:hAnsi="Verdana" w:cs="Arial"/>
          <w:sz w:val="18"/>
          <w:szCs w:val="18"/>
          <w:lang w:val="nl-NL"/>
        </w:rPr>
        <w:t xml:space="preserve"> over een winstcorrectie</w:t>
      </w:r>
      <w:r w:rsidR="00490FAB">
        <w:rPr>
          <w:rFonts w:ascii="Verdana" w:hAnsi="Verdana" w:cs="Arial"/>
          <w:sz w:val="18"/>
          <w:szCs w:val="18"/>
          <w:lang w:val="nl-NL"/>
        </w:rPr>
        <w:t>,</w:t>
      </w:r>
      <w:r w:rsidRPr="00916448">
        <w:rPr>
          <w:rFonts w:ascii="Verdana" w:hAnsi="Verdana" w:cs="Arial"/>
          <w:sz w:val="18"/>
          <w:szCs w:val="18"/>
          <w:lang w:val="nl-NL"/>
        </w:rPr>
        <w:t xml:space="preserve"> in beginsel (dat wil zeggen als </w:t>
      </w:r>
      <w:r w:rsidR="009B3AF4">
        <w:rPr>
          <w:rFonts w:ascii="Verdana" w:hAnsi="Verdana" w:cs="Arial"/>
          <w:sz w:val="18"/>
          <w:szCs w:val="18"/>
          <w:lang w:val="nl-NL"/>
        </w:rPr>
        <w:t>de eerstgenoemde</w:t>
      </w:r>
      <w:r w:rsidR="002502BB">
        <w:rPr>
          <w:rFonts w:ascii="Verdana" w:hAnsi="Verdana" w:cs="Arial"/>
          <w:sz w:val="18"/>
          <w:szCs w:val="18"/>
          <w:lang w:val="nl-NL"/>
        </w:rPr>
        <w:t xml:space="preserve"> verdragsluitende staat</w:t>
      </w:r>
      <w:r w:rsidRPr="00916448" w:rsidR="002502BB">
        <w:rPr>
          <w:rFonts w:ascii="Verdana" w:hAnsi="Verdana" w:cs="Arial"/>
          <w:sz w:val="18"/>
          <w:szCs w:val="18"/>
          <w:lang w:val="nl-NL"/>
        </w:rPr>
        <w:t xml:space="preserve"> </w:t>
      </w:r>
      <w:r w:rsidRPr="00916448">
        <w:rPr>
          <w:rFonts w:ascii="Verdana" w:hAnsi="Verdana" w:cs="Arial"/>
          <w:sz w:val="18"/>
          <w:szCs w:val="18"/>
          <w:lang w:val="nl-NL"/>
        </w:rPr>
        <w:t>de correctie gerechtvaardigd acht) op passende wijze de belastingheffing te herzien.</w:t>
      </w:r>
      <w:r w:rsidR="00C65E58">
        <w:rPr>
          <w:rFonts w:ascii="Verdana" w:hAnsi="Verdana" w:cs="Arial"/>
          <w:sz w:val="18"/>
          <w:szCs w:val="18"/>
          <w:lang w:val="nl-NL"/>
        </w:rPr>
        <w:t xml:space="preserve"> Een vergelijkbare bepaling is ook opgenomen in artikel V, onderdeel b, van het </w:t>
      </w:r>
      <w:r w:rsidRPr="005E47DF" w:rsidR="00C65E58">
        <w:rPr>
          <w:rFonts w:ascii="Verdana" w:hAnsi="Verdana" w:cs="Arial"/>
          <w:sz w:val="18"/>
          <w:szCs w:val="18"/>
          <w:lang w:val="nl-NL"/>
        </w:rPr>
        <w:t>Protocol bij het Verdrag van 1990</w:t>
      </w:r>
      <w:r w:rsidR="00C65E58">
        <w:rPr>
          <w:rFonts w:ascii="Verdana" w:hAnsi="Verdana" w:cs="Arial"/>
          <w:sz w:val="18"/>
          <w:szCs w:val="18"/>
          <w:lang w:val="nl-NL"/>
        </w:rPr>
        <w:t>.</w:t>
      </w:r>
      <w:r w:rsidRPr="00916448">
        <w:rPr>
          <w:rFonts w:ascii="Verdana" w:hAnsi="Verdana" w:cs="Arial"/>
          <w:sz w:val="18"/>
          <w:szCs w:val="18"/>
          <w:highlight w:val="yellow"/>
          <w:lang w:val="nl-NL"/>
        </w:rPr>
        <w:br/>
      </w:r>
    </w:p>
    <w:p w:rsidRPr="00916448" w:rsidR="00500251" w:rsidP="00500251" w:rsidRDefault="00500251" w14:paraId="51D565E1" w14:textId="77777777">
      <w:pPr>
        <w:ind w:firstLine="0"/>
        <w:rPr>
          <w:rFonts w:ascii="Verdana" w:hAnsi="Verdana"/>
          <w:sz w:val="18"/>
          <w:szCs w:val="18"/>
          <w:lang w:val="nl-NL"/>
        </w:rPr>
      </w:pPr>
      <w:r w:rsidRPr="00916448">
        <w:rPr>
          <w:rFonts w:ascii="Verdana" w:hAnsi="Verdana"/>
          <w:i/>
          <w:sz w:val="18"/>
          <w:szCs w:val="18"/>
          <w:lang w:val="nl-NL"/>
        </w:rPr>
        <w:t>II.10. Dividen</w:t>
      </w:r>
      <w:r w:rsidRPr="00780A5E">
        <w:rPr>
          <w:rFonts w:ascii="Verdana" w:hAnsi="Verdana"/>
          <w:i/>
          <w:sz w:val="18"/>
          <w:szCs w:val="18"/>
          <w:lang w:val="nl-NL"/>
        </w:rPr>
        <w:t>den (artikel 10</w:t>
      </w:r>
      <w:r w:rsidRPr="00916448" w:rsidR="00916448">
        <w:rPr>
          <w:rFonts w:ascii="Verdana" w:hAnsi="Verdana"/>
          <w:i/>
          <w:sz w:val="18"/>
          <w:szCs w:val="18"/>
          <w:lang w:val="nl-NL"/>
        </w:rPr>
        <w:t xml:space="preserve"> van het Verdrag</w:t>
      </w:r>
      <w:r w:rsidRPr="00916448">
        <w:rPr>
          <w:rFonts w:ascii="Verdana" w:hAnsi="Verdana"/>
          <w:i/>
          <w:sz w:val="18"/>
          <w:szCs w:val="18"/>
          <w:lang w:val="nl-NL"/>
        </w:rPr>
        <w:t xml:space="preserve"> en artikel</w:t>
      </w:r>
      <w:r w:rsidRPr="00916448" w:rsidR="00897566">
        <w:rPr>
          <w:rFonts w:ascii="Verdana" w:hAnsi="Verdana"/>
          <w:i/>
          <w:sz w:val="18"/>
          <w:szCs w:val="18"/>
          <w:lang w:val="nl-NL"/>
        </w:rPr>
        <w:t>en II en</w:t>
      </w:r>
      <w:r w:rsidRPr="00916448">
        <w:rPr>
          <w:rFonts w:ascii="Verdana" w:hAnsi="Verdana"/>
          <w:i/>
          <w:sz w:val="18"/>
          <w:szCs w:val="18"/>
          <w:lang w:val="nl-NL"/>
        </w:rPr>
        <w:t xml:space="preserve"> VI</w:t>
      </w:r>
      <w:r w:rsidRPr="00916448" w:rsidR="00916448">
        <w:rPr>
          <w:rFonts w:ascii="Verdana" w:hAnsi="Verdana"/>
          <w:i/>
          <w:sz w:val="18"/>
          <w:szCs w:val="18"/>
          <w:lang w:val="nl-NL"/>
        </w:rPr>
        <w:t xml:space="preserve"> </w:t>
      </w:r>
      <w:r w:rsidR="00916448">
        <w:rPr>
          <w:rFonts w:ascii="Verdana" w:hAnsi="Verdana"/>
          <w:i/>
          <w:sz w:val="18"/>
          <w:szCs w:val="18"/>
          <w:lang w:val="nl-NL"/>
        </w:rPr>
        <w:t xml:space="preserve">van het </w:t>
      </w:r>
      <w:r w:rsidRPr="00916448" w:rsidR="00916448">
        <w:rPr>
          <w:rFonts w:ascii="Verdana" w:hAnsi="Verdana"/>
          <w:i/>
          <w:sz w:val="18"/>
          <w:szCs w:val="18"/>
          <w:lang w:val="nl-NL"/>
        </w:rPr>
        <w:t>Protocol</w:t>
      </w:r>
      <w:r w:rsidRPr="00916448">
        <w:rPr>
          <w:rFonts w:ascii="Verdana" w:hAnsi="Verdana"/>
          <w:i/>
          <w:sz w:val="18"/>
          <w:szCs w:val="18"/>
          <w:lang w:val="nl-NL"/>
        </w:rPr>
        <w:t>)</w:t>
      </w:r>
      <w:r w:rsidRPr="00916448">
        <w:rPr>
          <w:rFonts w:ascii="Verdana" w:hAnsi="Verdana"/>
          <w:i/>
          <w:sz w:val="18"/>
          <w:szCs w:val="18"/>
          <w:lang w:val="nl-NL"/>
        </w:rPr>
        <w:br/>
      </w:r>
    </w:p>
    <w:p w:rsidRPr="000819E4" w:rsidR="004322E1" w:rsidP="004322E1" w:rsidRDefault="00500251" w14:paraId="02B24222" w14:textId="6B305C3A">
      <w:pPr>
        <w:ind w:firstLine="720"/>
        <w:rPr>
          <w:rFonts w:ascii="Verdana" w:hAnsi="Verdana" w:cs="Arial"/>
          <w:sz w:val="18"/>
          <w:szCs w:val="18"/>
          <w:lang w:val="nl-NL"/>
        </w:rPr>
      </w:pPr>
      <w:r w:rsidRPr="00916448">
        <w:rPr>
          <w:rFonts w:ascii="Verdana" w:hAnsi="Verdana" w:cs="Arial"/>
          <w:sz w:val="18"/>
          <w:szCs w:val="18"/>
          <w:lang w:val="nl-NL"/>
        </w:rPr>
        <w:lastRenderedPageBreak/>
        <w:t xml:space="preserve">Artikel 10 betreft de verdeling van heffingsrechten over dividenden. </w:t>
      </w:r>
      <w:r w:rsidRPr="00916448" w:rsidR="006415F8">
        <w:rPr>
          <w:rFonts w:ascii="Verdana" w:hAnsi="Verdana" w:cs="Arial"/>
          <w:sz w:val="18"/>
          <w:szCs w:val="18"/>
          <w:lang w:val="nl-NL"/>
        </w:rPr>
        <w:t xml:space="preserve">Deze bepaling is gebaseerd op </w:t>
      </w:r>
      <w:r w:rsidRPr="00780A5E">
        <w:rPr>
          <w:rFonts w:ascii="Verdana" w:hAnsi="Verdana" w:cs="Arial"/>
          <w:sz w:val="18"/>
          <w:szCs w:val="18"/>
          <w:lang w:val="nl-NL"/>
        </w:rPr>
        <w:t>artikel 10 van het OESO-modelverdrag</w:t>
      </w:r>
      <w:r w:rsidRPr="00780A5E" w:rsidR="006415F8">
        <w:rPr>
          <w:rFonts w:ascii="Verdana" w:hAnsi="Verdana" w:cs="Arial"/>
          <w:sz w:val="18"/>
          <w:szCs w:val="18"/>
          <w:lang w:val="nl-NL"/>
        </w:rPr>
        <w:t xml:space="preserve">, maar wijkt op enkele onderdelen </w:t>
      </w:r>
      <w:r w:rsidRPr="00780A5E" w:rsidR="00562BC2">
        <w:rPr>
          <w:rFonts w:ascii="Verdana" w:hAnsi="Verdana" w:cs="Arial"/>
          <w:sz w:val="18"/>
          <w:szCs w:val="18"/>
          <w:lang w:val="nl-NL"/>
        </w:rPr>
        <w:t>daarvan inhoudelijk af</w:t>
      </w:r>
      <w:r w:rsidR="00487C55">
        <w:rPr>
          <w:rFonts w:ascii="Verdana" w:hAnsi="Verdana" w:cs="Arial"/>
          <w:sz w:val="18"/>
          <w:szCs w:val="18"/>
          <w:lang w:val="nl-NL"/>
        </w:rPr>
        <w:t>.</w:t>
      </w:r>
    </w:p>
    <w:p w:rsidRPr="0021450B" w:rsidR="00500251" w:rsidP="00500251" w:rsidRDefault="00500251" w14:paraId="0B9FBA38" w14:textId="77777777">
      <w:pPr>
        <w:ind w:firstLine="720"/>
        <w:rPr>
          <w:rFonts w:ascii="Verdana" w:hAnsi="Verdana" w:cs="Arial"/>
          <w:sz w:val="18"/>
          <w:szCs w:val="18"/>
          <w:lang w:val="nl-NL"/>
        </w:rPr>
      </w:pPr>
      <w:r w:rsidRPr="0021450B">
        <w:rPr>
          <w:rFonts w:ascii="Verdana" w:hAnsi="Verdana" w:cs="Arial"/>
          <w:sz w:val="18"/>
          <w:szCs w:val="18"/>
          <w:lang w:val="nl-NL"/>
        </w:rPr>
        <w:t xml:space="preserve">Ingevolge het eerste lid mogen dividenden die worden betaald door een lichaam dat inwoner is van één van beide </w:t>
      </w:r>
      <w:r w:rsidR="0021450B">
        <w:rPr>
          <w:rFonts w:ascii="Verdana" w:hAnsi="Verdana" w:cs="Arial"/>
          <w:sz w:val="18"/>
          <w:szCs w:val="18"/>
          <w:lang w:val="nl-NL"/>
        </w:rPr>
        <w:t>verdragsluitende staten</w:t>
      </w:r>
      <w:r w:rsidRPr="0021450B" w:rsidR="008B5401">
        <w:rPr>
          <w:rFonts w:ascii="Verdana" w:hAnsi="Verdana" w:cs="Arial"/>
          <w:sz w:val="18"/>
          <w:szCs w:val="18"/>
          <w:lang w:val="nl-NL"/>
        </w:rPr>
        <w:t xml:space="preserve"> </w:t>
      </w:r>
      <w:r w:rsidRPr="0021450B">
        <w:rPr>
          <w:rFonts w:ascii="Verdana" w:hAnsi="Verdana" w:cs="Arial"/>
          <w:sz w:val="18"/>
          <w:szCs w:val="18"/>
          <w:lang w:val="nl-NL"/>
        </w:rPr>
        <w:t xml:space="preserve">aan een inwoner van de andere </w:t>
      </w:r>
      <w:r w:rsidR="002502BB">
        <w:rPr>
          <w:rFonts w:ascii="Verdana" w:hAnsi="Verdana" w:cs="Arial"/>
          <w:sz w:val="18"/>
          <w:szCs w:val="18"/>
          <w:lang w:val="nl-NL"/>
        </w:rPr>
        <w:t xml:space="preserve">verdragsluitende </w:t>
      </w:r>
      <w:r w:rsidR="003103E7">
        <w:rPr>
          <w:rFonts w:ascii="Verdana" w:hAnsi="Verdana" w:cs="Arial"/>
          <w:sz w:val="18"/>
          <w:szCs w:val="18"/>
          <w:lang w:val="nl-NL"/>
        </w:rPr>
        <w:t>staat</w:t>
      </w:r>
      <w:r w:rsidRPr="0021450B">
        <w:rPr>
          <w:rFonts w:ascii="Verdana" w:hAnsi="Verdana" w:cs="Arial"/>
          <w:sz w:val="18"/>
          <w:szCs w:val="18"/>
          <w:lang w:val="nl-NL"/>
        </w:rPr>
        <w:t xml:space="preserve">, in die andere </w:t>
      </w:r>
      <w:r w:rsidR="003103E7">
        <w:rPr>
          <w:rFonts w:ascii="Verdana" w:hAnsi="Verdana" w:cs="Arial"/>
          <w:sz w:val="18"/>
          <w:szCs w:val="18"/>
          <w:lang w:val="nl-NL"/>
        </w:rPr>
        <w:t>staat</w:t>
      </w:r>
      <w:r w:rsidRPr="0021450B">
        <w:rPr>
          <w:rFonts w:ascii="Verdana" w:hAnsi="Verdana" w:cs="Arial"/>
          <w:sz w:val="18"/>
          <w:szCs w:val="18"/>
          <w:lang w:val="nl-NL"/>
        </w:rPr>
        <w:t xml:space="preserve"> worden belast. </w:t>
      </w:r>
    </w:p>
    <w:p w:rsidRPr="0021450B" w:rsidR="00500251" w:rsidP="00500251" w:rsidRDefault="00500251" w14:paraId="09B79BBD" w14:textId="4A61D651">
      <w:pPr>
        <w:ind w:firstLine="720"/>
        <w:rPr>
          <w:rFonts w:ascii="Verdana" w:hAnsi="Verdana" w:cs="Arial"/>
          <w:sz w:val="18"/>
          <w:szCs w:val="18"/>
          <w:lang w:val="nl-NL"/>
        </w:rPr>
      </w:pPr>
      <w:r w:rsidRPr="0021450B">
        <w:rPr>
          <w:rFonts w:ascii="Verdana" w:hAnsi="Verdana" w:cs="Arial"/>
          <w:sz w:val="18"/>
          <w:szCs w:val="18"/>
          <w:lang w:val="nl-NL"/>
        </w:rPr>
        <w:t>Het tweede lid wijst echter ook een heffingsrecht toe aan de vestigingsstaat (de ‘bronstaat’) van het dividenduitkerende lichaam. Het heffingsrecht voor de bronstaat is beperkt tot 15</w:t>
      </w:r>
      <w:r w:rsidR="002502BB">
        <w:rPr>
          <w:rFonts w:ascii="Verdana" w:hAnsi="Verdana" w:cs="Arial"/>
          <w:sz w:val="18"/>
          <w:szCs w:val="18"/>
          <w:lang w:val="nl-NL"/>
        </w:rPr>
        <w:t>%</w:t>
      </w:r>
      <w:r w:rsidRPr="0021450B">
        <w:rPr>
          <w:rFonts w:ascii="Verdana" w:hAnsi="Verdana" w:cs="Arial"/>
          <w:sz w:val="18"/>
          <w:szCs w:val="18"/>
          <w:lang w:val="nl-NL"/>
        </w:rPr>
        <w:t xml:space="preserve"> van het brutodividend indien de uiteindelijk gerechtigde tot het dividend inwoner is van de andere </w:t>
      </w:r>
      <w:r w:rsidR="0021450B">
        <w:rPr>
          <w:rFonts w:ascii="Verdana" w:hAnsi="Verdana" w:cs="Arial"/>
          <w:sz w:val="18"/>
          <w:szCs w:val="18"/>
          <w:lang w:val="nl-NL"/>
        </w:rPr>
        <w:t>verdragsluitende staat</w:t>
      </w:r>
      <w:r w:rsidRPr="0021450B">
        <w:rPr>
          <w:rFonts w:ascii="Verdana" w:hAnsi="Verdana" w:cs="Arial"/>
          <w:sz w:val="18"/>
          <w:szCs w:val="18"/>
          <w:lang w:val="nl-NL"/>
        </w:rPr>
        <w:t>. Hiermee is aangesloten bij het Nederlandse dividendbelastingtarief, conform onderdeel 2.7.2 van de NFV 2011.</w:t>
      </w:r>
    </w:p>
    <w:p w:rsidRPr="003657E3" w:rsidR="00500251" w:rsidP="00500251" w:rsidRDefault="003F183B" w14:paraId="63DE5E44" w14:textId="12D6401B">
      <w:pPr>
        <w:rPr>
          <w:rFonts w:ascii="Verdana" w:hAnsi="Verdana"/>
          <w:sz w:val="18"/>
          <w:szCs w:val="18"/>
          <w:lang w:val="nl-NL"/>
        </w:rPr>
      </w:pPr>
      <w:r w:rsidRPr="0021450B">
        <w:rPr>
          <w:rFonts w:ascii="Verdana" w:hAnsi="Verdana"/>
          <w:sz w:val="18"/>
          <w:szCs w:val="18"/>
          <w:lang w:val="nl-NL"/>
        </w:rPr>
        <w:t>Op verzoek van Nederland geldt in afwijking van artikel 10 van het Verdrag</w:t>
      </w:r>
      <w:r w:rsidRPr="0021450B" w:rsidR="0006094E">
        <w:rPr>
          <w:rFonts w:ascii="Verdana" w:hAnsi="Verdana"/>
          <w:sz w:val="18"/>
          <w:szCs w:val="18"/>
          <w:lang w:val="nl-NL"/>
        </w:rPr>
        <w:t xml:space="preserve"> van</w:t>
      </w:r>
      <w:r w:rsidRPr="0021450B">
        <w:rPr>
          <w:rFonts w:ascii="Verdana" w:hAnsi="Verdana"/>
          <w:sz w:val="18"/>
          <w:szCs w:val="18"/>
          <w:lang w:val="nl-NL"/>
        </w:rPr>
        <w:t xml:space="preserve"> 1990 en het OESO-modelverdrag i</w:t>
      </w:r>
      <w:r w:rsidRPr="0021450B" w:rsidR="00500251">
        <w:rPr>
          <w:rFonts w:ascii="Verdana" w:hAnsi="Verdana"/>
          <w:sz w:val="18"/>
          <w:szCs w:val="18"/>
          <w:lang w:val="nl-NL"/>
        </w:rPr>
        <w:t>n</w:t>
      </w:r>
      <w:r w:rsidRPr="0021450B" w:rsidR="00A7465A">
        <w:rPr>
          <w:rFonts w:ascii="Verdana" w:hAnsi="Verdana"/>
          <w:sz w:val="18"/>
          <w:szCs w:val="18"/>
          <w:lang w:val="nl-NL"/>
        </w:rPr>
        <w:t>gevolge</w:t>
      </w:r>
      <w:r w:rsidRPr="0021450B" w:rsidR="00500251">
        <w:rPr>
          <w:rFonts w:ascii="Verdana" w:hAnsi="Verdana"/>
          <w:sz w:val="18"/>
          <w:szCs w:val="18"/>
          <w:lang w:val="nl-NL"/>
        </w:rPr>
        <w:t xml:space="preserve"> het derde lid een </w:t>
      </w:r>
      <w:r w:rsidRPr="0021450B" w:rsidR="00500251">
        <w:rPr>
          <w:rFonts w:ascii="Verdana" w:hAnsi="Verdana" w:cs="Arial"/>
          <w:sz w:val="18"/>
          <w:szCs w:val="18"/>
          <w:lang w:val="nl-NL"/>
        </w:rPr>
        <w:t xml:space="preserve">uitsluitende woonstaatheffing voor deelnemingsdividenden (onderdeel a) en </w:t>
      </w:r>
      <w:r w:rsidRPr="00BA2B89" w:rsidR="002C3B21">
        <w:rPr>
          <w:rFonts w:ascii="Verdana" w:hAnsi="Verdana" w:cs="Arial"/>
          <w:sz w:val="18"/>
          <w:szCs w:val="18"/>
          <w:lang w:val="nl-NL"/>
        </w:rPr>
        <w:t xml:space="preserve">voor dividenden betaald aan </w:t>
      </w:r>
      <w:r w:rsidRPr="00BA2B89" w:rsidR="00500251">
        <w:rPr>
          <w:rFonts w:ascii="Verdana" w:hAnsi="Verdana" w:cs="Arial"/>
          <w:sz w:val="18"/>
          <w:szCs w:val="18"/>
          <w:lang w:val="nl-NL"/>
        </w:rPr>
        <w:t>pensioenfondsen (onderdeel b)</w:t>
      </w:r>
      <w:r w:rsidRPr="006C1373" w:rsidR="00500251">
        <w:rPr>
          <w:rFonts w:ascii="Verdana" w:hAnsi="Verdana"/>
          <w:sz w:val="18"/>
          <w:szCs w:val="18"/>
          <w:lang w:val="nl-NL"/>
        </w:rPr>
        <w:t>. Op basis van onderdeel a is</w:t>
      </w:r>
      <w:r w:rsidR="00C65E58">
        <w:rPr>
          <w:rFonts w:ascii="Verdana" w:hAnsi="Verdana"/>
          <w:sz w:val="18"/>
          <w:szCs w:val="18"/>
          <w:lang w:val="nl-NL"/>
        </w:rPr>
        <w:t xml:space="preserve"> een</w:t>
      </w:r>
      <w:r w:rsidRPr="006C1373" w:rsidR="00500251">
        <w:rPr>
          <w:rFonts w:ascii="Verdana" w:hAnsi="Verdana"/>
          <w:sz w:val="18"/>
          <w:szCs w:val="18"/>
          <w:lang w:val="nl-NL"/>
        </w:rPr>
        <w:t xml:space="preserve"> uitsluitende woonstaatheffing van toepassing indien de uiteindelijk gerechtigde een in de andere </w:t>
      </w:r>
      <w:r w:rsidR="002502BB">
        <w:rPr>
          <w:rFonts w:ascii="Verdana" w:hAnsi="Verdana" w:cs="Arial"/>
          <w:sz w:val="18"/>
          <w:szCs w:val="18"/>
          <w:lang w:val="nl-NL"/>
        </w:rPr>
        <w:t xml:space="preserve">verdragsluitende </w:t>
      </w:r>
      <w:r w:rsidR="003103E7">
        <w:rPr>
          <w:rFonts w:ascii="Verdana" w:hAnsi="Verdana"/>
          <w:sz w:val="18"/>
          <w:szCs w:val="18"/>
          <w:lang w:val="nl-NL"/>
        </w:rPr>
        <w:t>staat</w:t>
      </w:r>
      <w:r w:rsidRPr="006C1373" w:rsidR="00500251">
        <w:rPr>
          <w:rFonts w:ascii="Verdana" w:hAnsi="Verdana"/>
          <w:sz w:val="18"/>
          <w:szCs w:val="18"/>
          <w:lang w:val="nl-NL"/>
        </w:rPr>
        <w:t xml:space="preserve"> gevestigd lichaam is </w:t>
      </w:r>
      <w:r w:rsidRPr="00DD3563" w:rsidR="002C3B21">
        <w:rPr>
          <w:rFonts w:ascii="Verdana" w:hAnsi="Verdana"/>
          <w:sz w:val="18"/>
          <w:szCs w:val="18"/>
          <w:lang w:val="nl-NL"/>
        </w:rPr>
        <w:t>dat</w:t>
      </w:r>
      <w:r w:rsidRPr="00DD3563" w:rsidR="00500251">
        <w:rPr>
          <w:rFonts w:ascii="Verdana" w:hAnsi="Verdana"/>
          <w:sz w:val="18"/>
          <w:szCs w:val="18"/>
          <w:lang w:val="nl-NL"/>
        </w:rPr>
        <w:t xml:space="preserve"> direct minimaal 10</w:t>
      </w:r>
      <w:r w:rsidR="002502BB">
        <w:rPr>
          <w:rFonts w:ascii="Verdana" w:hAnsi="Verdana"/>
          <w:sz w:val="18"/>
          <w:szCs w:val="18"/>
          <w:lang w:val="nl-NL"/>
        </w:rPr>
        <w:t>%</w:t>
      </w:r>
      <w:r w:rsidRPr="00DD3563" w:rsidR="00500251">
        <w:rPr>
          <w:rFonts w:ascii="Verdana" w:hAnsi="Verdana"/>
          <w:sz w:val="18"/>
          <w:szCs w:val="18"/>
          <w:lang w:val="nl-NL"/>
        </w:rPr>
        <w:t xml:space="preserve"> van het kapitaal van het dividenduitkerende lichaam bezit.</w:t>
      </w:r>
      <w:r w:rsidRPr="00DD3563" w:rsidR="008B2EEC">
        <w:rPr>
          <w:rFonts w:ascii="Verdana" w:hAnsi="Verdana"/>
          <w:sz w:val="18"/>
          <w:szCs w:val="18"/>
          <w:lang w:val="nl-NL"/>
        </w:rPr>
        <w:t xml:space="preserve"> V</w:t>
      </w:r>
      <w:r w:rsidRPr="003F7CD6" w:rsidR="00D710C0">
        <w:rPr>
          <w:rFonts w:ascii="Verdana" w:hAnsi="Verdana"/>
          <w:sz w:val="18"/>
          <w:szCs w:val="18"/>
          <w:lang w:val="nl-NL"/>
        </w:rPr>
        <w:t>erder</w:t>
      </w:r>
      <w:r w:rsidRPr="003F7CD6" w:rsidR="008B2EEC">
        <w:rPr>
          <w:rFonts w:ascii="Verdana" w:hAnsi="Verdana"/>
          <w:sz w:val="18"/>
          <w:szCs w:val="18"/>
          <w:lang w:val="nl-NL"/>
        </w:rPr>
        <w:t xml:space="preserve"> is </w:t>
      </w:r>
      <w:r w:rsidRPr="00606D22" w:rsidR="003276E8">
        <w:rPr>
          <w:rFonts w:ascii="Verdana" w:hAnsi="Verdana"/>
          <w:sz w:val="18"/>
          <w:szCs w:val="18"/>
          <w:lang w:val="nl-NL"/>
        </w:rPr>
        <w:t xml:space="preserve">als voorwaarde opgenomen dat ten minste 365 dagen aan het vereiste bezitspercentage </w:t>
      </w:r>
      <w:r w:rsidRPr="00606D22" w:rsidR="00C7533B">
        <w:rPr>
          <w:rFonts w:ascii="Verdana" w:hAnsi="Verdana"/>
          <w:sz w:val="18"/>
          <w:szCs w:val="18"/>
          <w:lang w:val="nl-NL"/>
        </w:rPr>
        <w:t xml:space="preserve">moet </w:t>
      </w:r>
      <w:r w:rsidR="00C65E58">
        <w:rPr>
          <w:rFonts w:ascii="Verdana" w:hAnsi="Verdana"/>
          <w:sz w:val="18"/>
          <w:szCs w:val="18"/>
          <w:lang w:val="nl-NL"/>
        </w:rPr>
        <w:t>worden</w:t>
      </w:r>
      <w:r w:rsidRPr="00606D22" w:rsidR="003276E8">
        <w:rPr>
          <w:rFonts w:ascii="Verdana" w:hAnsi="Verdana"/>
          <w:sz w:val="18"/>
          <w:szCs w:val="18"/>
          <w:lang w:val="nl-NL"/>
        </w:rPr>
        <w:t xml:space="preserve"> voldaan. Deze voorwaarde is gebaseerd op een voorstel uit het rapport bij BEPS-actie 6 en is ook opgenomen in het OESO-modelverdrag. De voorwaarde beoogt belastingontwijking via zogenoemde </w:t>
      </w:r>
      <w:r w:rsidRPr="00FA4BC6" w:rsidR="003276E8">
        <w:rPr>
          <w:rFonts w:ascii="Verdana" w:hAnsi="Verdana"/>
          <w:i/>
          <w:sz w:val="18"/>
          <w:szCs w:val="18"/>
          <w:lang w:val="nl-NL"/>
        </w:rPr>
        <w:t xml:space="preserve">dividend transfer transactions </w:t>
      </w:r>
      <w:r w:rsidRPr="00FA4BC6" w:rsidR="003276E8">
        <w:rPr>
          <w:rFonts w:ascii="Verdana" w:hAnsi="Verdana"/>
          <w:sz w:val="18"/>
          <w:szCs w:val="18"/>
          <w:lang w:val="nl-NL"/>
        </w:rPr>
        <w:t>tegen te gaan.</w:t>
      </w:r>
      <w:r w:rsidRPr="00BD4E1D" w:rsidR="00500251">
        <w:rPr>
          <w:rFonts w:ascii="Verdana" w:hAnsi="Verdana"/>
          <w:sz w:val="18"/>
          <w:szCs w:val="18"/>
          <w:lang w:val="nl-NL"/>
        </w:rPr>
        <w:t xml:space="preserve"> </w:t>
      </w:r>
      <w:r w:rsidRPr="00BD4E1D" w:rsidR="00D77D4D">
        <w:rPr>
          <w:rFonts w:ascii="Verdana" w:hAnsi="Verdana"/>
          <w:sz w:val="18"/>
          <w:szCs w:val="18"/>
          <w:lang w:val="nl-NL"/>
        </w:rPr>
        <w:t>De in onderde</w:t>
      </w:r>
      <w:r w:rsidRPr="00BD4E1D" w:rsidR="00A52E00">
        <w:rPr>
          <w:rFonts w:ascii="Verdana" w:hAnsi="Verdana"/>
          <w:sz w:val="18"/>
          <w:szCs w:val="18"/>
          <w:lang w:val="nl-NL"/>
        </w:rPr>
        <w:t>e</w:t>
      </w:r>
      <w:r w:rsidRPr="00BD4E1D" w:rsidR="00D77D4D">
        <w:rPr>
          <w:rFonts w:ascii="Verdana" w:hAnsi="Verdana"/>
          <w:sz w:val="18"/>
          <w:szCs w:val="18"/>
          <w:lang w:val="nl-NL"/>
        </w:rPr>
        <w:t xml:space="preserve">l </w:t>
      </w:r>
      <w:r w:rsidRPr="00BD4E1D" w:rsidR="00F46DA6">
        <w:rPr>
          <w:rFonts w:ascii="Verdana" w:hAnsi="Verdana"/>
          <w:sz w:val="18"/>
          <w:szCs w:val="18"/>
          <w:lang w:val="nl-NL"/>
        </w:rPr>
        <w:t>a opgen</w:t>
      </w:r>
      <w:r w:rsidRPr="00E01754" w:rsidR="00F46DA6">
        <w:rPr>
          <w:rFonts w:ascii="Verdana" w:hAnsi="Verdana"/>
          <w:sz w:val="18"/>
          <w:szCs w:val="18"/>
          <w:lang w:val="nl-NL"/>
        </w:rPr>
        <w:t>omen vrijstelling</w:t>
      </w:r>
      <w:r w:rsidRPr="00E01754" w:rsidR="00D77D4D">
        <w:rPr>
          <w:rFonts w:ascii="Verdana" w:hAnsi="Verdana"/>
          <w:sz w:val="18"/>
          <w:szCs w:val="18"/>
          <w:lang w:val="nl-NL"/>
        </w:rPr>
        <w:t xml:space="preserve"> voor bronbelasting op </w:t>
      </w:r>
      <w:r w:rsidRPr="00E01754" w:rsidR="00A52E00">
        <w:rPr>
          <w:rFonts w:ascii="Verdana" w:hAnsi="Verdana"/>
          <w:sz w:val="18"/>
          <w:szCs w:val="18"/>
          <w:lang w:val="nl-NL"/>
        </w:rPr>
        <w:t>deelnemings</w:t>
      </w:r>
      <w:r w:rsidRPr="00E01754" w:rsidR="00D77D4D">
        <w:rPr>
          <w:rFonts w:ascii="Verdana" w:hAnsi="Verdana"/>
          <w:sz w:val="18"/>
          <w:szCs w:val="18"/>
          <w:lang w:val="nl-NL"/>
        </w:rPr>
        <w:t>dividenden sluit aan bij</w:t>
      </w:r>
      <w:r w:rsidRPr="00E01754" w:rsidR="008C113B">
        <w:rPr>
          <w:rFonts w:ascii="Verdana" w:hAnsi="Verdana"/>
          <w:sz w:val="18"/>
          <w:szCs w:val="18"/>
          <w:lang w:val="nl-NL"/>
        </w:rPr>
        <w:t xml:space="preserve"> </w:t>
      </w:r>
      <w:r w:rsidRPr="00E01754" w:rsidR="004322E1">
        <w:rPr>
          <w:rFonts w:ascii="Verdana" w:hAnsi="Verdana"/>
          <w:sz w:val="18"/>
          <w:szCs w:val="18"/>
          <w:lang w:val="nl-NL"/>
        </w:rPr>
        <w:t xml:space="preserve">het in onderdeel 2.7.1 van de NFV 2011 </w:t>
      </w:r>
      <w:r w:rsidRPr="00E01754" w:rsidR="00500251">
        <w:rPr>
          <w:rFonts w:ascii="Verdana" w:hAnsi="Verdana"/>
          <w:sz w:val="18"/>
          <w:szCs w:val="18"/>
          <w:lang w:val="nl-NL"/>
        </w:rPr>
        <w:t xml:space="preserve">geformuleerde </w:t>
      </w:r>
      <w:r w:rsidRPr="00E01754" w:rsidR="004322E1">
        <w:rPr>
          <w:rFonts w:ascii="Verdana" w:hAnsi="Verdana"/>
          <w:sz w:val="18"/>
          <w:szCs w:val="18"/>
          <w:lang w:val="nl-NL"/>
        </w:rPr>
        <w:t>verdrags</w:t>
      </w:r>
      <w:r w:rsidRPr="00E01754" w:rsidR="00500251">
        <w:rPr>
          <w:rFonts w:ascii="Verdana" w:hAnsi="Verdana"/>
          <w:sz w:val="18"/>
          <w:szCs w:val="18"/>
          <w:lang w:val="nl-NL"/>
        </w:rPr>
        <w:t>beleid om economisch dubbele belasting op vennootschapsniveau te voorkomen</w:t>
      </w:r>
      <w:r w:rsidRPr="003103E7" w:rsidR="00D710C0">
        <w:rPr>
          <w:rFonts w:ascii="Verdana" w:hAnsi="Verdana"/>
          <w:sz w:val="18"/>
          <w:szCs w:val="18"/>
          <w:lang w:val="nl-NL"/>
        </w:rPr>
        <w:t xml:space="preserve"> en sluit aan bij de Moeder-dochterrichtlijn</w:t>
      </w:r>
      <w:r w:rsidRPr="003103E7" w:rsidR="00500251">
        <w:rPr>
          <w:rFonts w:ascii="Verdana" w:hAnsi="Verdana"/>
          <w:sz w:val="18"/>
          <w:szCs w:val="18"/>
          <w:lang w:val="nl-NL"/>
        </w:rPr>
        <w:t>.</w:t>
      </w:r>
      <w:r w:rsidR="004E2B58">
        <w:rPr>
          <w:rStyle w:val="Voetnootmarkering"/>
          <w:rFonts w:ascii="Verdana" w:hAnsi="Verdana"/>
          <w:sz w:val="18"/>
          <w:szCs w:val="18"/>
          <w:lang w:val="nl-NL"/>
        </w:rPr>
        <w:footnoteReference w:id="12"/>
      </w:r>
      <w:r w:rsidRPr="003103E7" w:rsidR="00500251">
        <w:rPr>
          <w:rFonts w:ascii="Verdana" w:hAnsi="Verdana"/>
          <w:sz w:val="18"/>
          <w:szCs w:val="18"/>
          <w:lang w:val="nl-NL"/>
        </w:rPr>
        <w:t xml:space="preserve"> </w:t>
      </w:r>
      <w:r w:rsidRPr="003103E7" w:rsidR="00A52E00">
        <w:rPr>
          <w:rFonts w:ascii="Verdana" w:hAnsi="Verdana"/>
          <w:sz w:val="18"/>
          <w:szCs w:val="18"/>
          <w:lang w:val="nl-NL"/>
        </w:rPr>
        <w:t xml:space="preserve">De in onderdeel b opgenomen vrijstelling voor dividenden betaald aan </w:t>
      </w:r>
      <w:r w:rsidRPr="003103E7" w:rsidR="00500251">
        <w:rPr>
          <w:rFonts w:ascii="Verdana" w:hAnsi="Verdana"/>
          <w:sz w:val="18"/>
          <w:szCs w:val="18"/>
          <w:lang w:val="nl-NL"/>
        </w:rPr>
        <w:t>pensioenfonds</w:t>
      </w:r>
      <w:r w:rsidRPr="003103E7" w:rsidR="00A52E00">
        <w:rPr>
          <w:rFonts w:ascii="Verdana" w:hAnsi="Verdana"/>
          <w:sz w:val="18"/>
          <w:szCs w:val="18"/>
          <w:lang w:val="nl-NL"/>
        </w:rPr>
        <w:t>en</w:t>
      </w:r>
      <w:r w:rsidRPr="003103E7" w:rsidR="00500251">
        <w:rPr>
          <w:rFonts w:ascii="Verdana" w:hAnsi="Verdana"/>
          <w:sz w:val="18"/>
          <w:szCs w:val="18"/>
          <w:lang w:val="nl-NL"/>
        </w:rPr>
        <w:t xml:space="preserve"> is</w:t>
      </w:r>
      <w:r w:rsidRPr="003103E7" w:rsidR="00A52E00">
        <w:rPr>
          <w:rFonts w:ascii="Verdana" w:hAnsi="Verdana"/>
          <w:sz w:val="18"/>
          <w:szCs w:val="18"/>
          <w:lang w:val="nl-NL"/>
        </w:rPr>
        <w:t xml:space="preserve"> in overeenstemming met </w:t>
      </w:r>
      <w:r w:rsidRPr="003103E7" w:rsidR="00CE592B">
        <w:rPr>
          <w:rFonts w:ascii="Verdana" w:hAnsi="Verdana"/>
          <w:sz w:val="18"/>
          <w:szCs w:val="18"/>
          <w:lang w:val="nl-NL"/>
        </w:rPr>
        <w:t>de aanbevelingen van de OESO op dit punt</w:t>
      </w:r>
      <w:r w:rsidRPr="003657E3" w:rsidR="003276E8">
        <w:rPr>
          <w:rFonts w:ascii="Verdana" w:hAnsi="Verdana"/>
          <w:sz w:val="18"/>
          <w:szCs w:val="18"/>
          <w:lang w:val="nl-NL"/>
        </w:rPr>
        <w:t>.</w:t>
      </w:r>
    </w:p>
    <w:p w:rsidRPr="00CB4452" w:rsidR="00500251" w:rsidP="00500251" w:rsidRDefault="00500251" w14:paraId="64D345A0" w14:textId="77777777">
      <w:pPr>
        <w:ind w:firstLine="720"/>
        <w:rPr>
          <w:rFonts w:ascii="Verdana" w:hAnsi="Verdana" w:cs="Arial"/>
          <w:sz w:val="18"/>
          <w:szCs w:val="18"/>
          <w:lang w:val="nl-NL"/>
        </w:rPr>
      </w:pPr>
      <w:r w:rsidRPr="00CB4452">
        <w:rPr>
          <w:rFonts w:ascii="Verdana" w:hAnsi="Verdana" w:cs="Arial"/>
          <w:sz w:val="18"/>
          <w:szCs w:val="18"/>
          <w:lang w:val="nl-NL"/>
        </w:rPr>
        <w:t xml:space="preserve">Ingevolge het vierde lid laten de </w:t>
      </w:r>
      <w:r w:rsidRPr="00CB4452">
        <w:rPr>
          <w:rFonts w:ascii="Verdana" w:hAnsi="Verdana"/>
          <w:sz w:val="18"/>
          <w:szCs w:val="18"/>
          <w:lang w:val="nl-NL"/>
        </w:rPr>
        <w:t xml:space="preserve">bepalingen van het tweede en derde lid </w:t>
      </w:r>
      <w:r w:rsidRPr="00CB4452">
        <w:rPr>
          <w:rFonts w:ascii="Verdana" w:hAnsi="Verdana" w:cs="Arial"/>
          <w:sz w:val="18"/>
          <w:szCs w:val="18"/>
          <w:lang w:val="nl-NL"/>
        </w:rPr>
        <w:t>de belastingheffing over de winst waaruit de dividenden worden betaald onverlet.</w:t>
      </w:r>
    </w:p>
    <w:p w:rsidRPr="0021450B" w:rsidR="00500251" w:rsidP="00500251" w:rsidRDefault="003F183B" w14:paraId="1822E5CA" w14:textId="77777777">
      <w:pPr>
        <w:ind w:firstLine="720"/>
        <w:rPr>
          <w:rFonts w:ascii="Verdana" w:hAnsi="Verdana" w:cs="Arial"/>
          <w:sz w:val="18"/>
          <w:szCs w:val="18"/>
          <w:lang w:val="nl-NL"/>
        </w:rPr>
      </w:pPr>
      <w:r w:rsidRPr="0018301C">
        <w:rPr>
          <w:rFonts w:ascii="Verdana" w:hAnsi="Verdana" w:cs="Arial"/>
          <w:sz w:val="18"/>
          <w:szCs w:val="18"/>
          <w:lang w:val="nl-NL"/>
        </w:rPr>
        <w:t>Op verzoek van Bulgarije zijn i</w:t>
      </w:r>
      <w:r w:rsidRPr="0018301C" w:rsidR="00A7465A">
        <w:rPr>
          <w:rFonts w:ascii="Verdana" w:hAnsi="Verdana" w:cs="Arial"/>
          <w:sz w:val="18"/>
          <w:szCs w:val="18"/>
          <w:lang w:val="nl-NL"/>
        </w:rPr>
        <w:t xml:space="preserve">ngevolge </w:t>
      </w:r>
      <w:r w:rsidRPr="0018301C" w:rsidR="00500251">
        <w:rPr>
          <w:rFonts w:ascii="Verdana" w:hAnsi="Verdana" w:cs="Arial"/>
          <w:sz w:val="18"/>
          <w:szCs w:val="18"/>
          <w:lang w:val="nl-NL"/>
        </w:rPr>
        <w:t xml:space="preserve">het </w:t>
      </w:r>
      <w:r w:rsidRPr="0018301C" w:rsidR="00F46DA6">
        <w:rPr>
          <w:rFonts w:ascii="Verdana" w:hAnsi="Verdana" w:cs="Arial"/>
          <w:sz w:val="18"/>
          <w:szCs w:val="18"/>
          <w:lang w:val="nl-NL"/>
        </w:rPr>
        <w:t xml:space="preserve">vijfde </w:t>
      </w:r>
      <w:r w:rsidRPr="0018301C" w:rsidR="00500251">
        <w:rPr>
          <w:rFonts w:ascii="Verdana" w:hAnsi="Verdana" w:cs="Arial"/>
          <w:sz w:val="18"/>
          <w:szCs w:val="18"/>
          <w:lang w:val="nl-NL"/>
        </w:rPr>
        <w:t>lid de bepalingen van het derde lid niet van toepassing indien het dividend</w:t>
      </w:r>
      <w:r w:rsidRPr="0018301C" w:rsidR="00F46DA6">
        <w:rPr>
          <w:rFonts w:ascii="Verdana" w:hAnsi="Verdana" w:cs="Arial"/>
          <w:sz w:val="18"/>
          <w:szCs w:val="18"/>
          <w:lang w:val="nl-NL"/>
        </w:rPr>
        <w:t>,</w:t>
      </w:r>
      <w:r w:rsidRPr="0018301C" w:rsidR="00500251">
        <w:rPr>
          <w:rFonts w:ascii="Verdana" w:hAnsi="Verdana" w:cs="Arial"/>
          <w:sz w:val="18"/>
          <w:szCs w:val="18"/>
          <w:lang w:val="nl-NL"/>
        </w:rPr>
        <w:t xml:space="preserve"> overeenkomstig de wetg</w:t>
      </w:r>
      <w:r w:rsidRPr="00490FAB" w:rsidR="00500251">
        <w:rPr>
          <w:rFonts w:ascii="Verdana" w:hAnsi="Verdana" w:cs="Arial"/>
          <w:sz w:val="18"/>
          <w:szCs w:val="18"/>
          <w:lang w:val="nl-NL"/>
        </w:rPr>
        <w:t xml:space="preserve">eving van de </w:t>
      </w:r>
      <w:r w:rsidR="0021450B">
        <w:rPr>
          <w:rFonts w:ascii="Verdana" w:hAnsi="Verdana" w:cs="Arial"/>
          <w:sz w:val="18"/>
          <w:szCs w:val="18"/>
          <w:lang w:val="nl-NL"/>
        </w:rPr>
        <w:t>verdragsluitende staat</w:t>
      </w:r>
      <w:r w:rsidRPr="0021450B" w:rsidR="00500251">
        <w:rPr>
          <w:rFonts w:ascii="Verdana" w:hAnsi="Verdana" w:cs="Arial"/>
          <w:sz w:val="18"/>
          <w:szCs w:val="18"/>
          <w:lang w:val="nl-NL"/>
        </w:rPr>
        <w:t xml:space="preserve"> waarvan het dividenduitkerende lichaam inwoner is</w:t>
      </w:r>
      <w:r w:rsidRPr="0021450B" w:rsidR="00F46DA6">
        <w:rPr>
          <w:rFonts w:ascii="Verdana" w:hAnsi="Verdana" w:cs="Arial"/>
          <w:sz w:val="18"/>
          <w:szCs w:val="18"/>
          <w:lang w:val="nl-NL"/>
        </w:rPr>
        <w:t>,</w:t>
      </w:r>
      <w:r w:rsidRPr="0021450B" w:rsidR="00500251">
        <w:rPr>
          <w:rFonts w:ascii="Verdana" w:hAnsi="Verdana" w:cs="Arial"/>
          <w:sz w:val="18"/>
          <w:szCs w:val="18"/>
          <w:lang w:val="nl-NL"/>
        </w:rPr>
        <w:t xml:space="preserve"> een </w:t>
      </w:r>
      <w:r w:rsidRPr="0021450B" w:rsidR="0015618A">
        <w:rPr>
          <w:rFonts w:ascii="Verdana" w:hAnsi="Verdana" w:cs="Arial"/>
          <w:sz w:val="18"/>
          <w:szCs w:val="18"/>
          <w:lang w:val="nl-NL"/>
        </w:rPr>
        <w:t xml:space="preserve">verkapt </w:t>
      </w:r>
      <w:r w:rsidRPr="0021450B" w:rsidR="00500251">
        <w:rPr>
          <w:rFonts w:ascii="Verdana" w:hAnsi="Verdana" w:cs="Arial"/>
          <w:sz w:val="18"/>
          <w:szCs w:val="18"/>
          <w:lang w:val="nl-NL"/>
        </w:rPr>
        <w:t>dividend betreft.</w:t>
      </w:r>
      <w:r w:rsidR="00484A8F">
        <w:rPr>
          <w:rFonts w:ascii="Verdana" w:hAnsi="Verdana" w:cs="Arial"/>
          <w:sz w:val="18"/>
          <w:szCs w:val="18"/>
          <w:lang w:val="nl-NL"/>
        </w:rPr>
        <w:t xml:space="preserve"> </w:t>
      </w:r>
      <w:r w:rsidRPr="0021450B" w:rsidR="00500251">
        <w:rPr>
          <w:rFonts w:ascii="Verdana" w:hAnsi="Verdana" w:cs="Arial"/>
          <w:sz w:val="18"/>
          <w:szCs w:val="18"/>
          <w:lang w:val="nl-NL"/>
        </w:rPr>
        <w:t xml:space="preserve">In dat geval is er geen sprake van een uitsluitende woonstaatheffing en is het tweede lid van toepassing. </w:t>
      </w:r>
    </w:p>
    <w:p w:rsidRPr="00DD3563" w:rsidR="00500251" w:rsidP="00500251" w:rsidRDefault="00500251" w14:paraId="0DD647FC" w14:textId="77777777">
      <w:pPr>
        <w:ind w:firstLine="720"/>
        <w:rPr>
          <w:rFonts w:ascii="Verdana" w:hAnsi="Verdana" w:cs="Arial"/>
          <w:sz w:val="18"/>
          <w:szCs w:val="18"/>
          <w:lang w:val="nl-NL"/>
        </w:rPr>
      </w:pPr>
      <w:r w:rsidRPr="0021450B">
        <w:rPr>
          <w:rFonts w:ascii="Verdana" w:hAnsi="Verdana" w:cs="Arial"/>
          <w:sz w:val="18"/>
          <w:szCs w:val="18"/>
          <w:lang w:val="nl-NL"/>
        </w:rPr>
        <w:t xml:space="preserve">De in het zesde lid opgenomen definitie van dividenden </w:t>
      </w:r>
      <w:r w:rsidRPr="0021450B" w:rsidR="00B76860">
        <w:rPr>
          <w:rFonts w:ascii="Verdana" w:hAnsi="Verdana" w:cs="Arial"/>
          <w:sz w:val="18"/>
          <w:szCs w:val="18"/>
          <w:lang w:val="nl-NL"/>
        </w:rPr>
        <w:t xml:space="preserve">wijkt enigszins af van de in artikel 10, derde lid, van </w:t>
      </w:r>
      <w:r w:rsidRPr="0021450B">
        <w:rPr>
          <w:rFonts w:ascii="Verdana" w:hAnsi="Verdana" w:cs="Arial"/>
          <w:sz w:val="18"/>
          <w:szCs w:val="18"/>
          <w:lang w:val="nl-NL"/>
        </w:rPr>
        <w:t>het OESO-modelverdrag</w:t>
      </w:r>
      <w:r w:rsidRPr="0021450B" w:rsidR="00B76860">
        <w:rPr>
          <w:rFonts w:ascii="Verdana" w:hAnsi="Verdana" w:cs="Arial"/>
          <w:sz w:val="18"/>
          <w:szCs w:val="18"/>
          <w:lang w:val="nl-NL"/>
        </w:rPr>
        <w:t xml:space="preserve"> opgenomen definitie</w:t>
      </w:r>
      <w:r w:rsidRPr="0021450B">
        <w:rPr>
          <w:rFonts w:ascii="Verdana" w:hAnsi="Verdana" w:cs="Arial"/>
          <w:sz w:val="18"/>
          <w:szCs w:val="18"/>
          <w:lang w:val="nl-NL"/>
        </w:rPr>
        <w:t>. In de opsomming zijn</w:t>
      </w:r>
      <w:r w:rsidR="00A349C2">
        <w:rPr>
          <w:rFonts w:ascii="Verdana" w:hAnsi="Verdana" w:cs="Arial"/>
          <w:sz w:val="18"/>
          <w:szCs w:val="18"/>
          <w:lang w:val="nl-NL"/>
        </w:rPr>
        <w:t xml:space="preserve"> de</w:t>
      </w:r>
      <w:r w:rsidRPr="0021450B">
        <w:rPr>
          <w:rFonts w:ascii="Verdana" w:hAnsi="Verdana" w:cs="Arial"/>
          <w:sz w:val="18"/>
          <w:szCs w:val="18"/>
          <w:lang w:val="nl-NL"/>
        </w:rPr>
        <w:t xml:space="preserve"> </w:t>
      </w:r>
      <w:r w:rsidR="008C60B2">
        <w:rPr>
          <w:rFonts w:ascii="Verdana" w:hAnsi="Verdana" w:cs="Arial"/>
          <w:sz w:val="18"/>
          <w:szCs w:val="18"/>
          <w:lang w:val="nl-NL"/>
        </w:rPr>
        <w:t xml:space="preserve">begrippen </w:t>
      </w:r>
      <w:r w:rsidRPr="00DB4D31" w:rsidR="008C60B2">
        <w:rPr>
          <w:rFonts w:ascii="Verdana" w:hAnsi="Verdana" w:cs="Arial"/>
          <w:i/>
          <w:sz w:val="18"/>
          <w:szCs w:val="18"/>
          <w:lang w:val="nl-NL"/>
        </w:rPr>
        <w:t>“jouissance” shares or “jouissance” rights</w:t>
      </w:r>
      <w:r w:rsidR="008C60B2">
        <w:rPr>
          <w:rFonts w:ascii="Verdana" w:hAnsi="Verdana" w:cs="Arial"/>
          <w:sz w:val="18"/>
          <w:szCs w:val="18"/>
          <w:lang w:val="nl-NL"/>
        </w:rPr>
        <w:t xml:space="preserve">, </w:t>
      </w:r>
      <w:r w:rsidRPr="00DB4D31" w:rsidR="008C60B2">
        <w:rPr>
          <w:rFonts w:ascii="Verdana" w:hAnsi="Verdana" w:cs="Arial"/>
          <w:i/>
          <w:sz w:val="18"/>
          <w:szCs w:val="18"/>
          <w:lang w:val="nl-NL"/>
        </w:rPr>
        <w:t>mining shares</w:t>
      </w:r>
      <w:r w:rsidR="008C60B2">
        <w:rPr>
          <w:rFonts w:ascii="Verdana" w:hAnsi="Verdana" w:cs="Arial"/>
          <w:sz w:val="18"/>
          <w:szCs w:val="18"/>
          <w:lang w:val="nl-NL"/>
        </w:rPr>
        <w:t xml:space="preserve"> en </w:t>
      </w:r>
      <w:r w:rsidRPr="00DB4D31" w:rsidR="008C60B2">
        <w:rPr>
          <w:rFonts w:ascii="Verdana" w:hAnsi="Verdana" w:cs="Arial"/>
          <w:i/>
          <w:sz w:val="18"/>
          <w:szCs w:val="18"/>
          <w:lang w:val="nl-NL"/>
        </w:rPr>
        <w:t>founders’</w:t>
      </w:r>
      <w:r w:rsidRPr="00DB4D31" w:rsidR="00A349C2">
        <w:rPr>
          <w:rFonts w:ascii="Verdana" w:hAnsi="Verdana" w:cs="Arial"/>
          <w:i/>
          <w:sz w:val="18"/>
          <w:szCs w:val="18"/>
          <w:lang w:val="nl-NL"/>
        </w:rPr>
        <w:t xml:space="preserve"> </w:t>
      </w:r>
      <w:r w:rsidRPr="00DB4D31" w:rsidR="008C60B2">
        <w:rPr>
          <w:rFonts w:ascii="Verdana" w:hAnsi="Verdana" w:cs="Arial"/>
          <w:i/>
          <w:sz w:val="18"/>
          <w:szCs w:val="18"/>
          <w:lang w:val="nl-NL"/>
        </w:rPr>
        <w:t>shares</w:t>
      </w:r>
      <w:r w:rsidR="008C60B2">
        <w:rPr>
          <w:rFonts w:ascii="Verdana" w:hAnsi="Verdana" w:cs="Arial"/>
          <w:sz w:val="18"/>
          <w:szCs w:val="18"/>
          <w:lang w:val="nl-NL"/>
        </w:rPr>
        <w:t xml:space="preserve"> </w:t>
      </w:r>
      <w:r w:rsidRPr="0021450B">
        <w:rPr>
          <w:rFonts w:ascii="Verdana" w:hAnsi="Verdana" w:cs="Arial"/>
          <w:sz w:val="18"/>
          <w:szCs w:val="18"/>
          <w:lang w:val="nl-NL"/>
        </w:rPr>
        <w:t xml:space="preserve">achterwege gelaten </w:t>
      </w:r>
      <w:r w:rsidR="00A349C2">
        <w:rPr>
          <w:rFonts w:ascii="Verdana" w:hAnsi="Verdana" w:cs="Arial"/>
          <w:sz w:val="18"/>
          <w:szCs w:val="18"/>
          <w:lang w:val="nl-NL"/>
        </w:rPr>
        <w:t>omdat</w:t>
      </w:r>
      <w:r w:rsidRPr="0021450B" w:rsidR="00A349C2">
        <w:rPr>
          <w:rFonts w:ascii="Verdana" w:hAnsi="Verdana" w:cs="Arial"/>
          <w:sz w:val="18"/>
          <w:szCs w:val="18"/>
          <w:lang w:val="nl-NL"/>
        </w:rPr>
        <w:t xml:space="preserve"> </w:t>
      </w:r>
      <w:r w:rsidRPr="0021450B">
        <w:rPr>
          <w:rFonts w:ascii="Verdana" w:hAnsi="Verdana" w:cs="Arial"/>
          <w:sz w:val="18"/>
          <w:szCs w:val="18"/>
          <w:lang w:val="nl-NL"/>
        </w:rPr>
        <w:t xml:space="preserve">Bulgarije </w:t>
      </w:r>
      <w:r w:rsidR="00A349C2">
        <w:rPr>
          <w:rFonts w:ascii="Verdana" w:hAnsi="Verdana" w:cs="Arial"/>
          <w:sz w:val="18"/>
          <w:szCs w:val="18"/>
          <w:lang w:val="nl-NL"/>
        </w:rPr>
        <w:t xml:space="preserve">die </w:t>
      </w:r>
      <w:r w:rsidRPr="00BA2B89" w:rsidR="0015618A">
        <w:rPr>
          <w:rFonts w:ascii="Verdana" w:hAnsi="Verdana" w:cs="Arial"/>
          <w:sz w:val="18"/>
          <w:szCs w:val="18"/>
          <w:lang w:val="nl-NL"/>
        </w:rPr>
        <w:t xml:space="preserve">onder de eigen wetgeving </w:t>
      </w:r>
      <w:r w:rsidRPr="00BA2B89">
        <w:rPr>
          <w:rFonts w:ascii="Verdana" w:hAnsi="Verdana" w:cs="Arial"/>
          <w:sz w:val="18"/>
          <w:szCs w:val="18"/>
          <w:lang w:val="nl-NL"/>
        </w:rPr>
        <w:t xml:space="preserve">niet </w:t>
      </w:r>
      <w:r w:rsidRPr="00A4089F" w:rsidR="0015618A">
        <w:rPr>
          <w:rFonts w:ascii="Verdana" w:hAnsi="Verdana" w:cs="Arial"/>
          <w:sz w:val="18"/>
          <w:szCs w:val="18"/>
          <w:lang w:val="nl-NL"/>
        </w:rPr>
        <w:t>kent</w:t>
      </w:r>
      <w:r w:rsidRPr="00AA5A9F">
        <w:rPr>
          <w:rFonts w:ascii="Verdana" w:hAnsi="Verdana" w:cs="Arial"/>
          <w:sz w:val="18"/>
          <w:szCs w:val="18"/>
          <w:lang w:val="nl-NL"/>
        </w:rPr>
        <w:t>.</w:t>
      </w:r>
      <w:r w:rsidRPr="00B6639D">
        <w:rPr>
          <w:rFonts w:ascii="Verdana" w:hAnsi="Verdana" w:cs="Arial"/>
          <w:sz w:val="18"/>
          <w:szCs w:val="18"/>
          <w:lang w:val="nl-NL"/>
        </w:rPr>
        <w:t xml:space="preserve"> Nederland is daarmee akkoord gegaan na het vervangen van de tekst “andere vennootschappelijke rechten” door “andere rechten”, </w:t>
      </w:r>
      <w:r w:rsidRPr="006C1373" w:rsidR="0015618A">
        <w:rPr>
          <w:rFonts w:ascii="Verdana" w:hAnsi="Verdana" w:cs="Arial"/>
          <w:sz w:val="18"/>
          <w:szCs w:val="18"/>
          <w:lang w:val="nl-NL"/>
        </w:rPr>
        <w:t>waarmee zeker</w:t>
      </w:r>
      <w:r w:rsidRPr="006C1373" w:rsidR="003276E8">
        <w:rPr>
          <w:rFonts w:ascii="Verdana" w:hAnsi="Verdana" w:cs="Arial"/>
          <w:sz w:val="18"/>
          <w:szCs w:val="18"/>
          <w:lang w:val="nl-NL"/>
        </w:rPr>
        <w:t xml:space="preserve"> is</w:t>
      </w:r>
      <w:r w:rsidRPr="00DD3563" w:rsidR="0015618A">
        <w:rPr>
          <w:rFonts w:ascii="Verdana" w:hAnsi="Verdana" w:cs="Arial"/>
          <w:sz w:val="18"/>
          <w:szCs w:val="18"/>
          <w:lang w:val="nl-NL"/>
        </w:rPr>
        <w:t xml:space="preserve"> gesteld dat ook </w:t>
      </w:r>
      <w:r w:rsidR="008C60B2">
        <w:rPr>
          <w:rFonts w:ascii="Verdana" w:hAnsi="Verdana" w:cs="Arial"/>
          <w:sz w:val="18"/>
          <w:szCs w:val="18"/>
          <w:lang w:val="nl-NL"/>
        </w:rPr>
        <w:t xml:space="preserve">de onder de Wet op de dividendbelasting 1965 vallende </w:t>
      </w:r>
      <w:r w:rsidRPr="00DD3563" w:rsidR="0015618A">
        <w:rPr>
          <w:rFonts w:ascii="Verdana" w:hAnsi="Verdana" w:cs="Arial"/>
          <w:sz w:val="18"/>
          <w:szCs w:val="18"/>
          <w:lang w:val="nl-NL"/>
        </w:rPr>
        <w:t>vergoedingen op</w:t>
      </w:r>
      <w:r w:rsidRPr="00DD3563">
        <w:rPr>
          <w:rFonts w:ascii="Verdana" w:hAnsi="Verdana" w:cs="Arial"/>
          <w:sz w:val="18"/>
          <w:szCs w:val="18"/>
          <w:lang w:val="nl-NL"/>
        </w:rPr>
        <w:t xml:space="preserve"> </w:t>
      </w:r>
      <w:r w:rsidR="008C60B2">
        <w:rPr>
          <w:rFonts w:ascii="Verdana" w:hAnsi="Verdana" w:cs="Arial"/>
          <w:sz w:val="18"/>
          <w:szCs w:val="18"/>
          <w:lang w:val="nl-NL"/>
        </w:rPr>
        <w:t xml:space="preserve">winstbewijzen en </w:t>
      </w:r>
      <w:r w:rsidRPr="00DD3563">
        <w:rPr>
          <w:rFonts w:ascii="Verdana" w:hAnsi="Verdana" w:cs="Arial"/>
          <w:sz w:val="18"/>
          <w:szCs w:val="18"/>
          <w:lang w:val="nl-NL"/>
        </w:rPr>
        <w:t xml:space="preserve">hybride leningen onder de definitie blijven vallen. </w:t>
      </w:r>
    </w:p>
    <w:p w:rsidRPr="00BD4E1D" w:rsidR="00500251" w:rsidP="00500251" w:rsidRDefault="00A7465A" w14:paraId="70943A9A" w14:textId="77777777">
      <w:pPr>
        <w:ind w:firstLine="720"/>
        <w:rPr>
          <w:rFonts w:ascii="Verdana" w:hAnsi="Verdana" w:cs="Arial"/>
          <w:sz w:val="18"/>
          <w:szCs w:val="18"/>
          <w:lang w:val="nl-NL"/>
        </w:rPr>
      </w:pPr>
      <w:r w:rsidRPr="00DD3563">
        <w:rPr>
          <w:rFonts w:ascii="Verdana" w:hAnsi="Verdana" w:cs="Arial"/>
          <w:sz w:val="18"/>
          <w:szCs w:val="18"/>
          <w:lang w:val="nl-NL"/>
        </w:rPr>
        <w:lastRenderedPageBreak/>
        <w:t>H</w:t>
      </w:r>
      <w:r w:rsidRPr="00DD3563" w:rsidR="00500251">
        <w:rPr>
          <w:rFonts w:ascii="Verdana" w:hAnsi="Verdana" w:cs="Arial"/>
          <w:sz w:val="18"/>
          <w:szCs w:val="18"/>
          <w:lang w:val="nl-NL"/>
        </w:rPr>
        <w:t xml:space="preserve">et zevende lid </w:t>
      </w:r>
      <w:r w:rsidRPr="00DD3563">
        <w:rPr>
          <w:rFonts w:ascii="Verdana" w:hAnsi="Verdana" w:cs="Arial"/>
          <w:sz w:val="18"/>
          <w:szCs w:val="18"/>
          <w:lang w:val="nl-NL"/>
        </w:rPr>
        <w:t>b</w:t>
      </w:r>
      <w:r w:rsidRPr="003F7CD6" w:rsidR="00500251">
        <w:rPr>
          <w:rFonts w:ascii="Verdana" w:hAnsi="Verdana" w:cs="Arial"/>
          <w:sz w:val="18"/>
          <w:szCs w:val="18"/>
          <w:lang w:val="nl-NL"/>
        </w:rPr>
        <w:t>epaal</w:t>
      </w:r>
      <w:r w:rsidRPr="003F7CD6">
        <w:rPr>
          <w:rFonts w:ascii="Verdana" w:hAnsi="Verdana" w:cs="Arial"/>
          <w:sz w:val="18"/>
          <w:szCs w:val="18"/>
          <w:lang w:val="nl-NL"/>
        </w:rPr>
        <w:t>t</w:t>
      </w:r>
      <w:r w:rsidRPr="00606D22" w:rsidR="00500251">
        <w:rPr>
          <w:rFonts w:ascii="Verdana" w:hAnsi="Verdana" w:cs="Arial"/>
          <w:sz w:val="18"/>
          <w:szCs w:val="18"/>
          <w:lang w:val="nl-NL"/>
        </w:rPr>
        <w:t xml:space="preserve"> dat inkomsten die worden genoten uit de (gedeeltelijke) liquidatie van een lichaam, een liquidatieaandeel of </w:t>
      </w:r>
      <w:r w:rsidRPr="00606D22" w:rsidR="00741AFE">
        <w:rPr>
          <w:rFonts w:ascii="Verdana" w:hAnsi="Verdana" w:cs="Arial"/>
          <w:sz w:val="18"/>
          <w:szCs w:val="18"/>
          <w:lang w:val="nl-NL"/>
        </w:rPr>
        <w:t xml:space="preserve">uit </w:t>
      </w:r>
      <w:r w:rsidRPr="00606D22" w:rsidR="00500251">
        <w:rPr>
          <w:rFonts w:ascii="Verdana" w:hAnsi="Verdana" w:cs="Arial"/>
          <w:sz w:val="18"/>
          <w:szCs w:val="18"/>
          <w:lang w:val="nl-NL"/>
        </w:rPr>
        <w:t xml:space="preserve">de inkoop van aandelen voor de toepassing van het Verdrag worden aangemerkt als dividend en niet als vermogenswinst. </w:t>
      </w:r>
      <w:r w:rsidRPr="00FA4BC6" w:rsidR="00957FF0">
        <w:rPr>
          <w:rFonts w:ascii="Verdana" w:hAnsi="Verdana" w:cs="Arial"/>
          <w:sz w:val="18"/>
          <w:szCs w:val="18"/>
          <w:lang w:val="nl-NL"/>
        </w:rPr>
        <w:t xml:space="preserve">Hiermee wordt aangesloten bij het in onderdeel 2.9.5 van de NFV 2011 uiteengezette beleid. </w:t>
      </w:r>
      <w:r w:rsidRPr="00BD4E1D" w:rsidR="00C7533B">
        <w:rPr>
          <w:rFonts w:ascii="Verdana" w:hAnsi="Verdana" w:cs="Arial"/>
          <w:sz w:val="18"/>
          <w:szCs w:val="18"/>
          <w:lang w:val="nl-NL"/>
        </w:rPr>
        <w:t>Op verzoek van Bulgarije</w:t>
      </w:r>
      <w:r w:rsidRPr="00BD4E1D" w:rsidR="00500251">
        <w:rPr>
          <w:rFonts w:ascii="Verdana" w:hAnsi="Verdana" w:cs="Arial"/>
          <w:sz w:val="18"/>
          <w:szCs w:val="18"/>
          <w:lang w:val="nl-NL"/>
        </w:rPr>
        <w:t xml:space="preserve"> wordt tevens gesproken over een liquidatieaandeel</w:t>
      </w:r>
      <w:r w:rsidRPr="00BD4E1D" w:rsidR="00C7533B">
        <w:rPr>
          <w:rFonts w:ascii="Verdana" w:hAnsi="Verdana" w:cs="Arial"/>
          <w:sz w:val="18"/>
          <w:szCs w:val="18"/>
          <w:lang w:val="nl-NL"/>
        </w:rPr>
        <w:t>, waarmee aansluiting is gezocht bij Bulgaarse nationale wetgeving.</w:t>
      </w:r>
      <w:r w:rsidRPr="00BD4E1D" w:rsidR="008C113B">
        <w:rPr>
          <w:rFonts w:ascii="Verdana" w:hAnsi="Verdana" w:cs="Arial"/>
          <w:sz w:val="18"/>
          <w:szCs w:val="18"/>
          <w:lang w:val="nl-NL"/>
        </w:rPr>
        <w:t xml:space="preserve"> </w:t>
      </w:r>
    </w:p>
    <w:p w:rsidRPr="0021450B" w:rsidR="00500251" w:rsidP="00500251" w:rsidRDefault="009C1DAF" w14:paraId="01991EA9" w14:textId="77777777">
      <w:pPr>
        <w:ind w:firstLine="720"/>
        <w:rPr>
          <w:rFonts w:ascii="Verdana" w:hAnsi="Verdana" w:cs="Arial"/>
          <w:sz w:val="18"/>
          <w:szCs w:val="18"/>
          <w:lang w:val="nl-NL"/>
        </w:rPr>
      </w:pPr>
      <w:r w:rsidRPr="00E01754">
        <w:rPr>
          <w:rFonts w:ascii="Verdana" w:hAnsi="Verdana" w:cs="Arial"/>
          <w:sz w:val="18"/>
          <w:szCs w:val="18"/>
          <w:lang w:val="nl-NL"/>
        </w:rPr>
        <w:t>H</w:t>
      </w:r>
      <w:r w:rsidRPr="00E01754" w:rsidR="00500251">
        <w:rPr>
          <w:rFonts w:ascii="Verdana" w:hAnsi="Verdana" w:cs="Arial"/>
          <w:sz w:val="18"/>
          <w:szCs w:val="18"/>
          <w:lang w:val="nl-NL"/>
        </w:rPr>
        <w:t>et achtste lid bepaal</w:t>
      </w:r>
      <w:r w:rsidRPr="00E01754">
        <w:rPr>
          <w:rFonts w:ascii="Verdana" w:hAnsi="Verdana" w:cs="Arial"/>
          <w:sz w:val="18"/>
          <w:szCs w:val="18"/>
          <w:lang w:val="nl-NL"/>
        </w:rPr>
        <w:t>t</w:t>
      </w:r>
      <w:r w:rsidRPr="00E01754" w:rsidR="00500251">
        <w:rPr>
          <w:rFonts w:ascii="Verdana" w:hAnsi="Verdana" w:cs="Arial"/>
          <w:sz w:val="18"/>
          <w:szCs w:val="18"/>
          <w:lang w:val="nl-NL"/>
        </w:rPr>
        <w:t xml:space="preserve"> dat niet de bepalingen van het eerste, tweede, derde en tiende lid, maar de bepalingen van artikel 7 van toepassing zijn </w:t>
      </w:r>
      <w:r w:rsidRPr="00E01754">
        <w:rPr>
          <w:rFonts w:ascii="Verdana" w:hAnsi="Verdana" w:cs="Arial"/>
          <w:sz w:val="18"/>
          <w:szCs w:val="18"/>
          <w:lang w:val="nl-NL"/>
        </w:rPr>
        <w:t>op</w:t>
      </w:r>
      <w:r w:rsidRPr="00E01754" w:rsidR="00500251">
        <w:rPr>
          <w:rFonts w:ascii="Verdana" w:hAnsi="Verdana" w:cs="Arial"/>
          <w:sz w:val="18"/>
          <w:szCs w:val="18"/>
          <w:lang w:val="nl-NL"/>
        </w:rPr>
        <w:t xml:space="preserve"> dividenden die worden betaald op aandelen en andere belangen die behoren tot het vermogen van een vaste inrichting</w:t>
      </w:r>
      <w:r w:rsidRPr="003103E7" w:rsidR="00F46DA6">
        <w:rPr>
          <w:rFonts w:ascii="Verdana" w:hAnsi="Verdana" w:cs="Arial"/>
          <w:sz w:val="18"/>
          <w:szCs w:val="18"/>
          <w:lang w:val="nl-NL"/>
        </w:rPr>
        <w:t>,</w:t>
      </w:r>
      <w:r w:rsidRPr="003103E7" w:rsidR="00500251">
        <w:rPr>
          <w:rFonts w:ascii="Verdana" w:hAnsi="Verdana" w:cs="Arial"/>
          <w:sz w:val="18"/>
          <w:szCs w:val="18"/>
          <w:lang w:val="nl-NL"/>
        </w:rPr>
        <w:t xml:space="preserve"> </w:t>
      </w:r>
      <w:r w:rsidRPr="003103E7" w:rsidR="003A547D">
        <w:rPr>
          <w:rFonts w:ascii="Verdana" w:hAnsi="Verdana" w:cs="Arial"/>
          <w:sz w:val="18"/>
          <w:szCs w:val="18"/>
          <w:lang w:val="nl-NL"/>
        </w:rPr>
        <w:t xml:space="preserve">van </w:t>
      </w:r>
      <w:r w:rsidRPr="003103E7" w:rsidR="00500251">
        <w:rPr>
          <w:rFonts w:ascii="Verdana" w:hAnsi="Verdana" w:cs="Arial"/>
          <w:sz w:val="18"/>
          <w:szCs w:val="18"/>
          <w:lang w:val="nl-NL"/>
        </w:rPr>
        <w:t>de uiteindelijke gerechtigde tot dividenden</w:t>
      </w:r>
      <w:r w:rsidRPr="003103E7" w:rsidR="00F46DA6">
        <w:rPr>
          <w:rFonts w:ascii="Verdana" w:hAnsi="Verdana" w:cs="Arial"/>
          <w:sz w:val="18"/>
          <w:szCs w:val="18"/>
          <w:lang w:val="nl-NL"/>
        </w:rPr>
        <w:t>,</w:t>
      </w:r>
      <w:r w:rsidR="008C60B2">
        <w:rPr>
          <w:rFonts w:ascii="Verdana" w:hAnsi="Verdana" w:cs="Arial"/>
          <w:sz w:val="18"/>
          <w:szCs w:val="18"/>
          <w:lang w:val="nl-NL"/>
        </w:rPr>
        <w:t xml:space="preserve"> gelegen</w:t>
      </w:r>
      <w:r w:rsidRPr="003103E7" w:rsidR="00F46DA6">
        <w:rPr>
          <w:rFonts w:ascii="Verdana" w:hAnsi="Verdana" w:cs="Arial"/>
          <w:sz w:val="18"/>
          <w:szCs w:val="18"/>
          <w:lang w:val="nl-NL"/>
        </w:rPr>
        <w:t xml:space="preserve"> </w:t>
      </w:r>
      <w:r w:rsidRPr="003103E7" w:rsidR="00500251">
        <w:rPr>
          <w:rFonts w:ascii="Verdana" w:hAnsi="Verdana" w:cs="Arial"/>
          <w:sz w:val="18"/>
          <w:szCs w:val="18"/>
          <w:lang w:val="nl-NL"/>
        </w:rPr>
        <w:t xml:space="preserve">in de </w:t>
      </w:r>
      <w:r w:rsidR="0021450B">
        <w:rPr>
          <w:rFonts w:ascii="Verdana" w:hAnsi="Verdana" w:cs="Arial"/>
          <w:sz w:val="18"/>
          <w:szCs w:val="18"/>
          <w:lang w:val="nl-NL"/>
        </w:rPr>
        <w:t>verdragsluitende staat</w:t>
      </w:r>
      <w:r w:rsidRPr="0021450B" w:rsidR="00500251">
        <w:rPr>
          <w:rFonts w:ascii="Verdana" w:hAnsi="Verdana" w:cs="Arial"/>
          <w:sz w:val="18"/>
          <w:szCs w:val="18"/>
          <w:lang w:val="nl-NL"/>
        </w:rPr>
        <w:t xml:space="preserve"> waarvan het lichaam dat de dividenden betaalt inwoner is.</w:t>
      </w:r>
    </w:p>
    <w:p w:rsidRPr="0021450B" w:rsidR="00500251" w:rsidP="00500251" w:rsidRDefault="009C1DAF" w14:paraId="6A39DE7B" w14:textId="77777777">
      <w:pPr>
        <w:ind w:firstLine="720"/>
        <w:rPr>
          <w:rFonts w:ascii="Verdana" w:hAnsi="Verdana" w:cs="Arial"/>
          <w:sz w:val="18"/>
          <w:szCs w:val="18"/>
          <w:lang w:val="nl-NL"/>
        </w:rPr>
      </w:pPr>
      <w:r w:rsidRPr="0021450B">
        <w:rPr>
          <w:rFonts w:ascii="Verdana" w:hAnsi="Verdana" w:cs="Arial"/>
          <w:sz w:val="18"/>
          <w:szCs w:val="18"/>
          <w:lang w:val="nl-NL"/>
        </w:rPr>
        <w:t>H</w:t>
      </w:r>
      <w:r w:rsidRPr="0021450B" w:rsidR="00500251">
        <w:rPr>
          <w:rFonts w:ascii="Verdana" w:hAnsi="Verdana" w:cs="Arial"/>
          <w:sz w:val="18"/>
          <w:szCs w:val="18"/>
          <w:lang w:val="nl-NL"/>
        </w:rPr>
        <w:t xml:space="preserve">et negende lid </w:t>
      </w:r>
      <w:r w:rsidRPr="0021450B">
        <w:rPr>
          <w:rFonts w:ascii="Verdana" w:hAnsi="Verdana" w:cs="Arial"/>
          <w:sz w:val="18"/>
          <w:szCs w:val="18"/>
          <w:lang w:val="nl-NL"/>
        </w:rPr>
        <w:t>bevat</w:t>
      </w:r>
      <w:r w:rsidRPr="0021450B" w:rsidR="00500251">
        <w:rPr>
          <w:rFonts w:ascii="Verdana" w:hAnsi="Verdana" w:cs="Arial"/>
          <w:sz w:val="18"/>
          <w:szCs w:val="18"/>
          <w:lang w:val="nl-NL"/>
        </w:rPr>
        <w:t xml:space="preserve"> het verbod op extraterritoriale belastingheffing. Dit verbod houdt in dat een </w:t>
      </w:r>
      <w:r w:rsidR="0021450B">
        <w:rPr>
          <w:rFonts w:ascii="Verdana" w:hAnsi="Verdana" w:cs="Arial"/>
          <w:sz w:val="18"/>
          <w:szCs w:val="18"/>
          <w:lang w:val="nl-NL"/>
        </w:rPr>
        <w:t>verdragsluitende staat</w:t>
      </w:r>
      <w:r w:rsidRPr="0021450B" w:rsidR="00500251">
        <w:rPr>
          <w:rFonts w:ascii="Verdana" w:hAnsi="Verdana" w:cs="Arial"/>
          <w:sz w:val="18"/>
          <w:szCs w:val="18"/>
          <w:lang w:val="nl-NL"/>
        </w:rPr>
        <w:t xml:space="preserve"> geen belasting mag heffen over winsten uitgekeerd door een in de andere </w:t>
      </w:r>
      <w:r w:rsidR="003103E7">
        <w:rPr>
          <w:rFonts w:ascii="Verdana" w:hAnsi="Verdana" w:cs="Arial"/>
          <w:sz w:val="18"/>
          <w:szCs w:val="18"/>
          <w:lang w:val="nl-NL"/>
        </w:rPr>
        <w:t>staat</w:t>
      </w:r>
      <w:r w:rsidRPr="0021450B" w:rsidR="00500251">
        <w:rPr>
          <w:rFonts w:ascii="Verdana" w:hAnsi="Verdana" w:cs="Arial"/>
          <w:sz w:val="18"/>
          <w:szCs w:val="18"/>
          <w:lang w:val="nl-NL"/>
        </w:rPr>
        <w:t xml:space="preserve"> gevestigd lichaam, ook al bestaan deze winsten uit voordelen of inkomsten die uit de eerstbedoelde </w:t>
      </w:r>
      <w:r w:rsidR="003103E7">
        <w:rPr>
          <w:rFonts w:ascii="Verdana" w:hAnsi="Verdana" w:cs="Arial"/>
          <w:sz w:val="18"/>
          <w:szCs w:val="18"/>
          <w:lang w:val="nl-NL"/>
        </w:rPr>
        <w:t>staat</w:t>
      </w:r>
      <w:r w:rsidRPr="0021450B" w:rsidR="00500251">
        <w:rPr>
          <w:rFonts w:ascii="Verdana" w:hAnsi="Verdana" w:cs="Arial"/>
          <w:sz w:val="18"/>
          <w:szCs w:val="18"/>
          <w:lang w:val="nl-NL"/>
        </w:rPr>
        <w:t xml:space="preserve"> afkomstig zijn, behoudens als die dividenden zijn toe te rekenen aan een vaste inrichting in die </w:t>
      </w:r>
      <w:r w:rsidR="003103E7">
        <w:rPr>
          <w:rFonts w:ascii="Verdana" w:hAnsi="Verdana" w:cs="Arial"/>
          <w:sz w:val="18"/>
          <w:szCs w:val="18"/>
          <w:lang w:val="nl-NL"/>
        </w:rPr>
        <w:t>staat</w:t>
      </w:r>
      <w:r w:rsidRPr="0021450B" w:rsidR="00500251">
        <w:rPr>
          <w:rFonts w:ascii="Verdana" w:hAnsi="Verdana" w:cs="Arial"/>
          <w:sz w:val="18"/>
          <w:szCs w:val="18"/>
          <w:lang w:val="nl-NL"/>
        </w:rPr>
        <w:t xml:space="preserve"> of worden ontvangen door inwoners van die </w:t>
      </w:r>
      <w:r w:rsidR="003103E7">
        <w:rPr>
          <w:rFonts w:ascii="Verdana" w:hAnsi="Verdana" w:cs="Arial"/>
          <w:sz w:val="18"/>
          <w:szCs w:val="18"/>
          <w:lang w:val="nl-NL"/>
        </w:rPr>
        <w:t>staat</w:t>
      </w:r>
      <w:r w:rsidRPr="0021450B" w:rsidR="00500251">
        <w:rPr>
          <w:rFonts w:ascii="Verdana" w:hAnsi="Verdana" w:cs="Arial"/>
          <w:sz w:val="18"/>
          <w:szCs w:val="18"/>
          <w:lang w:val="nl-NL"/>
        </w:rPr>
        <w:t xml:space="preserve">. </w:t>
      </w:r>
    </w:p>
    <w:p w:rsidRPr="00CB4452" w:rsidR="00500251" w:rsidP="00500251" w:rsidRDefault="009C1DAF" w14:paraId="49191184" w14:textId="5C57EAB4">
      <w:pPr>
        <w:rPr>
          <w:rFonts w:ascii="Verdana" w:hAnsi="Verdana"/>
          <w:sz w:val="18"/>
          <w:szCs w:val="18"/>
          <w:lang w:val="nl-NL"/>
        </w:rPr>
      </w:pPr>
      <w:r w:rsidRPr="0021450B">
        <w:rPr>
          <w:rFonts w:ascii="Verdana" w:hAnsi="Verdana"/>
          <w:sz w:val="18"/>
          <w:szCs w:val="18"/>
          <w:lang w:val="nl-NL"/>
        </w:rPr>
        <w:t>H</w:t>
      </w:r>
      <w:r w:rsidRPr="0021450B" w:rsidR="00500251">
        <w:rPr>
          <w:rFonts w:ascii="Verdana" w:hAnsi="Verdana"/>
          <w:sz w:val="18"/>
          <w:szCs w:val="18"/>
          <w:lang w:val="nl-NL"/>
        </w:rPr>
        <w:t xml:space="preserve">et tiende lid </w:t>
      </w:r>
      <w:r w:rsidRPr="0021450B">
        <w:rPr>
          <w:rFonts w:ascii="Verdana" w:hAnsi="Verdana"/>
          <w:sz w:val="18"/>
          <w:szCs w:val="18"/>
          <w:lang w:val="nl-NL"/>
        </w:rPr>
        <w:t xml:space="preserve">bevat </w:t>
      </w:r>
      <w:r w:rsidRPr="0021450B" w:rsidR="00500251">
        <w:rPr>
          <w:rFonts w:ascii="Verdana" w:hAnsi="Verdana"/>
          <w:sz w:val="18"/>
          <w:szCs w:val="18"/>
          <w:lang w:val="nl-NL"/>
        </w:rPr>
        <w:t xml:space="preserve">op verzoek van Nederland een bepaling voor dividenden ontvangen door </w:t>
      </w:r>
      <w:r w:rsidRPr="00BA2B89" w:rsidR="004D548D">
        <w:rPr>
          <w:rFonts w:ascii="Verdana" w:hAnsi="Verdana"/>
          <w:sz w:val="18"/>
          <w:szCs w:val="18"/>
          <w:lang w:val="nl-NL"/>
        </w:rPr>
        <w:t xml:space="preserve">geëmigreerde </w:t>
      </w:r>
      <w:r w:rsidRPr="00BA2B89" w:rsidR="00500251">
        <w:rPr>
          <w:rFonts w:ascii="Verdana" w:hAnsi="Verdana"/>
          <w:sz w:val="18"/>
          <w:szCs w:val="18"/>
          <w:lang w:val="nl-NL"/>
        </w:rPr>
        <w:t>aanmerkelijkbelanghouders. Conform het Nederlandse verdragsbeleid, zo</w:t>
      </w:r>
      <w:r w:rsidRPr="00A4089F" w:rsidR="00500251">
        <w:rPr>
          <w:rFonts w:ascii="Verdana" w:hAnsi="Verdana"/>
          <w:sz w:val="18"/>
          <w:szCs w:val="18"/>
          <w:lang w:val="nl-NL"/>
        </w:rPr>
        <w:t xml:space="preserve">als toegelicht in onderdeel 2.9.3 en 2.9.4 van de NFV 2011, </w:t>
      </w:r>
      <w:r w:rsidRPr="006C1373" w:rsidR="00A211DA">
        <w:rPr>
          <w:rFonts w:ascii="Verdana" w:hAnsi="Verdana"/>
          <w:sz w:val="18"/>
          <w:szCs w:val="18"/>
          <w:lang w:val="nl-NL"/>
        </w:rPr>
        <w:t xml:space="preserve">streeft Nederland naar </w:t>
      </w:r>
      <w:r w:rsidR="00D11CDE">
        <w:rPr>
          <w:rFonts w:ascii="Verdana" w:hAnsi="Verdana"/>
          <w:sz w:val="18"/>
          <w:szCs w:val="18"/>
          <w:lang w:val="nl-NL"/>
        </w:rPr>
        <w:t xml:space="preserve">opname van </w:t>
      </w:r>
      <w:r w:rsidRPr="006C1373" w:rsidR="00A211DA">
        <w:rPr>
          <w:rFonts w:ascii="Verdana" w:hAnsi="Verdana"/>
          <w:sz w:val="18"/>
          <w:szCs w:val="18"/>
          <w:lang w:val="nl-NL"/>
        </w:rPr>
        <w:t>verdragsbepalingen</w:t>
      </w:r>
      <w:r w:rsidRPr="006C1373" w:rsidR="00433A53">
        <w:rPr>
          <w:rFonts w:ascii="Verdana" w:hAnsi="Verdana"/>
          <w:sz w:val="18"/>
          <w:szCs w:val="18"/>
          <w:lang w:val="nl-NL"/>
        </w:rPr>
        <w:t xml:space="preserve"> </w:t>
      </w:r>
      <w:r w:rsidRPr="00DD3563" w:rsidR="00E4633F">
        <w:rPr>
          <w:rFonts w:ascii="Verdana" w:hAnsi="Verdana"/>
          <w:sz w:val="18"/>
          <w:szCs w:val="18"/>
          <w:lang w:val="nl-NL"/>
        </w:rPr>
        <w:t xml:space="preserve">die betrekking hebben op </w:t>
      </w:r>
      <w:r w:rsidRPr="00DD3563" w:rsidR="00433A53">
        <w:rPr>
          <w:rFonts w:ascii="Verdana" w:hAnsi="Verdana"/>
          <w:sz w:val="18"/>
          <w:szCs w:val="18"/>
          <w:lang w:val="nl-NL"/>
        </w:rPr>
        <w:t xml:space="preserve">de </w:t>
      </w:r>
      <w:r w:rsidRPr="00DD3563" w:rsidR="00E4633F">
        <w:rPr>
          <w:rFonts w:ascii="Verdana" w:hAnsi="Verdana"/>
          <w:sz w:val="18"/>
          <w:szCs w:val="18"/>
          <w:lang w:val="nl-NL"/>
        </w:rPr>
        <w:t xml:space="preserve">Nederlandse </w:t>
      </w:r>
      <w:r w:rsidRPr="00DD3563" w:rsidR="00433A53">
        <w:rPr>
          <w:rFonts w:ascii="Verdana" w:hAnsi="Verdana"/>
          <w:sz w:val="18"/>
          <w:szCs w:val="18"/>
          <w:lang w:val="nl-NL"/>
        </w:rPr>
        <w:t xml:space="preserve">belastingclaim over de waardeaangroei die is ontstaan in de periode dat </w:t>
      </w:r>
      <w:r w:rsidRPr="00DD3563" w:rsidR="00A211DA">
        <w:rPr>
          <w:rFonts w:ascii="Verdana" w:hAnsi="Verdana"/>
          <w:sz w:val="18"/>
          <w:szCs w:val="18"/>
          <w:lang w:val="nl-NL"/>
        </w:rPr>
        <w:t>een geëmigreerde</w:t>
      </w:r>
      <w:r w:rsidRPr="00DD3563" w:rsidR="00433A53">
        <w:rPr>
          <w:rFonts w:ascii="Verdana" w:hAnsi="Verdana"/>
          <w:sz w:val="18"/>
          <w:szCs w:val="18"/>
          <w:lang w:val="nl-NL"/>
        </w:rPr>
        <w:t xml:space="preserve"> aanmerkelijkbelanghouder </w:t>
      </w:r>
      <w:r w:rsidRPr="003F7CD6" w:rsidR="00433A53">
        <w:rPr>
          <w:rFonts w:ascii="Verdana" w:hAnsi="Verdana"/>
          <w:sz w:val="18"/>
          <w:szCs w:val="18"/>
          <w:lang w:val="nl-NL"/>
        </w:rPr>
        <w:t xml:space="preserve">inwoner was van Nederland. </w:t>
      </w:r>
      <w:r w:rsidR="00206DF2">
        <w:rPr>
          <w:rFonts w:ascii="Verdana" w:hAnsi="Verdana"/>
          <w:sz w:val="18"/>
          <w:szCs w:val="18"/>
          <w:lang w:val="nl-NL"/>
        </w:rPr>
        <w:t xml:space="preserve">Volgens dit, wederzijds geredigeerde, </w:t>
      </w:r>
      <w:r w:rsidRPr="00606D22" w:rsidR="00433A53">
        <w:rPr>
          <w:rFonts w:ascii="Verdana" w:hAnsi="Verdana"/>
          <w:sz w:val="18"/>
          <w:szCs w:val="18"/>
          <w:lang w:val="nl-NL"/>
        </w:rPr>
        <w:t xml:space="preserve">tiende lid </w:t>
      </w:r>
      <w:r w:rsidR="00206DF2">
        <w:rPr>
          <w:rFonts w:ascii="Verdana" w:hAnsi="Verdana"/>
          <w:sz w:val="18"/>
          <w:szCs w:val="18"/>
          <w:lang w:val="nl-NL"/>
        </w:rPr>
        <w:t xml:space="preserve">mag een verdragsluitende staat van waaruit een natuurlijke persoon is geëmigreerd </w:t>
      </w:r>
      <w:r w:rsidRPr="00BD4E1D" w:rsidR="00E4633F">
        <w:rPr>
          <w:rFonts w:ascii="Verdana" w:hAnsi="Verdana"/>
          <w:sz w:val="18"/>
          <w:szCs w:val="18"/>
          <w:lang w:val="nl-NL"/>
        </w:rPr>
        <w:t>belasting heffen</w:t>
      </w:r>
      <w:r w:rsidR="00206DF2">
        <w:rPr>
          <w:rFonts w:ascii="Verdana" w:hAnsi="Verdana"/>
          <w:sz w:val="18"/>
          <w:szCs w:val="18"/>
          <w:lang w:val="nl-NL"/>
        </w:rPr>
        <w:t xml:space="preserve"> over dividenden die worden betaald door lichamen die volgens de nationale wetgeving inwoner zijn van die staat, indien die natuurlijke persoon bij die emigratie in de belastingheffing is betrokken ter zake van de hiervoor bedoelde waardeaangroei en voor zover een daarbij vastgestelde aanslag nog openstaat.</w:t>
      </w:r>
      <w:r w:rsidRPr="00BD4E1D" w:rsidR="00E4633F">
        <w:rPr>
          <w:rFonts w:ascii="Verdana" w:hAnsi="Verdana"/>
          <w:sz w:val="18"/>
          <w:szCs w:val="18"/>
          <w:lang w:val="nl-NL"/>
        </w:rPr>
        <w:t xml:space="preserve"> </w:t>
      </w:r>
    </w:p>
    <w:p w:rsidRPr="00CB4452" w:rsidR="00897566" w:rsidP="00897566" w:rsidRDefault="00897566" w14:paraId="61C1CB6B" w14:textId="77777777">
      <w:pPr>
        <w:rPr>
          <w:rFonts w:ascii="Verdana" w:hAnsi="Verdana"/>
          <w:sz w:val="18"/>
          <w:szCs w:val="18"/>
          <w:lang w:val="nl-NL"/>
        </w:rPr>
      </w:pPr>
      <w:r w:rsidRPr="00CB4452">
        <w:rPr>
          <w:rFonts w:ascii="Verdana" w:hAnsi="Verdana" w:cs="Arial"/>
          <w:sz w:val="18"/>
          <w:szCs w:val="18"/>
          <w:lang w:val="nl-NL"/>
        </w:rPr>
        <w:t>Voor de toelichting op de artikelen II en VI van het Protocol wordt verwezen naar de toelichting op respectievelijk artikel 1 en artikel 6.</w:t>
      </w:r>
    </w:p>
    <w:p w:rsidRPr="00CB4452" w:rsidR="00500251" w:rsidP="00500251" w:rsidRDefault="00500251" w14:paraId="62A5B93C" w14:textId="77777777">
      <w:pPr>
        <w:rPr>
          <w:rFonts w:ascii="Verdana" w:hAnsi="Verdana"/>
          <w:sz w:val="18"/>
          <w:szCs w:val="18"/>
          <w:highlight w:val="yellow"/>
          <w:lang w:val="nl-NL"/>
        </w:rPr>
      </w:pPr>
    </w:p>
    <w:p w:rsidRPr="00916448" w:rsidR="00A211DA" w:rsidP="00A211DA" w:rsidRDefault="00500251" w14:paraId="0AC02C2F" w14:textId="77777777">
      <w:pPr>
        <w:ind w:firstLine="0"/>
        <w:rPr>
          <w:rFonts w:ascii="Verdana" w:hAnsi="Verdana"/>
          <w:i/>
          <w:sz w:val="18"/>
          <w:szCs w:val="18"/>
          <w:lang w:val="nl-NL"/>
        </w:rPr>
      </w:pPr>
      <w:r w:rsidRPr="00CB4452">
        <w:rPr>
          <w:rFonts w:ascii="Verdana" w:hAnsi="Verdana"/>
          <w:i/>
          <w:sz w:val="18"/>
          <w:szCs w:val="18"/>
          <w:lang w:val="nl-NL"/>
        </w:rPr>
        <w:t xml:space="preserve">II.11. Interest (artikel 11 </w:t>
      </w:r>
      <w:r w:rsidRPr="00916448" w:rsidR="00916448">
        <w:rPr>
          <w:rFonts w:ascii="Verdana" w:hAnsi="Verdana"/>
          <w:i/>
          <w:sz w:val="18"/>
          <w:szCs w:val="18"/>
          <w:lang w:val="nl-NL"/>
        </w:rPr>
        <w:t xml:space="preserve">van het Verdrag </w:t>
      </w:r>
      <w:r w:rsidRPr="00916448">
        <w:rPr>
          <w:rFonts w:ascii="Verdana" w:hAnsi="Verdana"/>
          <w:i/>
          <w:sz w:val="18"/>
          <w:szCs w:val="18"/>
          <w:lang w:val="nl-NL"/>
        </w:rPr>
        <w:t>en artikel</w:t>
      </w:r>
      <w:r w:rsidRPr="00916448" w:rsidR="00897566">
        <w:rPr>
          <w:rFonts w:ascii="Verdana" w:hAnsi="Verdana"/>
          <w:i/>
          <w:sz w:val="18"/>
          <w:szCs w:val="18"/>
          <w:lang w:val="nl-NL"/>
        </w:rPr>
        <w:t>en</w:t>
      </w:r>
      <w:r w:rsidRPr="00916448">
        <w:rPr>
          <w:rFonts w:ascii="Verdana" w:hAnsi="Verdana"/>
          <w:i/>
          <w:sz w:val="18"/>
          <w:szCs w:val="18"/>
          <w:lang w:val="nl-NL"/>
        </w:rPr>
        <w:t xml:space="preserve"> </w:t>
      </w:r>
      <w:r w:rsidRPr="00916448" w:rsidR="00897566">
        <w:rPr>
          <w:rFonts w:ascii="Verdana" w:hAnsi="Verdana"/>
          <w:i/>
          <w:sz w:val="18"/>
          <w:szCs w:val="18"/>
          <w:lang w:val="nl-NL"/>
        </w:rPr>
        <w:t xml:space="preserve">II en </w:t>
      </w:r>
      <w:r w:rsidRPr="00916448">
        <w:rPr>
          <w:rFonts w:ascii="Verdana" w:hAnsi="Verdana"/>
          <w:i/>
          <w:sz w:val="18"/>
          <w:szCs w:val="18"/>
          <w:lang w:val="nl-NL"/>
        </w:rPr>
        <w:t>VI</w:t>
      </w:r>
      <w:r w:rsidRPr="00916448" w:rsidR="00916448">
        <w:rPr>
          <w:rFonts w:ascii="Verdana" w:hAnsi="Verdana"/>
          <w:i/>
          <w:sz w:val="18"/>
          <w:szCs w:val="18"/>
          <w:lang w:val="nl-NL"/>
        </w:rPr>
        <w:t xml:space="preserve"> </w:t>
      </w:r>
      <w:r w:rsidR="00916448">
        <w:rPr>
          <w:rFonts w:ascii="Verdana" w:hAnsi="Verdana"/>
          <w:i/>
          <w:sz w:val="18"/>
          <w:szCs w:val="18"/>
          <w:lang w:val="nl-NL"/>
        </w:rPr>
        <w:t xml:space="preserve">van het </w:t>
      </w:r>
      <w:r w:rsidRPr="00916448" w:rsidR="00916448">
        <w:rPr>
          <w:rFonts w:ascii="Verdana" w:hAnsi="Verdana"/>
          <w:i/>
          <w:sz w:val="18"/>
          <w:szCs w:val="18"/>
          <w:lang w:val="nl-NL"/>
        </w:rPr>
        <w:t>Protocol</w:t>
      </w:r>
      <w:r w:rsidRPr="00916448">
        <w:rPr>
          <w:rFonts w:ascii="Verdana" w:hAnsi="Verdana"/>
          <w:i/>
          <w:sz w:val="18"/>
          <w:szCs w:val="18"/>
          <w:lang w:val="nl-NL"/>
        </w:rPr>
        <w:t>)</w:t>
      </w:r>
    </w:p>
    <w:p w:rsidRPr="00916448" w:rsidR="00A211DA" w:rsidP="00A65EB7" w:rsidRDefault="00A211DA" w14:paraId="096BC472" w14:textId="77777777">
      <w:pPr>
        <w:ind w:firstLine="720"/>
        <w:rPr>
          <w:rFonts w:ascii="Verdana" w:hAnsi="Verdana" w:cs="Arial"/>
          <w:sz w:val="18"/>
          <w:szCs w:val="18"/>
          <w:lang w:val="nl-NL"/>
        </w:rPr>
      </w:pPr>
    </w:p>
    <w:p w:rsidRPr="0021450B" w:rsidR="00A65EB7" w:rsidP="00A65EB7" w:rsidRDefault="00500251" w14:paraId="065BF3D4" w14:textId="0596FAF6">
      <w:pPr>
        <w:ind w:firstLine="720"/>
        <w:rPr>
          <w:rFonts w:ascii="Verdana" w:hAnsi="Verdana" w:cs="Arial"/>
          <w:sz w:val="18"/>
          <w:szCs w:val="18"/>
          <w:lang w:val="nl-NL"/>
        </w:rPr>
      </w:pPr>
      <w:r w:rsidRPr="00916448">
        <w:rPr>
          <w:rFonts w:ascii="Verdana" w:hAnsi="Verdana" w:cs="Arial"/>
          <w:sz w:val="18"/>
          <w:szCs w:val="18"/>
          <w:lang w:val="nl-NL"/>
        </w:rPr>
        <w:t xml:space="preserve">Artikel 11 betreft de verdeling van heffingsrechten over interest. </w:t>
      </w:r>
      <w:r w:rsidRPr="00916448" w:rsidR="00A65EB7">
        <w:rPr>
          <w:rFonts w:ascii="Verdana" w:hAnsi="Verdana" w:cs="Arial"/>
          <w:sz w:val="18"/>
          <w:szCs w:val="18"/>
          <w:lang w:val="nl-NL"/>
        </w:rPr>
        <w:t>Deze bepaling is gebaseerd op artikel 1</w:t>
      </w:r>
      <w:r w:rsidRPr="00780A5E" w:rsidR="00C459E6">
        <w:rPr>
          <w:rFonts w:ascii="Verdana" w:hAnsi="Verdana" w:cs="Arial"/>
          <w:sz w:val="18"/>
          <w:szCs w:val="18"/>
          <w:lang w:val="nl-NL"/>
        </w:rPr>
        <w:t>1</w:t>
      </w:r>
      <w:r w:rsidRPr="00780A5E" w:rsidR="00A65EB7">
        <w:rPr>
          <w:rFonts w:ascii="Verdana" w:hAnsi="Verdana" w:cs="Arial"/>
          <w:sz w:val="18"/>
          <w:szCs w:val="18"/>
          <w:lang w:val="nl-NL"/>
        </w:rPr>
        <w:t xml:space="preserve"> van het OESO-modelverdrag</w:t>
      </w:r>
      <w:r w:rsidRPr="00780A5E" w:rsidR="00C459E6">
        <w:rPr>
          <w:rFonts w:ascii="Verdana" w:hAnsi="Verdana" w:cs="Arial"/>
          <w:sz w:val="18"/>
          <w:szCs w:val="18"/>
          <w:lang w:val="nl-NL"/>
        </w:rPr>
        <w:t xml:space="preserve"> en bevat (anders dan het Verdrag </w:t>
      </w:r>
      <w:r w:rsidRPr="00780A5E" w:rsidR="00556990">
        <w:rPr>
          <w:rFonts w:ascii="Verdana" w:hAnsi="Verdana" w:cs="Arial"/>
          <w:sz w:val="18"/>
          <w:szCs w:val="18"/>
          <w:lang w:val="nl-NL"/>
        </w:rPr>
        <w:t xml:space="preserve">van </w:t>
      </w:r>
      <w:r w:rsidRPr="00780A5E" w:rsidR="00C459E6">
        <w:rPr>
          <w:rFonts w:ascii="Verdana" w:hAnsi="Verdana" w:cs="Arial"/>
          <w:sz w:val="18"/>
          <w:szCs w:val="18"/>
          <w:lang w:val="nl-NL"/>
        </w:rPr>
        <w:t xml:space="preserve">1990) een beperkt heffingsrecht voor </w:t>
      </w:r>
      <w:r w:rsidRPr="0021450B" w:rsidR="009B3AF4">
        <w:rPr>
          <w:rFonts w:ascii="Verdana" w:hAnsi="Verdana" w:cs="Arial"/>
          <w:sz w:val="18"/>
          <w:szCs w:val="18"/>
          <w:lang w:val="nl-NL"/>
        </w:rPr>
        <w:t xml:space="preserve">de </w:t>
      </w:r>
      <w:r w:rsidR="009B3AF4">
        <w:rPr>
          <w:rFonts w:ascii="Verdana" w:hAnsi="Verdana" w:cs="Arial"/>
          <w:sz w:val="18"/>
          <w:szCs w:val="18"/>
          <w:lang w:val="nl-NL"/>
        </w:rPr>
        <w:t>verdragsluitende staat</w:t>
      </w:r>
      <w:r w:rsidRPr="00780A5E" w:rsidDel="009B3AF4" w:rsidR="009B3AF4">
        <w:rPr>
          <w:rFonts w:ascii="Verdana" w:hAnsi="Verdana" w:cs="Arial"/>
          <w:sz w:val="18"/>
          <w:szCs w:val="18"/>
          <w:lang w:val="nl-NL"/>
        </w:rPr>
        <w:t xml:space="preserve"> </w:t>
      </w:r>
      <w:r w:rsidRPr="00780A5E" w:rsidR="00C459E6">
        <w:rPr>
          <w:rFonts w:ascii="Verdana" w:hAnsi="Verdana" w:cs="Arial"/>
          <w:sz w:val="18"/>
          <w:szCs w:val="18"/>
          <w:lang w:val="nl-NL"/>
        </w:rPr>
        <w:t>waaruit betaalde interest afkomstig is (bron</w:t>
      </w:r>
      <w:r w:rsidRPr="0021450B" w:rsidR="00E34226">
        <w:rPr>
          <w:rFonts w:ascii="Verdana" w:hAnsi="Verdana" w:cs="Arial"/>
          <w:sz w:val="18"/>
          <w:szCs w:val="18"/>
          <w:lang w:val="nl-NL"/>
        </w:rPr>
        <w:t>staat</w:t>
      </w:r>
      <w:r w:rsidRPr="0021450B" w:rsidR="00C459E6">
        <w:rPr>
          <w:rFonts w:ascii="Verdana" w:hAnsi="Verdana" w:cs="Arial"/>
          <w:sz w:val="18"/>
          <w:szCs w:val="18"/>
          <w:lang w:val="nl-NL"/>
        </w:rPr>
        <w:t xml:space="preserve">). </w:t>
      </w:r>
      <w:r w:rsidRPr="0021450B" w:rsidR="00EE4DAD">
        <w:rPr>
          <w:rFonts w:ascii="Verdana" w:hAnsi="Verdana" w:cs="Arial"/>
          <w:sz w:val="18"/>
          <w:szCs w:val="18"/>
          <w:lang w:val="nl-NL"/>
        </w:rPr>
        <w:t>V</w:t>
      </w:r>
      <w:r w:rsidRPr="0021450B" w:rsidR="00B1162E">
        <w:rPr>
          <w:rFonts w:ascii="Verdana" w:hAnsi="Verdana" w:cs="Arial"/>
          <w:sz w:val="18"/>
          <w:szCs w:val="18"/>
          <w:lang w:val="nl-NL"/>
        </w:rPr>
        <w:t xml:space="preserve">oor </w:t>
      </w:r>
      <w:r w:rsidRPr="0021450B" w:rsidR="00583E00">
        <w:rPr>
          <w:rFonts w:ascii="Verdana" w:hAnsi="Verdana" w:cs="Arial"/>
          <w:sz w:val="18"/>
          <w:szCs w:val="18"/>
          <w:lang w:val="nl-NL"/>
        </w:rPr>
        <w:t>een aantal</w:t>
      </w:r>
      <w:r w:rsidRPr="0021450B" w:rsidR="00B1162E">
        <w:rPr>
          <w:rFonts w:ascii="Verdana" w:hAnsi="Verdana" w:cs="Arial"/>
          <w:sz w:val="18"/>
          <w:szCs w:val="18"/>
          <w:lang w:val="nl-NL"/>
        </w:rPr>
        <w:t xml:space="preserve"> in het derde lid omschreven situaties is </w:t>
      </w:r>
      <w:r w:rsidRPr="0021450B" w:rsidR="00EE4DAD">
        <w:rPr>
          <w:rFonts w:ascii="Verdana" w:hAnsi="Verdana" w:cs="Arial"/>
          <w:sz w:val="18"/>
          <w:szCs w:val="18"/>
          <w:lang w:val="nl-NL"/>
        </w:rPr>
        <w:t xml:space="preserve">echter </w:t>
      </w:r>
      <w:r w:rsidRPr="0021450B" w:rsidR="00B1162E">
        <w:rPr>
          <w:rFonts w:ascii="Verdana" w:hAnsi="Verdana" w:cs="Arial"/>
          <w:sz w:val="18"/>
          <w:szCs w:val="18"/>
          <w:lang w:val="nl-NL"/>
        </w:rPr>
        <w:t>een uitsluitende woonstaatheffing overeengekomen.</w:t>
      </w:r>
      <w:r w:rsidRPr="0021450B" w:rsidR="00A65EB7">
        <w:rPr>
          <w:rFonts w:ascii="Verdana" w:hAnsi="Verdana" w:cs="Arial"/>
          <w:sz w:val="18"/>
          <w:szCs w:val="18"/>
          <w:lang w:val="nl-NL"/>
        </w:rPr>
        <w:t xml:space="preserve"> </w:t>
      </w:r>
    </w:p>
    <w:p w:rsidRPr="0021450B" w:rsidR="00365D44" w:rsidP="00500251" w:rsidRDefault="00500251" w14:paraId="10A5B827" w14:textId="77777777">
      <w:pPr>
        <w:ind w:firstLine="720"/>
        <w:rPr>
          <w:rFonts w:ascii="Verdana" w:hAnsi="Verdana" w:cs="Arial"/>
          <w:sz w:val="18"/>
          <w:szCs w:val="18"/>
          <w:lang w:val="nl-NL"/>
        </w:rPr>
      </w:pPr>
      <w:r w:rsidRPr="0021450B">
        <w:rPr>
          <w:rFonts w:ascii="Verdana" w:hAnsi="Verdana" w:cs="Arial"/>
          <w:sz w:val="18"/>
          <w:szCs w:val="18"/>
          <w:lang w:val="nl-NL"/>
        </w:rPr>
        <w:t>Ingevolge</w:t>
      </w:r>
      <w:r w:rsidRPr="0021450B" w:rsidR="00A211DA">
        <w:rPr>
          <w:rFonts w:ascii="Verdana" w:hAnsi="Verdana" w:cs="Arial"/>
          <w:sz w:val="18"/>
          <w:szCs w:val="18"/>
          <w:lang w:val="nl-NL"/>
        </w:rPr>
        <w:t xml:space="preserve"> het eerste lid mag interest dat</w:t>
      </w:r>
      <w:r w:rsidRPr="0021450B">
        <w:rPr>
          <w:rFonts w:ascii="Verdana" w:hAnsi="Verdana" w:cs="Arial"/>
          <w:sz w:val="18"/>
          <w:szCs w:val="18"/>
          <w:lang w:val="nl-NL"/>
        </w:rPr>
        <w:t xml:space="preserve"> opkomt in één van beide </w:t>
      </w:r>
      <w:r w:rsidR="0021450B">
        <w:rPr>
          <w:rFonts w:ascii="Verdana" w:hAnsi="Verdana" w:cs="Arial"/>
          <w:sz w:val="18"/>
          <w:szCs w:val="18"/>
          <w:lang w:val="nl-NL"/>
        </w:rPr>
        <w:t>verdragsluitende staten</w:t>
      </w:r>
      <w:r w:rsidRPr="0021450B" w:rsidR="0006094E">
        <w:rPr>
          <w:rFonts w:ascii="Verdana" w:hAnsi="Verdana" w:cs="Arial"/>
          <w:sz w:val="18"/>
          <w:szCs w:val="18"/>
          <w:lang w:val="nl-NL"/>
        </w:rPr>
        <w:t xml:space="preserve"> </w:t>
      </w:r>
      <w:r w:rsidRPr="0021450B">
        <w:rPr>
          <w:rFonts w:ascii="Verdana" w:hAnsi="Verdana" w:cs="Arial"/>
          <w:sz w:val="18"/>
          <w:szCs w:val="18"/>
          <w:lang w:val="nl-NL"/>
        </w:rPr>
        <w:t xml:space="preserve">en wordt betaald aan een inwoner van de andere </w:t>
      </w:r>
      <w:r w:rsidR="009B3AF4">
        <w:rPr>
          <w:rFonts w:ascii="Verdana" w:hAnsi="Verdana" w:cs="Arial"/>
          <w:sz w:val="18"/>
          <w:szCs w:val="18"/>
          <w:lang w:val="nl-NL"/>
        </w:rPr>
        <w:t xml:space="preserve">verdragsluitende </w:t>
      </w:r>
      <w:r w:rsidR="003103E7">
        <w:rPr>
          <w:rFonts w:ascii="Verdana" w:hAnsi="Verdana" w:cs="Arial"/>
          <w:sz w:val="18"/>
          <w:szCs w:val="18"/>
          <w:lang w:val="nl-NL"/>
        </w:rPr>
        <w:t>staat</w:t>
      </w:r>
      <w:r w:rsidRPr="0021450B">
        <w:rPr>
          <w:rFonts w:ascii="Verdana" w:hAnsi="Verdana" w:cs="Arial"/>
          <w:sz w:val="18"/>
          <w:szCs w:val="18"/>
          <w:lang w:val="nl-NL"/>
        </w:rPr>
        <w:t xml:space="preserve">, in die andere </w:t>
      </w:r>
      <w:r w:rsidR="003103E7">
        <w:rPr>
          <w:rFonts w:ascii="Verdana" w:hAnsi="Verdana" w:cs="Arial"/>
          <w:sz w:val="18"/>
          <w:szCs w:val="18"/>
          <w:lang w:val="nl-NL"/>
        </w:rPr>
        <w:t>staat</w:t>
      </w:r>
      <w:r w:rsidRPr="0021450B">
        <w:rPr>
          <w:rFonts w:ascii="Verdana" w:hAnsi="Verdana" w:cs="Arial"/>
          <w:sz w:val="18"/>
          <w:szCs w:val="18"/>
          <w:lang w:val="nl-NL"/>
        </w:rPr>
        <w:t xml:space="preserve"> worden belast. </w:t>
      </w:r>
    </w:p>
    <w:p w:rsidRPr="00556990" w:rsidR="00C96DC6" w:rsidP="00500251" w:rsidRDefault="00500251" w14:paraId="4096631F" w14:textId="6341C82E">
      <w:pPr>
        <w:ind w:firstLine="720"/>
        <w:rPr>
          <w:rFonts w:ascii="Verdana" w:hAnsi="Verdana" w:cs="Arial"/>
          <w:sz w:val="18"/>
          <w:szCs w:val="18"/>
          <w:lang w:val="nl-NL"/>
        </w:rPr>
      </w:pPr>
      <w:r w:rsidRPr="0021450B">
        <w:rPr>
          <w:rFonts w:ascii="Verdana" w:hAnsi="Verdana" w:cs="Arial"/>
          <w:sz w:val="18"/>
          <w:szCs w:val="18"/>
          <w:lang w:val="nl-NL"/>
        </w:rPr>
        <w:t xml:space="preserve">Het tweede lid wijst </w:t>
      </w:r>
      <w:r w:rsidRPr="0021450B" w:rsidR="00E34226">
        <w:rPr>
          <w:rFonts w:ascii="Verdana" w:hAnsi="Verdana" w:cs="Arial"/>
          <w:sz w:val="18"/>
          <w:szCs w:val="18"/>
          <w:lang w:val="nl-NL"/>
        </w:rPr>
        <w:t xml:space="preserve">ook </w:t>
      </w:r>
      <w:r w:rsidRPr="0021450B">
        <w:rPr>
          <w:rFonts w:ascii="Verdana" w:hAnsi="Verdana" w:cs="Arial"/>
          <w:sz w:val="18"/>
          <w:szCs w:val="18"/>
          <w:lang w:val="nl-NL"/>
        </w:rPr>
        <w:t xml:space="preserve">een heffingsrecht toe aan de </w:t>
      </w:r>
      <w:r w:rsidR="009B3AF4">
        <w:rPr>
          <w:rFonts w:ascii="Verdana" w:hAnsi="Verdana" w:cs="Arial"/>
          <w:sz w:val="18"/>
          <w:szCs w:val="18"/>
          <w:lang w:val="nl-NL"/>
        </w:rPr>
        <w:t xml:space="preserve">verdragsluitende </w:t>
      </w:r>
      <w:r w:rsidR="003103E7">
        <w:rPr>
          <w:rFonts w:ascii="Verdana" w:hAnsi="Verdana" w:cs="Arial"/>
          <w:sz w:val="18"/>
          <w:szCs w:val="18"/>
          <w:lang w:val="nl-NL"/>
        </w:rPr>
        <w:t>staat</w:t>
      </w:r>
      <w:r w:rsidRPr="0021450B">
        <w:rPr>
          <w:rFonts w:ascii="Verdana" w:hAnsi="Verdana" w:cs="Arial"/>
          <w:sz w:val="18"/>
          <w:szCs w:val="18"/>
          <w:lang w:val="nl-NL"/>
        </w:rPr>
        <w:t xml:space="preserve"> waaruit de interest afkomstig is</w:t>
      </w:r>
      <w:r w:rsidRPr="00BA2B89" w:rsidR="00583E00">
        <w:rPr>
          <w:rFonts w:ascii="Verdana" w:hAnsi="Verdana" w:cs="Arial"/>
          <w:sz w:val="18"/>
          <w:szCs w:val="18"/>
          <w:lang w:val="nl-NL"/>
        </w:rPr>
        <w:t>,</w:t>
      </w:r>
      <w:r w:rsidRPr="00BA2B89">
        <w:rPr>
          <w:rFonts w:ascii="Verdana" w:hAnsi="Verdana" w:cs="Arial"/>
          <w:sz w:val="18"/>
          <w:szCs w:val="18"/>
          <w:lang w:val="nl-NL"/>
        </w:rPr>
        <w:t xml:space="preserve"> maar deze </w:t>
      </w:r>
      <w:r w:rsidR="003103E7">
        <w:rPr>
          <w:rFonts w:ascii="Verdana" w:hAnsi="Verdana" w:cs="Arial"/>
          <w:sz w:val="18"/>
          <w:szCs w:val="18"/>
          <w:lang w:val="nl-NL"/>
        </w:rPr>
        <w:t>staat</w:t>
      </w:r>
      <w:r w:rsidRPr="00B6639D">
        <w:rPr>
          <w:rFonts w:ascii="Verdana" w:hAnsi="Verdana" w:cs="Arial"/>
          <w:sz w:val="18"/>
          <w:szCs w:val="18"/>
          <w:lang w:val="nl-NL"/>
        </w:rPr>
        <w:t xml:space="preserve"> dient zijn heffing</w:t>
      </w:r>
      <w:r w:rsidRPr="00B6639D" w:rsidR="00C96DC6">
        <w:rPr>
          <w:rFonts w:ascii="Verdana" w:hAnsi="Verdana" w:cs="Arial"/>
          <w:sz w:val="18"/>
          <w:szCs w:val="18"/>
          <w:lang w:val="nl-NL"/>
        </w:rPr>
        <w:t xml:space="preserve"> </w:t>
      </w:r>
      <w:r w:rsidRPr="006C1373">
        <w:rPr>
          <w:rFonts w:ascii="Verdana" w:hAnsi="Verdana" w:cs="Arial"/>
          <w:sz w:val="18"/>
          <w:szCs w:val="18"/>
          <w:lang w:val="nl-NL"/>
        </w:rPr>
        <w:t>te beperken tot een maximum van 5</w:t>
      </w:r>
      <w:r w:rsidR="009B3AF4">
        <w:rPr>
          <w:rFonts w:ascii="Verdana" w:hAnsi="Verdana" w:cs="Arial"/>
          <w:sz w:val="18"/>
          <w:szCs w:val="18"/>
          <w:lang w:val="nl-NL"/>
        </w:rPr>
        <w:t>%</w:t>
      </w:r>
      <w:r w:rsidRPr="006C1373">
        <w:rPr>
          <w:rFonts w:ascii="Verdana" w:hAnsi="Verdana" w:cs="Arial"/>
          <w:sz w:val="18"/>
          <w:szCs w:val="18"/>
          <w:lang w:val="nl-NL"/>
        </w:rPr>
        <w:t xml:space="preserve"> </w:t>
      </w:r>
      <w:r w:rsidRPr="00DD3563">
        <w:rPr>
          <w:rFonts w:ascii="Verdana" w:hAnsi="Verdana" w:cs="Arial"/>
          <w:sz w:val="18"/>
          <w:szCs w:val="18"/>
          <w:lang w:val="nl-NL"/>
        </w:rPr>
        <w:t xml:space="preserve">van de </w:t>
      </w:r>
      <w:r w:rsidRPr="00CB4452">
        <w:rPr>
          <w:rFonts w:ascii="Verdana" w:hAnsi="Verdana" w:cs="Arial"/>
          <w:sz w:val="18"/>
          <w:szCs w:val="18"/>
          <w:lang w:val="nl-NL"/>
        </w:rPr>
        <w:t>bruto</w:t>
      </w:r>
      <w:r w:rsidR="00BD4F8C">
        <w:rPr>
          <w:rFonts w:ascii="Verdana" w:hAnsi="Verdana" w:cs="Arial"/>
          <w:sz w:val="18"/>
          <w:szCs w:val="18"/>
          <w:lang w:val="nl-NL"/>
        </w:rPr>
        <w:t>-</w:t>
      </w:r>
      <w:r w:rsidRPr="00CB4452">
        <w:rPr>
          <w:rFonts w:ascii="Verdana" w:hAnsi="Verdana" w:cs="Arial"/>
          <w:sz w:val="18"/>
          <w:szCs w:val="18"/>
          <w:lang w:val="nl-NL"/>
        </w:rPr>
        <w:t>interest</w:t>
      </w:r>
      <w:r w:rsidRPr="00556990" w:rsidR="00A211DA">
        <w:rPr>
          <w:rFonts w:ascii="Verdana" w:hAnsi="Verdana" w:cs="Arial"/>
          <w:sz w:val="18"/>
          <w:szCs w:val="18"/>
          <w:lang w:val="nl-NL"/>
        </w:rPr>
        <w:t xml:space="preserve">. </w:t>
      </w:r>
      <w:r w:rsidRPr="00556990">
        <w:rPr>
          <w:rFonts w:ascii="Verdana" w:hAnsi="Verdana" w:cs="Arial"/>
          <w:sz w:val="18"/>
          <w:szCs w:val="18"/>
          <w:lang w:val="nl-NL"/>
        </w:rPr>
        <w:t xml:space="preserve">Hierbij wordt opgemerkt dat Bulgarije op grond van de Rente- en royaltyrichtlijn </w:t>
      </w:r>
      <w:r w:rsidRPr="00556990">
        <w:rPr>
          <w:rFonts w:ascii="Verdana" w:hAnsi="Verdana" w:cs="Arial"/>
          <w:sz w:val="18"/>
          <w:szCs w:val="18"/>
          <w:lang w:val="nl-NL"/>
        </w:rPr>
        <w:lastRenderedPageBreak/>
        <w:t xml:space="preserve">onder </w:t>
      </w:r>
      <w:r w:rsidRPr="001C6327" w:rsidR="005E6FA4">
        <w:rPr>
          <w:rFonts w:ascii="Verdana" w:hAnsi="Verdana" w:cs="Arial"/>
          <w:sz w:val="18"/>
          <w:szCs w:val="18"/>
          <w:lang w:val="nl-NL"/>
        </w:rPr>
        <w:t xml:space="preserve">voorwaarden </w:t>
      </w:r>
      <w:r w:rsidRPr="00CB07AC">
        <w:rPr>
          <w:rFonts w:ascii="Verdana" w:hAnsi="Verdana" w:cs="Arial"/>
          <w:sz w:val="18"/>
          <w:szCs w:val="18"/>
          <w:lang w:val="nl-NL"/>
        </w:rPr>
        <w:t>toch gehouden is de binnen concernverband betaalde interest (tot nihil) te vermind</w:t>
      </w:r>
      <w:r w:rsidRPr="00F578EC">
        <w:rPr>
          <w:rFonts w:ascii="Verdana" w:hAnsi="Verdana" w:cs="Arial"/>
          <w:sz w:val="18"/>
          <w:szCs w:val="18"/>
          <w:lang w:val="nl-NL"/>
        </w:rPr>
        <w:t>eren.</w:t>
      </w:r>
      <w:r w:rsidRPr="00F578EC" w:rsidR="00583E00">
        <w:rPr>
          <w:rStyle w:val="Voetnootmarkering"/>
          <w:rFonts w:ascii="Verdana" w:hAnsi="Verdana" w:cs="Arial"/>
          <w:sz w:val="18"/>
          <w:szCs w:val="18"/>
          <w:lang w:val="nl-NL"/>
        </w:rPr>
        <w:t xml:space="preserve"> </w:t>
      </w:r>
      <w:r w:rsidRPr="00556990" w:rsidR="00583E00">
        <w:rPr>
          <w:rStyle w:val="Voetnootmarkering"/>
          <w:rFonts w:ascii="Verdana" w:hAnsi="Verdana" w:cs="Arial"/>
          <w:sz w:val="18"/>
          <w:szCs w:val="18"/>
        </w:rPr>
        <w:footnoteReference w:id="13"/>
      </w:r>
      <w:r w:rsidRPr="00556990">
        <w:rPr>
          <w:rFonts w:ascii="Verdana" w:hAnsi="Verdana" w:cs="Arial"/>
          <w:sz w:val="18"/>
          <w:szCs w:val="18"/>
          <w:lang w:val="nl-NL"/>
        </w:rPr>
        <w:t xml:space="preserve"> </w:t>
      </w:r>
    </w:p>
    <w:p w:rsidRPr="00F578EC" w:rsidR="00500251" w:rsidP="00500251" w:rsidRDefault="006E6715" w14:paraId="64656384" w14:textId="6BE98BA0">
      <w:pPr>
        <w:ind w:firstLine="720"/>
        <w:rPr>
          <w:rFonts w:ascii="Verdana" w:hAnsi="Verdana" w:cs="Arial"/>
          <w:sz w:val="18"/>
          <w:szCs w:val="18"/>
          <w:lang w:val="nl-NL"/>
        </w:rPr>
      </w:pPr>
      <w:r w:rsidRPr="001C6327">
        <w:rPr>
          <w:rFonts w:ascii="Verdana" w:hAnsi="Verdana" w:cs="Arial"/>
          <w:sz w:val="18"/>
          <w:szCs w:val="18"/>
          <w:lang w:val="nl-NL"/>
        </w:rPr>
        <w:t>H</w:t>
      </w:r>
      <w:r w:rsidRPr="001C6327" w:rsidR="00500251">
        <w:rPr>
          <w:rFonts w:ascii="Verdana" w:hAnsi="Verdana" w:cs="Arial"/>
          <w:sz w:val="18"/>
          <w:szCs w:val="18"/>
          <w:lang w:val="nl-NL"/>
        </w:rPr>
        <w:t xml:space="preserve">et derde lid </w:t>
      </w:r>
      <w:r w:rsidRPr="00CB07AC">
        <w:rPr>
          <w:rFonts w:ascii="Verdana" w:hAnsi="Verdana" w:cs="Arial"/>
          <w:sz w:val="18"/>
          <w:szCs w:val="18"/>
          <w:lang w:val="nl-NL"/>
        </w:rPr>
        <w:t>bevat</w:t>
      </w:r>
      <w:r w:rsidRPr="00CB07AC" w:rsidR="00500251">
        <w:rPr>
          <w:rFonts w:ascii="Verdana" w:hAnsi="Verdana" w:cs="Arial"/>
          <w:sz w:val="18"/>
          <w:szCs w:val="18"/>
          <w:lang w:val="nl-NL"/>
        </w:rPr>
        <w:t xml:space="preserve"> op verzoek van Nederland </w:t>
      </w:r>
      <w:r w:rsidRPr="00CB07AC" w:rsidR="003046AD">
        <w:rPr>
          <w:rFonts w:ascii="Verdana" w:hAnsi="Verdana" w:cs="Arial"/>
          <w:sz w:val="18"/>
          <w:szCs w:val="18"/>
          <w:lang w:val="nl-NL"/>
        </w:rPr>
        <w:t xml:space="preserve">en in aansluiting bij het </w:t>
      </w:r>
      <w:r w:rsidR="007F022E">
        <w:rPr>
          <w:rFonts w:ascii="Verdana" w:hAnsi="Verdana" w:cs="Arial"/>
          <w:sz w:val="18"/>
          <w:szCs w:val="18"/>
          <w:lang w:val="nl-NL"/>
        </w:rPr>
        <w:t>c</w:t>
      </w:r>
      <w:r w:rsidRPr="00CB07AC" w:rsidR="003046AD">
        <w:rPr>
          <w:rFonts w:ascii="Verdana" w:hAnsi="Verdana" w:cs="Arial"/>
          <w:sz w:val="18"/>
          <w:szCs w:val="18"/>
          <w:lang w:val="nl-NL"/>
        </w:rPr>
        <w:t>ommentaar op artik</w:t>
      </w:r>
      <w:r w:rsidRPr="00F578EC" w:rsidR="00C96DC6">
        <w:rPr>
          <w:rFonts w:ascii="Verdana" w:hAnsi="Verdana" w:cs="Arial"/>
          <w:sz w:val="18"/>
          <w:szCs w:val="18"/>
          <w:lang w:val="nl-NL"/>
        </w:rPr>
        <w:t xml:space="preserve">el 11 van het OESO-modelverdrag </w:t>
      </w:r>
      <w:r w:rsidRPr="00F578EC" w:rsidR="00500251">
        <w:rPr>
          <w:rFonts w:ascii="Verdana" w:hAnsi="Verdana" w:cs="Arial"/>
          <w:sz w:val="18"/>
          <w:szCs w:val="18"/>
          <w:lang w:val="nl-NL"/>
        </w:rPr>
        <w:t xml:space="preserve">voor een aantal </w:t>
      </w:r>
      <w:r w:rsidRPr="00F578EC" w:rsidR="00C96DC6">
        <w:rPr>
          <w:rFonts w:ascii="Verdana" w:hAnsi="Verdana" w:cs="Arial"/>
          <w:sz w:val="18"/>
          <w:szCs w:val="18"/>
          <w:lang w:val="nl-NL"/>
        </w:rPr>
        <w:t>situaties</w:t>
      </w:r>
      <w:r w:rsidRPr="00F578EC" w:rsidR="00500251">
        <w:rPr>
          <w:rFonts w:ascii="Verdana" w:hAnsi="Verdana" w:cs="Arial"/>
          <w:sz w:val="18"/>
          <w:szCs w:val="18"/>
          <w:lang w:val="nl-NL"/>
        </w:rPr>
        <w:t xml:space="preserve"> een uitsluitende woonstaatheffing</w:t>
      </w:r>
      <w:r w:rsidR="00D11CDE">
        <w:rPr>
          <w:rFonts w:ascii="Verdana" w:hAnsi="Verdana" w:cs="Arial"/>
          <w:sz w:val="18"/>
          <w:szCs w:val="18"/>
          <w:lang w:val="nl-NL"/>
        </w:rPr>
        <w:t>.</w:t>
      </w:r>
    </w:p>
    <w:p w:rsidRPr="00323312" w:rsidR="00500251" w:rsidP="00500251" w:rsidRDefault="006E6715" w14:paraId="20A7B531" w14:textId="77777777">
      <w:pPr>
        <w:ind w:firstLine="720"/>
        <w:rPr>
          <w:rFonts w:ascii="Verdana" w:hAnsi="Verdana" w:cs="Arial"/>
          <w:sz w:val="18"/>
          <w:szCs w:val="18"/>
          <w:lang w:val="nl-NL"/>
        </w:rPr>
      </w:pPr>
      <w:r w:rsidRPr="00323312">
        <w:rPr>
          <w:rFonts w:ascii="Verdana" w:hAnsi="Verdana" w:cs="Arial"/>
          <w:sz w:val="18"/>
          <w:szCs w:val="18"/>
          <w:lang w:val="nl-NL"/>
        </w:rPr>
        <w:t>H</w:t>
      </w:r>
      <w:r w:rsidRPr="00323312" w:rsidR="00500251">
        <w:rPr>
          <w:rFonts w:ascii="Verdana" w:hAnsi="Verdana" w:cs="Arial"/>
          <w:sz w:val="18"/>
          <w:szCs w:val="18"/>
          <w:lang w:val="nl-NL"/>
        </w:rPr>
        <w:t xml:space="preserve">et vierde lid </w:t>
      </w:r>
      <w:r w:rsidRPr="00323312">
        <w:rPr>
          <w:rFonts w:ascii="Verdana" w:hAnsi="Verdana" w:cs="Arial"/>
          <w:sz w:val="18"/>
          <w:szCs w:val="18"/>
          <w:lang w:val="nl-NL"/>
        </w:rPr>
        <w:t xml:space="preserve">bevat </w:t>
      </w:r>
      <w:r w:rsidRPr="00323312" w:rsidR="00500251">
        <w:rPr>
          <w:rFonts w:ascii="Verdana" w:hAnsi="Verdana" w:cs="Arial"/>
          <w:sz w:val="18"/>
          <w:szCs w:val="18"/>
          <w:lang w:val="nl-NL"/>
        </w:rPr>
        <w:t>een</w:t>
      </w:r>
      <w:r w:rsidRPr="00323312" w:rsidR="00C96DC6">
        <w:rPr>
          <w:rFonts w:ascii="Verdana" w:hAnsi="Verdana" w:cs="Arial"/>
          <w:sz w:val="18"/>
          <w:szCs w:val="18"/>
          <w:lang w:val="nl-NL"/>
        </w:rPr>
        <w:t xml:space="preserve"> OESO</w:t>
      </w:r>
      <w:r w:rsidR="00D11CDE">
        <w:rPr>
          <w:rFonts w:ascii="Verdana" w:hAnsi="Verdana" w:cs="Arial"/>
          <w:sz w:val="18"/>
          <w:szCs w:val="18"/>
          <w:lang w:val="nl-NL"/>
        </w:rPr>
        <w:t>-</w:t>
      </w:r>
      <w:r w:rsidRPr="00323312" w:rsidR="00C96DC6">
        <w:rPr>
          <w:rFonts w:ascii="Verdana" w:hAnsi="Verdana" w:cs="Arial"/>
          <w:sz w:val="18"/>
          <w:szCs w:val="18"/>
          <w:lang w:val="nl-NL"/>
        </w:rPr>
        <w:t xml:space="preserve">conforme </w:t>
      </w:r>
      <w:r w:rsidRPr="00323312" w:rsidR="00500251">
        <w:rPr>
          <w:rFonts w:ascii="Verdana" w:hAnsi="Verdana" w:cs="Arial"/>
          <w:sz w:val="18"/>
          <w:szCs w:val="18"/>
          <w:lang w:val="nl-NL"/>
        </w:rPr>
        <w:t xml:space="preserve">definitie van </w:t>
      </w:r>
      <w:r w:rsidRPr="00323312" w:rsidR="006A5038">
        <w:rPr>
          <w:rFonts w:ascii="Verdana" w:hAnsi="Verdana" w:cs="Arial"/>
          <w:sz w:val="18"/>
          <w:szCs w:val="18"/>
          <w:lang w:val="nl-NL"/>
        </w:rPr>
        <w:t xml:space="preserve">het begrip </w:t>
      </w:r>
      <w:r w:rsidR="00323312">
        <w:rPr>
          <w:rFonts w:ascii="Verdana" w:hAnsi="Verdana" w:cs="Arial"/>
          <w:sz w:val="18"/>
          <w:szCs w:val="18"/>
          <w:lang w:val="nl-NL"/>
        </w:rPr>
        <w:t>‘</w:t>
      </w:r>
      <w:r w:rsidRPr="00323312" w:rsidR="00500251">
        <w:rPr>
          <w:rFonts w:ascii="Verdana" w:hAnsi="Verdana" w:cs="Arial"/>
          <w:sz w:val="18"/>
          <w:szCs w:val="18"/>
          <w:lang w:val="nl-NL"/>
        </w:rPr>
        <w:t>interest</w:t>
      </w:r>
      <w:r w:rsidR="00323312">
        <w:rPr>
          <w:rFonts w:ascii="Verdana" w:hAnsi="Verdana" w:cs="Arial"/>
          <w:sz w:val="18"/>
          <w:szCs w:val="18"/>
          <w:lang w:val="nl-NL"/>
        </w:rPr>
        <w:t>’</w:t>
      </w:r>
      <w:r w:rsidRPr="00323312" w:rsidR="00500251">
        <w:rPr>
          <w:rFonts w:ascii="Verdana" w:hAnsi="Verdana" w:cs="Arial"/>
          <w:sz w:val="18"/>
          <w:szCs w:val="18"/>
          <w:lang w:val="nl-NL"/>
        </w:rPr>
        <w:t xml:space="preserve">. </w:t>
      </w:r>
    </w:p>
    <w:p w:rsidRPr="00CF22A8" w:rsidR="00500251" w:rsidP="00500251" w:rsidRDefault="00A34973" w14:paraId="5CDEE467" w14:textId="77777777">
      <w:pPr>
        <w:ind w:firstLine="720"/>
        <w:rPr>
          <w:rFonts w:ascii="Verdana" w:hAnsi="Verdana" w:cs="Arial"/>
          <w:sz w:val="18"/>
          <w:szCs w:val="18"/>
          <w:lang w:val="nl-NL"/>
        </w:rPr>
      </w:pPr>
      <w:r w:rsidRPr="00BC6175">
        <w:rPr>
          <w:rFonts w:ascii="Verdana" w:hAnsi="Verdana" w:cs="Arial"/>
          <w:sz w:val="18"/>
          <w:szCs w:val="18"/>
          <w:lang w:val="nl-NL"/>
        </w:rPr>
        <w:t xml:space="preserve">Het </w:t>
      </w:r>
      <w:r w:rsidRPr="00BC6175" w:rsidR="00500251">
        <w:rPr>
          <w:rFonts w:ascii="Verdana" w:hAnsi="Verdana" w:cs="Arial"/>
          <w:sz w:val="18"/>
          <w:szCs w:val="18"/>
          <w:lang w:val="nl-NL"/>
        </w:rPr>
        <w:t>vijfde lid</w:t>
      </w:r>
      <w:r w:rsidRPr="00BC6175" w:rsidR="00C31A29">
        <w:rPr>
          <w:rFonts w:ascii="Verdana" w:hAnsi="Verdana" w:cs="Arial"/>
          <w:sz w:val="18"/>
          <w:szCs w:val="18"/>
          <w:lang w:val="nl-NL"/>
        </w:rPr>
        <w:t xml:space="preserve"> </w:t>
      </w:r>
      <w:r w:rsidRPr="00BC6175">
        <w:rPr>
          <w:rFonts w:ascii="Verdana" w:hAnsi="Verdana" w:cs="Arial"/>
          <w:sz w:val="18"/>
          <w:szCs w:val="18"/>
          <w:lang w:val="nl-NL"/>
        </w:rPr>
        <w:t>bepaalt</w:t>
      </w:r>
      <w:r w:rsidRPr="00BC6175" w:rsidR="00500251">
        <w:rPr>
          <w:rFonts w:ascii="Verdana" w:hAnsi="Verdana" w:cs="Arial"/>
          <w:sz w:val="18"/>
          <w:szCs w:val="18"/>
          <w:lang w:val="nl-NL"/>
        </w:rPr>
        <w:t xml:space="preserve"> dat niet de bepalingen van het eerste lid maar de bepalingen van artikel 7 van toepassing zijn op interest die wordt betaald op schuldvorderingen die behoren tot het bedrijfsvermogen van een vaste inrichting waarover de uiteindelijke gerechtigde (tot die interest) beschikt in de </w:t>
      </w:r>
      <w:r w:rsidR="0021450B">
        <w:rPr>
          <w:rFonts w:ascii="Verdana" w:hAnsi="Verdana" w:cs="Arial"/>
          <w:sz w:val="18"/>
          <w:szCs w:val="18"/>
          <w:lang w:val="nl-NL"/>
        </w:rPr>
        <w:t>verdragsluitende staat</w:t>
      </w:r>
      <w:r w:rsidRPr="00CF22A8" w:rsidR="00500251">
        <w:rPr>
          <w:rFonts w:ascii="Verdana" w:hAnsi="Verdana" w:cs="Arial"/>
          <w:sz w:val="18"/>
          <w:szCs w:val="18"/>
          <w:lang w:val="nl-NL"/>
        </w:rPr>
        <w:t xml:space="preserve"> van waaruit de interest afkomstig is.</w:t>
      </w:r>
    </w:p>
    <w:p w:rsidRPr="00916448" w:rsidR="00500251" w:rsidP="00500251" w:rsidRDefault="00C31A29" w14:paraId="6DED27D2" w14:textId="77777777">
      <w:pPr>
        <w:ind w:firstLine="720"/>
        <w:rPr>
          <w:rFonts w:ascii="Verdana" w:hAnsi="Verdana" w:cs="Arial"/>
          <w:sz w:val="18"/>
          <w:szCs w:val="18"/>
          <w:lang w:val="nl-NL"/>
        </w:rPr>
      </w:pPr>
      <w:r w:rsidRPr="00CF22A8">
        <w:rPr>
          <w:rFonts w:ascii="Verdana" w:hAnsi="Verdana" w:cs="Arial"/>
          <w:sz w:val="18"/>
          <w:szCs w:val="18"/>
          <w:lang w:val="nl-NL"/>
        </w:rPr>
        <w:t>H</w:t>
      </w:r>
      <w:r w:rsidRPr="00CF22A8" w:rsidR="00500251">
        <w:rPr>
          <w:rFonts w:ascii="Verdana" w:hAnsi="Verdana" w:cs="Arial"/>
          <w:sz w:val="18"/>
          <w:szCs w:val="18"/>
          <w:lang w:val="nl-NL"/>
        </w:rPr>
        <w:t>et zesde lid</w:t>
      </w:r>
      <w:r w:rsidRPr="005C1870" w:rsidR="008C113B">
        <w:rPr>
          <w:rFonts w:ascii="Verdana" w:hAnsi="Verdana" w:cs="Arial"/>
          <w:sz w:val="18"/>
          <w:szCs w:val="18"/>
          <w:lang w:val="nl-NL"/>
        </w:rPr>
        <w:t xml:space="preserve"> </w:t>
      </w:r>
      <w:r w:rsidRPr="005C1870">
        <w:rPr>
          <w:rFonts w:ascii="Verdana" w:hAnsi="Verdana" w:cs="Arial"/>
          <w:sz w:val="18"/>
          <w:szCs w:val="18"/>
          <w:lang w:val="nl-NL"/>
        </w:rPr>
        <w:t xml:space="preserve">geeft </w:t>
      </w:r>
      <w:r w:rsidRPr="005C1870" w:rsidR="006E6715">
        <w:rPr>
          <w:rFonts w:ascii="Verdana" w:hAnsi="Verdana" w:cs="Arial"/>
          <w:sz w:val="18"/>
          <w:szCs w:val="18"/>
          <w:lang w:val="nl-NL"/>
        </w:rPr>
        <w:t xml:space="preserve">aan </w:t>
      </w:r>
      <w:r w:rsidRPr="005C1870" w:rsidR="00500251">
        <w:rPr>
          <w:rFonts w:ascii="Verdana" w:hAnsi="Verdana" w:cs="Arial"/>
          <w:sz w:val="18"/>
          <w:szCs w:val="18"/>
          <w:lang w:val="nl-NL"/>
        </w:rPr>
        <w:t xml:space="preserve">uit welke </w:t>
      </w:r>
      <w:r w:rsidR="0021450B">
        <w:rPr>
          <w:rFonts w:ascii="Verdana" w:hAnsi="Verdana" w:cs="Arial"/>
          <w:sz w:val="18"/>
          <w:szCs w:val="18"/>
          <w:lang w:val="nl-NL"/>
        </w:rPr>
        <w:t>verdragsluitende staat</w:t>
      </w:r>
      <w:r w:rsidRPr="00916448" w:rsidR="00500251">
        <w:rPr>
          <w:rFonts w:ascii="Verdana" w:hAnsi="Verdana" w:cs="Arial"/>
          <w:sz w:val="18"/>
          <w:szCs w:val="18"/>
          <w:lang w:val="nl-NL"/>
        </w:rPr>
        <w:t xml:space="preserve"> interest geacht wordt afkomstig te zijn. In beginsel is dat de </w:t>
      </w:r>
      <w:r w:rsidR="003103E7">
        <w:rPr>
          <w:rFonts w:ascii="Verdana" w:hAnsi="Verdana" w:cs="Arial"/>
          <w:sz w:val="18"/>
          <w:szCs w:val="18"/>
          <w:lang w:val="nl-NL"/>
        </w:rPr>
        <w:t>staat</w:t>
      </w:r>
      <w:r w:rsidRPr="00916448" w:rsidR="00500251">
        <w:rPr>
          <w:rFonts w:ascii="Verdana" w:hAnsi="Verdana" w:cs="Arial"/>
          <w:sz w:val="18"/>
          <w:szCs w:val="18"/>
          <w:lang w:val="nl-NL"/>
        </w:rPr>
        <w:t xml:space="preserve"> waarvan de betaler van de interest inwoner is. Voorts wordt de interest geacht afkomstig te zijn uit de </w:t>
      </w:r>
      <w:r w:rsidR="003103E7">
        <w:rPr>
          <w:rFonts w:ascii="Verdana" w:hAnsi="Verdana" w:cs="Arial"/>
          <w:sz w:val="18"/>
          <w:szCs w:val="18"/>
          <w:lang w:val="nl-NL"/>
        </w:rPr>
        <w:t>staat</w:t>
      </w:r>
      <w:r w:rsidRPr="00916448" w:rsidR="00500251">
        <w:rPr>
          <w:rFonts w:ascii="Verdana" w:hAnsi="Verdana" w:cs="Arial"/>
          <w:sz w:val="18"/>
          <w:szCs w:val="18"/>
          <w:lang w:val="nl-NL"/>
        </w:rPr>
        <w:t xml:space="preserve"> waarin een vaste inrichting is gelegen waaraan de </w:t>
      </w:r>
      <w:r w:rsidR="008C60B2">
        <w:rPr>
          <w:rFonts w:ascii="Verdana" w:hAnsi="Verdana" w:cs="Arial"/>
          <w:sz w:val="18"/>
          <w:szCs w:val="18"/>
          <w:lang w:val="nl-NL"/>
        </w:rPr>
        <w:t xml:space="preserve">geldlening waarover de </w:t>
      </w:r>
      <w:r w:rsidRPr="00916448" w:rsidR="00500251">
        <w:rPr>
          <w:rFonts w:ascii="Verdana" w:hAnsi="Verdana" w:cs="Arial"/>
          <w:sz w:val="18"/>
          <w:szCs w:val="18"/>
          <w:lang w:val="nl-NL"/>
        </w:rPr>
        <w:t>interest</w:t>
      </w:r>
      <w:r w:rsidR="008C60B2">
        <w:rPr>
          <w:rFonts w:ascii="Verdana" w:hAnsi="Verdana" w:cs="Arial"/>
          <w:sz w:val="18"/>
          <w:szCs w:val="18"/>
          <w:lang w:val="nl-NL"/>
        </w:rPr>
        <w:t xml:space="preserve"> wordt betaald,</w:t>
      </w:r>
      <w:r w:rsidRPr="00916448" w:rsidR="00500251">
        <w:rPr>
          <w:rFonts w:ascii="Verdana" w:hAnsi="Verdana" w:cs="Arial"/>
          <w:sz w:val="18"/>
          <w:szCs w:val="18"/>
          <w:lang w:val="nl-NL"/>
        </w:rPr>
        <w:t xml:space="preserve"> kan worden toegerekend, ongeacht of de persoon die de vaste inrichting heeft inwoner is van een </w:t>
      </w:r>
      <w:r w:rsidR="0021450B">
        <w:rPr>
          <w:rFonts w:ascii="Verdana" w:hAnsi="Verdana" w:cs="Arial"/>
          <w:sz w:val="18"/>
          <w:szCs w:val="18"/>
          <w:lang w:val="nl-NL"/>
        </w:rPr>
        <w:t>verdragsluitende staat</w:t>
      </w:r>
      <w:r w:rsidRPr="00916448" w:rsidR="00500251">
        <w:rPr>
          <w:rFonts w:ascii="Verdana" w:hAnsi="Verdana" w:cs="Arial"/>
          <w:sz w:val="18"/>
          <w:szCs w:val="18"/>
          <w:lang w:val="nl-NL"/>
        </w:rPr>
        <w:t>.</w:t>
      </w:r>
    </w:p>
    <w:p w:rsidRPr="0021450B" w:rsidR="00897566" w:rsidP="00897566" w:rsidRDefault="00500251" w14:paraId="3E1D8C6A" w14:textId="77777777">
      <w:pPr>
        <w:ind w:firstLine="720"/>
        <w:rPr>
          <w:rFonts w:ascii="Verdana" w:hAnsi="Verdana" w:cs="Arial"/>
          <w:sz w:val="18"/>
          <w:szCs w:val="18"/>
          <w:lang w:val="nl-NL"/>
        </w:rPr>
      </w:pPr>
      <w:r w:rsidRPr="00780A5E">
        <w:rPr>
          <w:rFonts w:ascii="Verdana" w:hAnsi="Verdana" w:cs="Arial"/>
          <w:sz w:val="18"/>
          <w:szCs w:val="18"/>
          <w:lang w:val="nl-NL"/>
        </w:rPr>
        <w:t xml:space="preserve">Ten slotte </w:t>
      </w:r>
      <w:r w:rsidRPr="00780A5E" w:rsidR="006E6715">
        <w:rPr>
          <w:rFonts w:ascii="Verdana" w:hAnsi="Verdana" w:cs="Arial"/>
          <w:sz w:val="18"/>
          <w:szCs w:val="18"/>
          <w:lang w:val="nl-NL"/>
        </w:rPr>
        <w:t>bepaalt</w:t>
      </w:r>
      <w:r w:rsidRPr="00780A5E">
        <w:rPr>
          <w:rFonts w:ascii="Verdana" w:hAnsi="Verdana" w:cs="Arial"/>
          <w:sz w:val="18"/>
          <w:szCs w:val="18"/>
          <w:lang w:val="nl-NL"/>
        </w:rPr>
        <w:t xml:space="preserve"> het zevende lid dat de bepalingen van artikel 11 slechts van toepassing zijn voor zover de op een schuldvordering betaalde interest overeenkomt met de interest die tussen onafhankelijke partijen overeengekomen zou zijn, alsmede dat </w:t>
      </w:r>
      <w:r w:rsidRPr="00780A5E" w:rsidR="00B31AA2">
        <w:rPr>
          <w:rFonts w:ascii="Verdana" w:hAnsi="Verdana" w:cs="Arial"/>
          <w:sz w:val="18"/>
          <w:szCs w:val="18"/>
          <w:lang w:val="nl-NL"/>
        </w:rPr>
        <w:t>een</w:t>
      </w:r>
      <w:r w:rsidRPr="000819E4">
        <w:rPr>
          <w:rFonts w:ascii="Verdana" w:hAnsi="Verdana" w:cs="Arial"/>
          <w:sz w:val="18"/>
          <w:szCs w:val="18"/>
          <w:lang w:val="nl-NL"/>
        </w:rPr>
        <w:t xml:space="preserve"> bovenmatig gedeelte van die interest in het voorkomende geval, rekenin</w:t>
      </w:r>
      <w:r w:rsidRPr="0021450B">
        <w:rPr>
          <w:rFonts w:ascii="Verdana" w:hAnsi="Verdana" w:cs="Arial"/>
          <w:sz w:val="18"/>
          <w:szCs w:val="18"/>
          <w:lang w:val="nl-NL"/>
        </w:rPr>
        <w:t xml:space="preserve">g houdende met de overige bepalingen van het Verdrag, belastbaar is overeenkomstig de nationale wetgeving van ieder van de </w:t>
      </w:r>
      <w:r w:rsidR="0021450B">
        <w:rPr>
          <w:rFonts w:ascii="Verdana" w:hAnsi="Verdana" w:cs="Arial"/>
          <w:sz w:val="18"/>
          <w:szCs w:val="18"/>
          <w:lang w:val="nl-NL"/>
        </w:rPr>
        <w:t>verdragsluitende staten</w:t>
      </w:r>
      <w:r w:rsidRPr="0021450B">
        <w:rPr>
          <w:rFonts w:ascii="Verdana" w:hAnsi="Verdana" w:cs="Arial"/>
          <w:sz w:val="18"/>
          <w:szCs w:val="18"/>
          <w:lang w:val="nl-NL"/>
        </w:rPr>
        <w:t xml:space="preserve">. </w:t>
      </w:r>
    </w:p>
    <w:p w:rsidRPr="0021450B" w:rsidR="00897566" w:rsidP="00897566" w:rsidRDefault="00897566" w14:paraId="0EA0925B" w14:textId="77777777">
      <w:pPr>
        <w:ind w:firstLine="720"/>
        <w:rPr>
          <w:rFonts w:ascii="Verdana" w:hAnsi="Verdana" w:cs="Arial"/>
          <w:sz w:val="18"/>
          <w:szCs w:val="18"/>
          <w:lang w:val="nl-NL"/>
        </w:rPr>
      </w:pPr>
      <w:r w:rsidRPr="0021450B">
        <w:rPr>
          <w:rFonts w:ascii="Verdana" w:hAnsi="Verdana" w:cs="Arial"/>
          <w:sz w:val="18"/>
          <w:szCs w:val="18"/>
          <w:lang w:val="nl-NL"/>
        </w:rPr>
        <w:t>Voor de toelichting op de artikelen II en VI van het Protocol wordt verwezen naar de toelichting op respectievelijk artikel 1 en artikel 6.</w:t>
      </w:r>
    </w:p>
    <w:p w:rsidRPr="0021450B" w:rsidR="00500251" w:rsidP="00500251" w:rsidRDefault="00500251" w14:paraId="411B6A5A" w14:textId="77777777">
      <w:pPr>
        <w:ind w:firstLine="0"/>
        <w:rPr>
          <w:rFonts w:ascii="Verdana" w:hAnsi="Verdana" w:cs="Arial"/>
          <w:sz w:val="18"/>
          <w:szCs w:val="18"/>
          <w:highlight w:val="yellow"/>
          <w:lang w:val="nl-NL"/>
        </w:rPr>
      </w:pPr>
    </w:p>
    <w:p w:rsidRPr="00916448" w:rsidR="00500251" w:rsidP="00500251" w:rsidRDefault="00500251" w14:paraId="53CBC880" w14:textId="77777777">
      <w:pPr>
        <w:ind w:firstLine="0"/>
        <w:rPr>
          <w:rFonts w:ascii="Verdana" w:hAnsi="Verdana"/>
          <w:sz w:val="18"/>
          <w:szCs w:val="18"/>
          <w:lang w:val="nl-NL"/>
        </w:rPr>
      </w:pPr>
      <w:r w:rsidRPr="0021450B">
        <w:rPr>
          <w:rFonts w:ascii="Verdana" w:hAnsi="Verdana"/>
          <w:i/>
          <w:sz w:val="18"/>
          <w:szCs w:val="18"/>
          <w:lang w:val="nl-NL"/>
        </w:rPr>
        <w:t>II.12. Royalty’s (artikel 12</w:t>
      </w:r>
      <w:r w:rsidR="00916448">
        <w:rPr>
          <w:rFonts w:ascii="Verdana" w:hAnsi="Verdana"/>
          <w:i/>
          <w:sz w:val="18"/>
          <w:szCs w:val="18"/>
          <w:lang w:val="nl-NL"/>
        </w:rPr>
        <w:t xml:space="preserve"> </w:t>
      </w:r>
      <w:r w:rsidRPr="00916448" w:rsidR="00916448">
        <w:rPr>
          <w:rFonts w:ascii="Verdana" w:hAnsi="Verdana"/>
          <w:i/>
          <w:sz w:val="18"/>
          <w:szCs w:val="18"/>
          <w:lang w:val="nl-NL"/>
        </w:rPr>
        <w:t>van het Verdrag</w:t>
      </w:r>
      <w:r w:rsidRPr="00916448">
        <w:rPr>
          <w:rFonts w:ascii="Verdana" w:hAnsi="Verdana"/>
          <w:i/>
          <w:sz w:val="18"/>
          <w:szCs w:val="18"/>
          <w:lang w:val="nl-NL"/>
        </w:rPr>
        <w:t xml:space="preserve"> en artikel</w:t>
      </w:r>
      <w:r w:rsidRPr="00916448" w:rsidR="00897566">
        <w:rPr>
          <w:rFonts w:ascii="Verdana" w:hAnsi="Verdana"/>
          <w:i/>
          <w:sz w:val="18"/>
          <w:szCs w:val="18"/>
          <w:lang w:val="nl-NL"/>
        </w:rPr>
        <w:t xml:space="preserve">en II en </w:t>
      </w:r>
      <w:r w:rsidRPr="00916448">
        <w:rPr>
          <w:rFonts w:ascii="Verdana" w:hAnsi="Verdana"/>
          <w:i/>
          <w:sz w:val="18"/>
          <w:szCs w:val="18"/>
          <w:lang w:val="nl-NL"/>
        </w:rPr>
        <w:t>VI</w:t>
      </w:r>
      <w:r w:rsidRPr="00916448" w:rsidR="00916448">
        <w:rPr>
          <w:rFonts w:ascii="Verdana" w:hAnsi="Verdana"/>
          <w:i/>
          <w:sz w:val="18"/>
          <w:szCs w:val="18"/>
          <w:lang w:val="nl-NL"/>
        </w:rPr>
        <w:t xml:space="preserve"> </w:t>
      </w:r>
      <w:r w:rsidR="00916448">
        <w:rPr>
          <w:rFonts w:ascii="Verdana" w:hAnsi="Verdana"/>
          <w:i/>
          <w:sz w:val="18"/>
          <w:szCs w:val="18"/>
          <w:lang w:val="nl-NL"/>
        </w:rPr>
        <w:t xml:space="preserve">van het </w:t>
      </w:r>
      <w:r w:rsidRPr="00916448" w:rsidR="00916448">
        <w:rPr>
          <w:rFonts w:ascii="Verdana" w:hAnsi="Verdana"/>
          <w:i/>
          <w:sz w:val="18"/>
          <w:szCs w:val="18"/>
          <w:lang w:val="nl-NL"/>
        </w:rPr>
        <w:t>Protocol</w:t>
      </w:r>
      <w:r w:rsidRPr="00916448">
        <w:rPr>
          <w:rFonts w:ascii="Verdana" w:hAnsi="Verdana"/>
          <w:i/>
          <w:sz w:val="18"/>
          <w:szCs w:val="18"/>
          <w:lang w:val="nl-NL"/>
        </w:rPr>
        <w:t>)</w:t>
      </w:r>
      <w:r w:rsidRPr="00916448">
        <w:rPr>
          <w:rFonts w:ascii="Verdana" w:hAnsi="Verdana"/>
          <w:i/>
          <w:sz w:val="18"/>
          <w:szCs w:val="18"/>
          <w:lang w:val="nl-NL"/>
        </w:rPr>
        <w:br/>
      </w:r>
    </w:p>
    <w:p w:rsidRPr="00556990" w:rsidR="00500251" w:rsidP="00500251" w:rsidRDefault="00500251" w14:paraId="4BD7AD1E" w14:textId="6ED5DCF5">
      <w:pPr>
        <w:ind w:firstLine="720"/>
        <w:rPr>
          <w:rFonts w:ascii="Verdana" w:hAnsi="Verdana" w:cs="Arial"/>
          <w:sz w:val="18"/>
          <w:szCs w:val="18"/>
          <w:lang w:val="nl-NL"/>
        </w:rPr>
      </w:pPr>
      <w:r w:rsidRPr="00916448">
        <w:rPr>
          <w:rFonts w:ascii="Verdana" w:hAnsi="Verdana" w:cs="Arial"/>
          <w:sz w:val="18"/>
          <w:szCs w:val="18"/>
          <w:lang w:val="nl-NL"/>
        </w:rPr>
        <w:t xml:space="preserve">Artikel 12 betreft de verdeling van heffingsrechten over royalty’s. </w:t>
      </w:r>
      <w:r w:rsidRPr="00916448" w:rsidR="0050620D">
        <w:rPr>
          <w:rFonts w:ascii="Verdana" w:hAnsi="Verdana" w:cs="Arial"/>
          <w:sz w:val="18"/>
          <w:szCs w:val="18"/>
          <w:lang w:val="nl-NL"/>
        </w:rPr>
        <w:t>Deze bepaling is gebaseerd op artikel 1</w:t>
      </w:r>
      <w:r w:rsidRPr="00780A5E" w:rsidR="00931927">
        <w:rPr>
          <w:rFonts w:ascii="Verdana" w:hAnsi="Verdana" w:cs="Arial"/>
          <w:sz w:val="18"/>
          <w:szCs w:val="18"/>
          <w:lang w:val="nl-NL"/>
        </w:rPr>
        <w:t>2</w:t>
      </w:r>
      <w:r w:rsidRPr="00780A5E" w:rsidR="0050620D">
        <w:rPr>
          <w:rFonts w:ascii="Verdana" w:hAnsi="Verdana" w:cs="Arial"/>
          <w:sz w:val="18"/>
          <w:szCs w:val="18"/>
          <w:lang w:val="nl-NL"/>
        </w:rPr>
        <w:t xml:space="preserve"> van het OESO-modelverdrag en bevat (</w:t>
      </w:r>
      <w:r w:rsidRPr="00780A5E" w:rsidR="00931927">
        <w:rPr>
          <w:rFonts w:ascii="Verdana" w:hAnsi="Verdana" w:cs="Arial"/>
          <w:sz w:val="18"/>
          <w:szCs w:val="18"/>
          <w:lang w:val="nl-NL"/>
        </w:rPr>
        <w:t xml:space="preserve">in afwijking van het OESO-modelverdrag maar in overeenstemming met </w:t>
      </w:r>
      <w:r w:rsidRPr="00780A5E" w:rsidR="0050620D">
        <w:rPr>
          <w:rFonts w:ascii="Verdana" w:hAnsi="Verdana" w:cs="Arial"/>
          <w:sz w:val="18"/>
          <w:szCs w:val="18"/>
          <w:lang w:val="nl-NL"/>
        </w:rPr>
        <w:t xml:space="preserve">het Verdrag </w:t>
      </w:r>
      <w:r w:rsidRPr="000819E4" w:rsidR="0006094E">
        <w:rPr>
          <w:rFonts w:ascii="Verdana" w:hAnsi="Verdana" w:cs="Arial"/>
          <w:sz w:val="18"/>
          <w:szCs w:val="18"/>
          <w:lang w:val="nl-NL"/>
        </w:rPr>
        <w:t xml:space="preserve">van </w:t>
      </w:r>
      <w:r w:rsidRPr="000819E4" w:rsidR="0050620D">
        <w:rPr>
          <w:rFonts w:ascii="Verdana" w:hAnsi="Verdana" w:cs="Arial"/>
          <w:sz w:val="18"/>
          <w:szCs w:val="18"/>
          <w:lang w:val="nl-NL"/>
        </w:rPr>
        <w:t xml:space="preserve">1990) een beperkt heffingsrecht voor </w:t>
      </w:r>
      <w:r w:rsidRPr="0021450B" w:rsidR="009B3AF4">
        <w:rPr>
          <w:rFonts w:ascii="Verdana" w:hAnsi="Verdana" w:cs="Arial"/>
          <w:sz w:val="18"/>
          <w:szCs w:val="18"/>
          <w:lang w:val="nl-NL"/>
        </w:rPr>
        <w:t xml:space="preserve">de </w:t>
      </w:r>
      <w:r w:rsidR="009B3AF4">
        <w:rPr>
          <w:rFonts w:ascii="Verdana" w:hAnsi="Verdana" w:cs="Arial"/>
          <w:sz w:val="18"/>
          <w:szCs w:val="18"/>
          <w:lang w:val="nl-NL"/>
        </w:rPr>
        <w:t>verdragsluitende staat</w:t>
      </w:r>
      <w:r w:rsidRPr="000819E4" w:rsidDel="009B3AF4" w:rsidR="009B3AF4">
        <w:rPr>
          <w:rFonts w:ascii="Verdana" w:hAnsi="Verdana" w:cs="Arial"/>
          <w:sz w:val="18"/>
          <w:szCs w:val="18"/>
          <w:lang w:val="nl-NL"/>
        </w:rPr>
        <w:t xml:space="preserve"> </w:t>
      </w:r>
      <w:r w:rsidRPr="000819E4" w:rsidR="0050620D">
        <w:rPr>
          <w:rFonts w:ascii="Verdana" w:hAnsi="Verdana" w:cs="Arial"/>
          <w:sz w:val="18"/>
          <w:szCs w:val="18"/>
          <w:lang w:val="nl-NL"/>
        </w:rPr>
        <w:t xml:space="preserve">waaruit betaalde </w:t>
      </w:r>
      <w:r w:rsidRPr="0021450B" w:rsidR="0037768F">
        <w:rPr>
          <w:rFonts w:ascii="Verdana" w:hAnsi="Verdana" w:cs="Arial"/>
          <w:sz w:val="18"/>
          <w:szCs w:val="18"/>
          <w:lang w:val="nl-NL"/>
        </w:rPr>
        <w:t>royalty’s</w:t>
      </w:r>
      <w:r w:rsidRPr="0021450B" w:rsidR="0050620D">
        <w:rPr>
          <w:rFonts w:ascii="Verdana" w:hAnsi="Verdana" w:cs="Arial"/>
          <w:sz w:val="18"/>
          <w:szCs w:val="18"/>
          <w:lang w:val="nl-NL"/>
        </w:rPr>
        <w:t xml:space="preserve"> afkomstig </w:t>
      </w:r>
      <w:r w:rsidRPr="0021450B" w:rsidR="0037768F">
        <w:rPr>
          <w:rFonts w:ascii="Verdana" w:hAnsi="Verdana" w:cs="Arial"/>
          <w:sz w:val="18"/>
          <w:szCs w:val="18"/>
          <w:lang w:val="nl-NL"/>
        </w:rPr>
        <w:t>zijn</w:t>
      </w:r>
      <w:r w:rsidRPr="0021450B" w:rsidR="0050620D">
        <w:rPr>
          <w:rFonts w:ascii="Verdana" w:hAnsi="Verdana" w:cs="Arial"/>
          <w:sz w:val="18"/>
          <w:szCs w:val="18"/>
          <w:lang w:val="nl-NL"/>
        </w:rPr>
        <w:t xml:space="preserve"> (bronstaat). </w:t>
      </w:r>
      <w:r w:rsidRPr="0021450B" w:rsidR="0037768F">
        <w:rPr>
          <w:rFonts w:ascii="Verdana" w:hAnsi="Verdana" w:cs="Arial"/>
          <w:sz w:val="18"/>
          <w:szCs w:val="18"/>
          <w:lang w:val="nl-NL"/>
        </w:rPr>
        <w:t>V</w:t>
      </w:r>
      <w:r w:rsidRPr="0021450B" w:rsidR="00C324CF">
        <w:rPr>
          <w:rFonts w:ascii="Verdana" w:hAnsi="Verdana" w:cs="Arial"/>
          <w:sz w:val="18"/>
          <w:szCs w:val="18"/>
          <w:lang w:val="nl-NL"/>
        </w:rPr>
        <w:t>oor Bulgarije was een bronheffing op royalty’s één van de belangrijkste wensen. In het kader van het algehele onderhandelingsresultaat heeft Nederland ingestemd met een beperkt heffingsrecht voor de bronstaat (</w:t>
      </w:r>
      <w:r w:rsidRPr="0021450B" w:rsidR="00651E80">
        <w:rPr>
          <w:rFonts w:ascii="Verdana" w:hAnsi="Verdana" w:cs="Arial"/>
          <w:sz w:val="18"/>
          <w:szCs w:val="18"/>
          <w:lang w:val="nl-NL"/>
        </w:rPr>
        <w:t xml:space="preserve">waarbij Bulgarije het </w:t>
      </w:r>
      <w:r w:rsidRPr="0021450B">
        <w:rPr>
          <w:rFonts w:ascii="Verdana" w:hAnsi="Verdana" w:cs="Arial"/>
          <w:sz w:val="18"/>
          <w:szCs w:val="18"/>
          <w:lang w:val="nl-NL"/>
        </w:rPr>
        <w:t>nationale bronbelastingtarief op royalty</w:t>
      </w:r>
      <w:r w:rsidRPr="0021450B" w:rsidR="00651E80">
        <w:rPr>
          <w:rFonts w:ascii="Verdana" w:hAnsi="Verdana" w:cs="Arial"/>
          <w:sz w:val="18"/>
          <w:szCs w:val="18"/>
          <w:lang w:val="nl-NL"/>
        </w:rPr>
        <w:t>’</w:t>
      </w:r>
      <w:r w:rsidRPr="0021450B">
        <w:rPr>
          <w:rFonts w:ascii="Verdana" w:hAnsi="Verdana" w:cs="Arial"/>
          <w:sz w:val="18"/>
          <w:szCs w:val="18"/>
          <w:lang w:val="nl-NL"/>
        </w:rPr>
        <w:t xml:space="preserve">s </w:t>
      </w:r>
      <w:r w:rsidRPr="0021450B" w:rsidR="00651E80">
        <w:rPr>
          <w:rFonts w:ascii="Verdana" w:hAnsi="Verdana" w:cs="Arial"/>
          <w:sz w:val="18"/>
          <w:szCs w:val="18"/>
          <w:lang w:val="nl-NL"/>
        </w:rPr>
        <w:t xml:space="preserve">van </w:t>
      </w:r>
      <w:r w:rsidRPr="0021450B">
        <w:rPr>
          <w:rFonts w:ascii="Verdana" w:hAnsi="Verdana" w:cs="Arial"/>
          <w:sz w:val="18"/>
          <w:szCs w:val="18"/>
          <w:lang w:val="nl-NL"/>
        </w:rPr>
        <w:t>10</w:t>
      </w:r>
      <w:r w:rsidR="00115BB0">
        <w:rPr>
          <w:rFonts w:ascii="Verdana" w:hAnsi="Verdana" w:cs="Arial"/>
          <w:sz w:val="18"/>
          <w:szCs w:val="18"/>
          <w:lang w:val="nl-NL"/>
        </w:rPr>
        <w:t>%</w:t>
      </w:r>
      <w:r w:rsidRPr="0021450B" w:rsidR="00115BB0">
        <w:rPr>
          <w:rFonts w:ascii="Verdana" w:hAnsi="Verdana" w:cs="Arial"/>
          <w:sz w:val="18"/>
          <w:szCs w:val="18"/>
          <w:lang w:val="nl-NL"/>
        </w:rPr>
        <w:t xml:space="preserve"> </w:t>
      </w:r>
      <w:r w:rsidRPr="0021450B" w:rsidR="00651E80">
        <w:rPr>
          <w:rFonts w:ascii="Verdana" w:hAnsi="Verdana" w:cs="Arial"/>
          <w:sz w:val="18"/>
          <w:szCs w:val="18"/>
          <w:lang w:val="nl-NL"/>
        </w:rPr>
        <w:t>heeft verlaagd naar 5</w:t>
      </w:r>
      <w:r w:rsidR="00115BB0">
        <w:rPr>
          <w:rFonts w:ascii="Verdana" w:hAnsi="Verdana" w:cs="Arial"/>
          <w:sz w:val="18"/>
          <w:szCs w:val="18"/>
          <w:lang w:val="nl-NL"/>
        </w:rPr>
        <w:t>%</w:t>
      </w:r>
      <w:r w:rsidRPr="00BA2B89" w:rsidR="00651E80">
        <w:rPr>
          <w:rFonts w:ascii="Verdana" w:hAnsi="Verdana" w:cs="Arial"/>
          <w:sz w:val="18"/>
          <w:szCs w:val="18"/>
          <w:lang w:val="nl-NL"/>
        </w:rPr>
        <w:t>)</w:t>
      </w:r>
      <w:r w:rsidRPr="00AA5A9F">
        <w:rPr>
          <w:rFonts w:ascii="Verdana" w:hAnsi="Verdana" w:cs="Arial"/>
          <w:sz w:val="18"/>
          <w:szCs w:val="18"/>
          <w:lang w:val="nl-NL"/>
        </w:rPr>
        <w:t xml:space="preserve">. </w:t>
      </w:r>
      <w:r w:rsidRPr="00E67A1D" w:rsidR="00532E51">
        <w:rPr>
          <w:rFonts w:ascii="Verdana" w:hAnsi="Verdana" w:cs="Arial"/>
          <w:sz w:val="18"/>
          <w:szCs w:val="18"/>
          <w:lang w:val="nl-NL"/>
        </w:rPr>
        <w:t>Hierbij wordt opgem</w:t>
      </w:r>
      <w:r w:rsidRPr="00B6639D" w:rsidR="00532E51">
        <w:rPr>
          <w:rFonts w:ascii="Verdana" w:hAnsi="Verdana" w:cs="Arial"/>
          <w:sz w:val="18"/>
          <w:szCs w:val="18"/>
          <w:lang w:val="nl-NL"/>
        </w:rPr>
        <w:t>erkt dat Bulgarije op grond van de Rente- en royaltyrichtlijn onder voorwaarden</w:t>
      </w:r>
      <w:r w:rsidRPr="006C1373" w:rsidR="008C113B">
        <w:rPr>
          <w:rFonts w:ascii="Verdana" w:hAnsi="Verdana" w:cs="Arial"/>
          <w:sz w:val="18"/>
          <w:szCs w:val="18"/>
          <w:lang w:val="nl-NL"/>
        </w:rPr>
        <w:t xml:space="preserve"> </w:t>
      </w:r>
      <w:r w:rsidRPr="006C1373" w:rsidR="00532E51">
        <w:rPr>
          <w:rFonts w:ascii="Verdana" w:hAnsi="Verdana" w:cs="Arial"/>
          <w:sz w:val="18"/>
          <w:szCs w:val="18"/>
          <w:lang w:val="nl-NL"/>
        </w:rPr>
        <w:t>gehouden is de bron</w:t>
      </w:r>
      <w:r w:rsidR="009B3AF4">
        <w:rPr>
          <w:rFonts w:ascii="Verdana" w:hAnsi="Verdana" w:cs="Arial"/>
          <w:sz w:val="18"/>
          <w:szCs w:val="18"/>
          <w:lang w:val="nl-NL"/>
        </w:rPr>
        <w:t>belasting</w:t>
      </w:r>
      <w:r w:rsidRPr="006C1373" w:rsidR="00532E51">
        <w:rPr>
          <w:rFonts w:ascii="Verdana" w:hAnsi="Verdana" w:cs="Arial"/>
          <w:sz w:val="18"/>
          <w:szCs w:val="18"/>
          <w:lang w:val="nl-NL"/>
        </w:rPr>
        <w:t xml:space="preserve"> op binnen concernverband betaalde royalty’s tot nihil te verminderen.</w:t>
      </w:r>
      <w:r w:rsidRPr="00556990" w:rsidR="00891CA3">
        <w:rPr>
          <w:rStyle w:val="Voetnootmarkering"/>
          <w:rFonts w:ascii="Verdana" w:hAnsi="Verdana" w:cs="Arial"/>
          <w:sz w:val="18"/>
          <w:szCs w:val="18"/>
        </w:rPr>
        <w:footnoteReference w:id="14"/>
      </w:r>
    </w:p>
    <w:p w:rsidRPr="00BC6175" w:rsidR="00866874" w:rsidP="00500251" w:rsidRDefault="00500251" w14:paraId="2C1930D7" w14:textId="77777777">
      <w:pPr>
        <w:ind w:firstLine="720"/>
        <w:rPr>
          <w:rFonts w:ascii="Verdana" w:hAnsi="Verdana" w:cs="Arial"/>
          <w:sz w:val="18"/>
          <w:szCs w:val="18"/>
          <w:lang w:val="nl-NL"/>
        </w:rPr>
      </w:pPr>
      <w:r w:rsidRPr="001C6327">
        <w:rPr>
          <w:rFonts w:ascii="Verdana" w:hAnsi="Verdana" w:cs="Arial"/>
          <w:sz w:val="18"/>
          <w:szCs w:val="18"/>
          <w:lang w:val="nl-NL"/>
        </w:rPr>
        <w:lastRenderedPageBreak/>
        <w:t xml:space="preserve">Ingevolge het eerste lid mogen royalty’s die afkomstig zijn uit één van beide </w:t>
      </w:r>
      <w:r w:rsidR="0021450B">
        <w:rPr>
          <w:rFonts w:ascii="Verdana" w:hAnsi="Verdana" w:cs="Arial"/>
          <w:sz w:val="18"/>
          <w:szCs w:val="18"/>
          <w:lang w:val="nl-NL"/>
        </w:rPr>
        <w:t>verdragsluitende staten</w:t>
      </w:r>
      <w:r w:rsidRPr="00F578EC" w:rsidR="008B5401">
        <w:rPr>
          <w:rFonts w:ascii="Verdana" w:hAnsi="Verdana" w:cs="Arial"/>
          <w:sz w:val="18"/>
          <w:szCs w:val="18"/>
          <w:lang w:val="nl-NL"/>
        </w:rPr>
        <w:t xml:space="preserve"> </w:t>
      </w:r>
      <w:r w:rsidRPr="00F578EC">
        <w:rPr>
          <w:rFonts w:ascii="Verdana" w:hAnsi="Verdana" w:cs="Arial"/>
          <w:sz w:val="18"/>
          <w:szCs w:val="18"/>
          <w:lang w:val="nl-NL"/>
        </w:rPr>
        <w:t xml:space="preserve">en die worden betaald aan een inwoner van de andere </w:t>
      </w:r>
      <w:r w:rsidR="0021450B">
        <w:rPr>
          <w:rFonts w:ascii="Verdana" w:hAnsi="Verdana" w:cs="Arial"/>
          <w:sz w:val="18"/>
          <w:szCs w:val="18"/>
          <w:lang w:val="nl-NL"/>
        </w:rPr>
        <w:t>verdragsluitende staat</w:t>
      </w:r>
      <w:r w:rsidRPr="00BC6175">
        <w:rPr>
          <w:rFonts w:ascii="Verdana" w:hAnsi="Verdana" w:cs="Arial"/>
          <w:sz w:val="18"/>
          <w:szCs w:val="18"/>
          <w:lang w:val="nl-NL"/>
        </w:rPr>
        <w:t xml:space="preserve">, in die andere </w:t>
      </w:r>
      <w:r w:rsidR="003103E7">
        <w:rPr>
          <w:rFonts w:ascii="Verdana" w:hAnsi="Verdana" w:cs="Arial"/>
          <w:sz w:val="18"/>
          <w:szCs w:val="18"/>
          <w:lang w:val="nl-NL"/>
        </w:rPr>
        <w:t>staat</w:t>
      </w:r>
      <w:r w:rsidRPr="00BC6175">
        <w:rPr>
          <w:rFonts w:ascii="Verdana" w:hAnsi="Verdana" w:cs="Arial"/>
          <w:sz w:val="18"/>
          <w:szCs w:val="18"/>
          <w:lang w:val="nl-NL"/>
        </w:rPr>
        <w:t xml:space="preserve"> worden belast.</w:t>
      </w:r>
    </w:p>
    <w:p w:rsidRPr="005C1870" w:rsidR="00500251" w:rsidP="00500251" w:rsidRDefault="00500251" w14:paraId="5D7372E2" w14:textId="468E386C">
      <w:pPr>
        <w:ind w:firstLine="720"/>
        <w:rPr>
          <w:rFonts w:ascii="Verdana" w:hAnsi="Verdana"/>
          <w:sz w:val="18"/>
          <w:szCs w:val="18"/>
          <w:lang w:val="nl-NL"/>
        </w:rPr>
      </w:pPr>
      <w:r w:rsidRPr="00BC6175">
        <w:rPr>
          <w:rFonts w:ascii="Verdana" w:hAnsi="Verdana" w:cs="Arial"/>
          <w:sz w:val="18"/>
          <w:szCs w:val="18"/>
          <w:lang w:val="nl-NL"/>
        </w:rPr>
        <w:t xml:space="preserve">Het tweede lid wijst </w:t>
      </w:r>
      <w:r w:rsidRPr="00BC6175" w:rsidR="00866874">
        <w:rPr>
          <w:rFonts w:ascii="Verdana" w:hAnsi="Verdana" w:cs="Arial"/>
          <w:sz w:val="18"/>
          <w:szCs w:val="18"/>
          <w:lang w:val="nl-NL"/>
        </w:rPr>
        <w:t xml:space="preserve">ook </w:t>
      </w:r>
      <w:r w:rsidRPr="00BC6175">
        <w:rPr>
          <w:rFonts w:ascii="Verdana" w:hAnsi="Verdana" w:cs="Arial"/>
          <w:sz w:val="18"/>
          <w:szCs w:val="18"/>
          <w:lang w:val="nl-NL"/>
        </w:rPr>
        <w:t xml:space="preserve">een heffingsrecht toe aan de </w:t>
      </w:r>
      <w:r w:rsidR="003103E7">
        <w:rPr>
          <w:rFonts w:ascii="Verdana" w:hAnsi="Verdana" w:cs="Arial"/>
          <w:sz w:val="18"/>
          <w:szCs w:val="18"/>
          <w:lang w:val="nl-NL"/>
        </w:rPr>
        <w:t>staat</w:t>
      </w:r>
      <w:r w:rsidRPr="00BC6175">
        <w:rPr>
          <w:rFonts w:ascii="Verdana" w:hAnsi="Verdana" w:cs="Arial"/>
          <w:sz w:val="18"/>
          <w:szCs w:val="18"/>
          <w:lang w:val="nl-NL"/>
        </w:rPr>
        <w:t xml:space="preserve"> waaruit de royalty’s afkomstig zijn (bron</w:t>
      </w:r>
      <w:r w:rsidRPr="00BC6175" w:rsidR="00866874">
        <w:rPr>
          <w:rFonts w:ascii="Verdana" w:hAnsi="Verdana" w:cs="Arial"/>
          <w:sz w:val="18"/>
          <w:szCs w:val="18"/>
          <w:lang w:val="nl-NL"/>
        </w:rPr>
        <w:t>staat</w:t>
      </w:r>
      <w:r w:rsidRPr="00BC6175">
        <w:rPr>
          <w:rFonts w:ascii="Verdana" w:hAnsi="Verdana" w:cs="Arial"/>
          <w:sz w:val="18"/>
          <w:szCs w:val="18"/>
          <w:lang w:val="nl-NL"/>
        </w:rPr>
        <w:t xml:space="preserve">), maar deze </w:t>
      </w:r>
      <w:r w:rsidR="003103E7">
        <w:rPr>
          <w:rFonts w:ascii="Verdana" w:hAnsi="Verdana" w:cs="Arial"/>
          <w:sz w:val="18"/>
          <w:szCs w:val="18"/>
          <w:lang w:val="nl-NL"/>
        </w:rPr>
        <w:t>staat</w:t>
      </w:r>
      <w:r w:rsidRPr="00CF22A8" w:rsidR="00C96DC6">
        <w:rPr>
          <w:rFonts w:ascii="Verdana" w:hAnsi="Verdana" w:cs="Arial"/>
          <w:sz w:val="18"/>
          <w:szCs w:val="18"/>
          <w:lang w:val="nl-NL"/>
        </w:rPr>
        <w:t xml:space="preserve"> dient zijn heffing</w:t>
      </w:r>
      <w:r w:rsidRPr="00CF22A8">
        <w:rPr>
          <w:rFonts w:ascii="Verdana" w:hAnsi="Verdana" w:cs="Arial"/>
          <w:sz w:val="18"/>
          <w:szCs w:val="18"/>
          <w:lang w:val="nl-NL"/>
        </w:rPr>
        <w:t xml:space="preserve"> te be</w:t>
      </w:r>
      <w:r w:rsidR="008C60B2">
        <w:rPr>
          <w:rFonts w:ascii="Verdana" w:hAnsi="Verdana" w:cs="Arial"/>
          <w:sz w:val="18"/>
          <w:szCs w:val="18"/>
          <w:lang w:val="nl-NL"/>
        </w:rPr>
        <w:t>perken tot een maximum</w:t>
      </w:r>
      <w:r w:rsidRPr="00CF22A8">
        <w:rPr>
          <w:rFonts w:ascii="Verdana" w:hAnsi="Verdana" w:cs="Arial"/>
          <w:sz w:val="18"/>
          <w:szCs w:val="18"/>
          <w:lang w:val="nl-NL"/>
        </w:rPr>
        <w:t xml:space="preserve"> van 5</w:t>
      </w:r>
      <w:r w:rsidR="003F557E">
        <w:rPr>
          <w:rFonts w:ascii="Verdana" w:hAnsi="Verdana" w:cs="Arial"/>
          <w:sz w:val="18"/>
          <w:szCs w:val="18"/>
          <w:lang w:val="nl-NL"/>
        </w:rPr>
        <w:t>%</w:t>
      </w:r>
      <w:r w:rsidRPr="00CF22A8">
        <w:rPr>
          <w:rFonts w:ascii="Verdana" w:hAnsi="Verdana" w:cs="Arial"/>
          <w:sz w:val="18"/>
          <w:szCs w:val="18"/>
          <w:lang w:val="nl-NL"/>
        </w:rPr>
        <w:t xml:space="preserve"> van de brutoroyalty’s indien de uiteindelijk gerechtigde tot de royalty’s inwoner is van de andere </w:t>
      </w:r>
      <w:r w:rsidR="0021450B">
        <w:rPr>
          <w:rFonts w:ascii="Verdana" w:hAnsi="Verdana" w:cs="Arial"/>
          <w:sz w:val="18"/>
          <w:szCs w:val="18"/>
          <w:lang w:val="nl-NL"/>
        </w:rPr>
        <w:t>verdragsluitende staat</w:t>
      </w:r>
      <w:r w:rsidRPr="00CF22A8">
        <w:rPr>
          <w:rFonts w:ascii="Verdana" w:hAnsi="Verdana" w:cs="Arial"/>
          <w:sz w:val="18"/>
          <w:szCs w:val="18"/>
          <w:lang w:val="nl-NL"/>
        </w:rPr>
        <w:t xml:space="preserve">. </w:t>
      </w:r>
    </w:p>
    <w:p w:rsidRPr="00323312" w:rsidR="00500251" w:rsidP="00500251" w:rsidRDefault="006A5038" w14:paraId="310B2C95" w14:textId="77777777">
      <w:pPr>
        <w:ind w:firstLine="720"/>
        <w:rPr>
          <w:rFonts w:ascii="Verdana" w:hAnsi="Verdana" w:cs="Arial"/>
          <w:sz w:val="18"/>
          <w:szCs w:val="18"/>
          <w:lang w:val="nl-NL"/>
        </w:rPr>
      </w:pPr>
      <w:r w:rsidRPr="005C1870">
        <w:rPr>
          <w:rFonts w:ascii="Verdana" w:hAnsi="Verdana" w:cs="Arial"/>
          <w:sz w:val="18"/>
          <w:szCs w:val="18"/>
          <w:lang w:val="nl-NL"/>
        </w:rPr>
        <w:t>Het derde lid bevat een</w:t>
      </w:r>
      <w:r w:rsidRPr="005C1870" w:rsidR="00E05220">
        <w:rPr>
          <w:rFonts w:ascii="Verdana" w:hAnsi="Verdana" w:cs="Arial"/>
          <w:sz w:val="18"/>
          <w:szCs w:val="18"/>
          <w:lang w:val="nl-NL"/>
        </w:rPr>
        <w:t xml:space="preserve"> OESO-conforme</w:t>
      </w:r>
      <w:r w:rsidRPr="005C1870">
        <w:rPr>
          <w:rFonts w:ascii="Verdana" w:hAnsi="Verdana" w:cs="Arial"/>
          <w:sz w:val="18"/>
          <w:szCs w:val="18"/>
          <w:lang w:val="nl-NL"/>
        </w:rPr>
        <w:t xml:space="preserve"> definitie van het b</w:t>
      </w:r>
      <w:r w:rsidRPr="00CC3F01">
        <w:rPr>
          <w:rFonts w:ascii="Verdana" w:hAnsi="Verdana" w:cs="Arial"/>
          <w:sz w:val="18"/>
          <w:szCs w:val="18"/>
          <w:lang w:val="nl-NL"/>
        </w:rPr>
        <w:t xml:space="preserve">egrip </w:t>
      </w:r>
      <w:r w:rsidR="00323312">
        <w:rPr>
          <w:rFonts w:ascii="Verdana" w:hAnsi="Verdana" w:cs="Arial"/>
          <w:sz w:val="18"/>
          <w:szCs w:val="18"/>
          <w:lang w:val="nl-NL"/>
        </w:rPr>
        <w:t>‘</w:t>
      </w:r>
      <w:r w:rsidRPr="00323312">
        <w:rPr>
          <w:rFonts w:ascii="Verdana" w:hAnsi="Verdana" w:cs="Arial"/>
          <w:sz w:val="18"/>
          <w:szCs w:val="18"/>
          <w:lang w:val="nl-NL"/>
        </w:rPr>
        <w:t>royalty’s</w:t>
      </w:r>
      <w:r w:rsidR="00323312">
        <w:rPr>
          <w:rFonts w:ascii="Verdana" w:hAnsi="Verdana" w:cs="Arial"/>
          <w:sz w:val="18"/>
          <w:szCs w:val="18"/>
          <w:lang w:val="nl-NL"/>
        </w:rPr>
        <w:t>’</w:t>
      </w:r>
      <w:r w:rsidRPr="00323312">
        <w:rPr>
          <w:rFonts w:ascii="Verdana" w:hAnsi="Verdana" w:cs="Arial"/>
          <w:sz w:val="18"/>
          <w:szCs w:val="18"/>
          <w:lang w:val="nl-NL"/>
        </w:rPr>
        <w:t>.</w:t>
      </w:r>
      <w:r w:rsidRPr="00323312" w:rsidR="00500251">
        <w:rPr>
          <w:rFonts w:ascii="Verdana" w:hAnsi="Verdana" w:cs="Arial"/>
          <w:sz w:val="18"/>
          <w:szCs w:val="18"/>
          <w:lang w:val="nl-NL"/>
        </w:rPr>
        <w:t xml:space="preserve"> </w:t>
      </w:r>
    </w:p>
    <w:p w:rsidRPr="005C1870" w:rsidR="00500251" w:rsidP="00500251" w:rsidRDefault="006E6715" w14:paraId="14BA19DC" w14:textId="77777777">
      <w:pPr>
        <w:ind w:firstLine="720"/>
        <w:rPr>
          <w:rFonts w:ascii="Verdana" w:hAnsi="Verdana"/>
          <w:sz w:val="18"/>
          <w:szCs w:val="18"/>
          <w:lang w:val="nl-NL"/>
        </w:rPr>
      </w:pPr>
      <w:r w:rsidRPr="00BC6175">
        <w:rPr>
          <w:rFonts w:ascii="Verdana" w:hAnsi="Verdana" w:cs="Arial"/>
          <w:sz w:val="18"/>
          <w:szCs w:val="18"/>
          <w:lang w:val="nl-NL"/>
        </w:rPr>
        <w:t>Ingevolge</w:t>
      </w:r>
      <w:r w:rsidRPr="00BC6175" w:rsidR="00500251">
        <w:rPr>
          <w:rFonts w:ascii="Verdana" w:hAnsi="Verdana" w:cs="Arial"/>
          <w:sz w:val="18"/>
          <w:szCs w:val="18"/>
          <w:lang w:val="nl-NL"/>
        </w:rPr>
        <w:t xml:space="preserve"> het vierde lid zijn het eerste en tweede lid niet van toepassing op </w:t>
      </w:r>
      <w:r w:rsidRPr="00BC6175" w:rsidR="00AD586B">
        <w:rPr>
          <w:rFonts w:ascii="Verdana" w:hAnsi="Verdana" w:cs="Arial"/>
          <w:sz w:val="18"/>
          <w:szCs w:val="18"/>
          <w:lang w:val="nl-NL"/>
        </w:rPr>
        <w:t xml:space="preserve">betaalde </w:t>
      </w:r>
      <w:r w:rsidRPr="00BC6175" w:rsidR="00500251">
        <w:rPr>
          <w:rFonts w:ascii="Verdana" w:hAnsi="Verdana" w:cs="Arial"/>
          <w:sz w:val="18"/>
          <w:szCs w:val="18"/>
          <w:lang w:val="nl-NL"/>
        </w:rPr>
        <w:t xml:space="preserve">royalty’s die </w:t>
      </w:r>
      <w:r w:rsidRPr="00BC6175" w:rsidR="00AD586B">
        <w:rPr>
          <w:rFonts w:ascii="Verdana" w:hAnsi="Verdana" w:cs="Arial"/>
          <w:sz w:val="18"/>
          <w:szCs w:val="18"/>
          <w:lang w:val="nl-NL"/>
        </w:rPr>
        <w:t>verband houden met</w:t>
      </w:r>
      <w:r w:rsidRPr="00BC6175" w:rsidR="00500251">
        <w:rPr>
          <w:rFonts w:ascii="Verdana" w:hAnsi="Verdana" w:cs="Arial"/>
          <w:sz w:val="18"/>
          <w:szCs w:val="18"/>
          <w:lang w:val="nl-NL"/>
        </w:rPr>
        <w:t xml:space="preserve"> rechten of zaken die behoren tot het vermogen van een vaste inrichting waarover de uiteindelijk gerechtigde tot de r</w:t>
      </w:r>
      <w:r w:rsidRPr="00CF22A8" w:rsidR="00500251">
        <w:rPr>
          <w:rFonts w:ascii="Verdana" w:hAnsi="Verdana" w:cs="Arial"/>
          <w:sz w:val="18"/>
          <w:szCs w:val="18"/>
          <w:lang w:val="nl-NL"/>
        </w:rPr>
        <w:t xml:space="preserve">oyalty’s beschikt in de </w:t>
      </w:r>
      <w:r w:rsidR="0021450B">
        <w:rPr>
          <w:rFonts w:ascii="Verdana" w:hAnsi="Verdana" w:cs="Arial"/>
          <w:sz w:val="18"/>
          <w:szCs w:val="18"/>
          <w:lang w:val="nl-NL"/>
        </w:rPr>
        <w:t>verdragsluitende staat</w:t>
      </w:r>
      <w:r w:rsidRPr="005C1870" w:rsidR="00500251">
        <w:rPr>
          <w:rFonts w:ascii="Verdana" w:hAnsi="Verdana" w:cs="Arial"/>
          <w:sz w:val="18"/>
          <w:szCs w:val="18"/>
          <w:lang w:val="nl-NL"/>
        </w:rPr>
        <w:t xml:space="preserve"> waaruit de royalty’s afkomstig zijn. In dat geval zijn de bepalingen van artikel 7 van toepassing.</w:t>
      </w:r>
    </w:p>
    <w:p w:rsidRPr="00780A5E" w:rsidR="00500251" w:rsidP="00500251" w:rsidRDefault="00500251" w14:paraId="427EDC92" w14:textId="77777777">
      <w:pPr>
        <w:ind w:firstLine="720"/>
        <w:rPr>
          <w:rFonts w:ascii="Verdana" w:hAnsi="Verdana" w:cs="Arial"/>
          <w:sz w:val="18"/>
          <w:szCs w:val="18"/>
          <w:lang w:val="nl-NL"/>
        </w:rPr>
      </w:pPr>
      <w:r w:rsidRPr="00916448">
        <w:rPr>
          <w:rFonts w:ascii="Verdana" w:hAnsi="Verdana" w:cs="Arial"/>
          <w:sz w:val="18"/>
          <w:szCs w:val="18"/>
          <w:lang w:val="nl-NL"/>
        </w:rPr>
        <w:t xml:space="preserve">Het vijfde lid geeft aan uit welke </w:t>
      </w:r>
      <w:r w:rsidR="0021450B">
        <w:rPr>
          <w:rFonts w:ascii="Verdana" w:hAnsi="Verdana" w:cs="Arial"/>
          <w:sz w:val="18"/>
          <w:szCs w:val="18"/>
          <w:lang w:val="nl-NL"/>
        </w:rPr>
        <w:t>verdragsluitende staat</w:t>
      </w:r>
      <w:r w:rsidRPr="00916448">
        <w:rPr>
          <w:rFonts w:ascii="Verdana" w:hAnsi="Verdana" w:cs="Arial"/>
          <w:sz w:val="18"/>
          <w:szCs w:val="18"/>
          <w:lang w:val="nl-NL"/>
        </w:rPr>
        <w:t xml:space="preserve"> royalty’s geacht worden afkomstig te zijn. In beginsel is dat de </w:t>
      </w:r>
      <w:r w:rsidR="0021450B">
        <w:rPr>
          <w:rFonts w:ascii="Verdana" w:hAnsi="Verdana" w:cs="Arial"/>
          <w:sz w:val="18"/>
          <w:szCs w:val="18"/>
          <w:lang w:val="nl-NL"/>
        </w:rPr>
        <w:t>verdragsluitende staat</w:t>
      </w:r>
      <w:r w:rsidRPr="00916448">
        <w:rPr>
          <w:rFonts w:ascii="Verdana" w:hAnsi="Verdana" w:cs="Arial"/>
          <w:sz w:val="18"/>
          <w:szCs w:val="18"/>
          <w:lang w:val="nl-NL"/>
        </w:rPr>
        <w:t xml:space="preserve"> waarvan de betaler van de royalty’s inwoner is. Als echter de betaler van de royalty’s, ongeacht of hij inwoner is van een </w:t>
      </w:r>
      <w:r w:rsidR="0021450B">
        <w:rPr>
          <w:rFonts w:ascii="Verdana" w:hAnsi="Verdana" w:cs="Arial"/>
          <w:sz w:val="18"/>
          <w:szCs w:val="18"/>
          <w:lang w:val="nl-NL"/>
        </w:rPr>
        <w:t>verdragsluitende staat</w:t>
      </w:r>
      <w:r w:rsidRPr="00916448">
        <w:rPr>
          <w:rFonts w:ascii="Verdana" w:hAnsi="Verdana" w:cs="Arial"/>
          <w:sz w:val="18"/>
          <w:szCs w:val="18"/>
          <w:lang w:val="nl-NL"/>
        </w:rPr>
        <w:t xml:space="preserve">, een vaste inrichting heeft in een </w:t>
      </w:r>
      <w:r w:rsidR="0021450B">
        <w:rPr>
          <w:rFonts w:ascii="Verdana" w:hAnsi="Verdana" w:cs="Arial"/>
          <w:sz w:val="18"/>
          <w:szCs w:val="18"/>
          <w:lang w:val="nl-NL"/>
        </w:rPr>
        <w:t>verdragsluitende staat</w:t>
      </w:r>
      <w:r w:rsidRPr="00780A5E">
        <w:rPr>
          <w:rFonts w:ascii="Verdana" w:hAnsi="Verdana" w:cs="Arial"/>
          <w:sz w:val="18"/>
          <w:szCs w:val="18"/>
          <w:lang w:val="nl-NL"/>
        </w:rPr>
        <w:t xml:space="preserve"> waaraan </w:t>
      </w:r>
      <w:r w:rsidR="008C60B2">
        <w:rPr>
          <w:rFonts w:ascii="Verdana" w:hAnsi="Verdana" w:cs="Arial"/>
          <w:sz w:val="18"/>
          <w:szCs w:val="18"/>
          <w:lang w:val="nl-NL"/>
        </w:rPr>
        <w:t xml:space="preserve">het recht of de zaak uit hoofde waarvan </w:t>
      </w:r>
      <w:r w:rsidRPr="00780A5E">
        <w:rPr>
          <w:rFonts w:ascii="Verdana" w:hAnsi="Verdana" w:cs="Arial"/>
          <w:sz w:val="18"/>
          <w:szCs w:val="18"/>
          <w:lang w:val="nl-NL"/>
        </w:rPr>
        <w:t>de royaltybetaling</w:t>
      </w:r>
      <w:r w:rsidR="008C60B2">
        <w:rPr>
          <w:rFonts w:ascii="Verdana" w:hAnsi="Verdana" w:cs="Arial"/>
          <w:sz w:val="18"/>
          <w:szCs w:val="18"/>
          <w:lang w:val="nl-NL"/>
        </w:rPr>
        <w:t xml:space="preserve"> wordt gedaan,</w:t>
      </w:r>
      <w:r w:rsidRPr="00780A5E">
        <w:rPr>
          <w:rFonts w:ascii="Verdana" w:hAnsi="Verdana" w:cs="Arial"/>
          <w:sz w:val="18"/>
          <w:szCs w:val="18"/>
          <w:lang w:val="nl-NL"/>
        </w:rPr>
        <w:t xml:space="preserve"> kan worden toegerekend, worden de royalty’s geacht afkomstig te zijn uit de </w:t>
      </w:r>
      <w:r w:rsidR="003103E7">
        <w:rPr>
          <w:rFonts w:ascii="Verdana" w:hAnsi="Verdana" w:cs="Arial"/>
          <w:sz w:val="18"/>
          <w:szCs w:val="18"/>
          <w:lang w:val="nl-NL"/>
        </w:rPr>
        <w:t>staat</w:t>
      </w:r>
      <w:r w:rsidRPr="00780A5E">
        <w:rPr>
          <w:rFonts w:ascii="Verdana" w:hAnsi="Verdana" w:cs="Arial"/>
          <w:sz w:val="18"/>
          <w:szCs w:val="18"/>
          <w:lang w:val="nl-NL"/>
        </w:rPr>
        <w:t xml:space="preserve"> waarin de vaste inrichting is gelegen.</w:t>
      </w:r>
    </w:p>
    <w:p w:rsidRPr="0021450B" w:rsidR="00FF7004" w:rsidP="00FF7004" w:rsidRDefault="00FF7004" w14:paraId="17E0AA1A" w14:textId="77777777">
      <w:pPr>
        <w:ind w:firstLine="720"/>
        <w:rPr>
          <w:rFonts w:ascii="Verdana" w:hAnsi="Verdana" w:cs="Arial"/>
          <w:sz w:val="18"/>
          <w:szCs w:val="18"/>
          <w:lang w:val="nl-NL"/>
        </w:rPr>
      </w:pPr>
      <w:r w:rsidRPr="0021450B">
        <w:rPr>
          <w:rFonts w:ascii="Verdana" w:hAnsi="Verdana" w:cs="Arial"/>
          <w:sz w:val="18"/>
          <w:szCs w:val="18"/>
          <w:lang w:val="nl-NL"/>
        </w:rPr>
        <w:t xml:space="preserve">Ten slotte bepaalt het zesde lid dat de bepalingen van artikel 12 slechts van toepassing zijn voor zover de royaltybetaling overeenkomt met </w:t>
      </w:r>
      <w:r w:rsidRPr="0021450B" w:rsidR="00404093">
        <w:rPr>
          <w:rFonts w:ascii="Verdana" w:hAnsi="Verdana" w:cs="Arial"/>
          <w:sz w:val="18"/>
          <w:szCs w:val="18"/>
          <w:lang w:val="nl-NL"/>
        </w:rPr>
        <w:t>een</w:t>
      </w:r>
      <w:r w:rsidRPr="0021450B">
        <w:rPr>
          <w:rFonts w:ascii="Verdana" w:hAnsi="Verdana" w:cs="Arial"/>
          <w:sz w:val="18"/>
          <w:szCs w:val="18"/>
          <w:lang w:val="nl-NL"/>
        </w:rPr>
        <w:t xml:space="preserve"> royaltybetaling die tussen onafhankelijke partijen overeengekomen zou zijn, alsmede dat een bovenmatig gedeelte van een royaltybetaling in het voorkomende geval, rekening houdende met de overige bepalingen van het Verdrag, belastbaar is overeenkomstig de nationale wetgeving van ieder van de </w:t>
      </w:r>
      <w:r w:rsidR="0021450B">
        <w:rPr>
          <w:rFonts w:ascii="Verdana" w:hAnsi="Verdana" w:cs="Arial"/>
          <w:sz w:val="18"/>
          <w:szCs w:val="18"/>
          <w:lang w:val="nl-NL"/>
        </w:rPr>
        <w:t>verdragsluitende staten</w:t>
      </w:r>
      <w:r w:rsidRPr="0021450B">
        <w:rPr>
          <w:rFonts w:ascii="Verdana" w:hAnsi="Verdana" w:cs="Arial"/>
          <w:sz w:val="18"/>
          <w:szCs w:val="18"/>
          <w:lang w:val="nl-NL"/>
        </w:rPr>
        <w:t xml:space="preserve">. </w:t>
      </w:r>
    </w:p>
    <w:p w:rsidRPr="0021450B" w:rsidR="00500251" w:rsidP="00500251" w:rsidRDefault="00897566" w14:paraId="20EA71DA" w14:textId="77777777">
      <w:pPr>
        <w:ind w:firstLine="720"/>
        <w:rPr>
          <w:rFonts w:ascii="Verdana" w:hAnsi="Verdana" w:cs="Arial"/>
          <w:sz w:val="18"/>
          <w:szCs w:val="18"/>
          <w:highlight w:val="yellow"/>
          <w:lang w:val="nl-NL"/>
        </w:rPr>
      </w:pPr>
      <w:r w:rsidRPr="0021450B">
        <w:rPr>
          <w:rFonts w:ascii="Verdana" w:hAnsi="Verdana" w:cs="Arial"/>
          <w:sz w:val="18"/>
          <w:szCs w:val="18"/>
          <w:lang w:val="nl-NL"/>
        </w:rPr>
        <w:t>Voor de toelichting op de artikelen II en VI van het Protocol wordt verwezen naar de toelichting op respectievelijk artikel 1 en artikel 6.</w:t>
      </w:r>
      <w:r w:rsidRPr="0021450B" w:rsidR="00500251">
        <w:rPr>
          <w:rFonts w:ascii="Verdana" w:hAnsi="Verdana" w:cs="Arial"/>
          <w:sz w:val="18"/>
          <w:szCs w:val="18"/>
          <w:highlight w:val="yellow"/>
          <w:lang w:val="nl-NL"/>
        </w:rPr>
        <w:br/>
      </w:r>
    </w:p>
    <w:p w:rsidRPr="00916448" w:rsidR="00500251" w:rsidP="00500251" w:rsidRDefault="00500251" w14:paraId="5D1E79D5" w14:textId="77777777">
      <w:pPr>
        <w:ind w:firstLine="0"/>
        <w:rPr>
          <w:rFonts w:ascii="Verdana" w:hAnsi="Verdana"/>
          <w:sz w:val="18"/>
          <w:szCs w:val="18"/>
          <w:lang w:val="nl-NL"/>
        </w:rPr>
      </w:pPr>
      <w:r w:rsidRPr="0021450B">
        <w:rPr>
          <w:rFonts w:ascii="Verdana" w:hAnsi="Verdana"/>
          <w:i/>
          <w:sz w:val="18"/>
          <w:szCs w:val="18"/>
          <w:lang w:val="nl-NL"/>
        </w:rPr>
        <w:t xml:space="preserve">II.13. Vermogenswinsten (artikel 13 </w:t>
      </w:r>
      <w:r w:rsidRPr="00916448" w:rsidR="00916448">
        <w:rPr>
          <w:rFonts w:ascii="Verdana" w:hAnsi="Verdana"/>
          <w:i/>
          <w:sz w:val="18"/>
          <w:szCs w:val="18"/>
          <w:lang w:val="nl-NL"/>
        </w:rPr>
        <w:t xml:space="preserve">van het Verdrag </w:t>
      </w:r>
      <w:r w:rsidRPr="00916448">
        <w:rPr>
          <w:rFonts w:ascii="Verdana" w:hAnsi="Verdana"/>
          <w:i/>
          <w:sz w:val="18"/>
          <w:szCs w:val="18"/>
          <w:lang w:val="nl-NL"/>
        </w:rPr>
        <w:t xml:space="preserve">en artikelen </w:t>
      </w:r>
      <w:r w:rsidRPr="00916448" w:rsidR="00897566">
        <w:rPr>
          <w:rFonts w:ascii="Verdana" w:hAnsi="Verdana"/>
          <w:i/>
          <w:sz w:val="18"/>
          <w:szCs w:val="18"/>
          <w:lang w:val="nl-NL"/>
        </w:rPr>
        <w:t xml:space="preserve">II, </w:t>
      </w:r>
      <w:r w:rsidRPr="00916448">
        <w:rPr>
          <w:rFonts w:ascii="Verdana" w:hAnsi="Verdana"/>
          <w:i/>
          <w:sz w:val="18"/>
          <w:szCs w:val="18"/>
          <w:lang w:val="nl-NL"/>
        </w:rPr>
        <w:t>V en VI</w:t>
      </w:r>
      <w:r w:rsidRPr="00916448" w:rsidR="00916448">
        <w:rPr>
          <w:rFonts w:ascii="Verdana" w:hAnsi="Verdana"/>
          <w:i/>
          <w:sz w:val="18"/>
          <w:szCs w:val="18"/>
          <w:lang w:val="nl-NL"/>
        </w:rPr>
        <w:t xml:space="preserve"> </w:t>
      </w:r>
      <w:r w:rsidR="00916448">
        <w:rPr>
          <w:rFonts w:ascii="Verdana" w:hAnsi="Verdana"/>
          <w:i/>
          <w:sz w:val="18"/>
          <w:szCs w:val="18"/>
          <w:lang w:val="nl-NL"/>
        </w:rPr>
        <w:t xml:space="preserve">van het </w:t>
      </w:r>
      <w:r w:rsidRPr="00916448" w:rsidR="00916448">
        <w:rPr>
          <w:rFonts w:ascii="Verdana" w:hAnsi="Verdana"/>
          <w:i/>
          <w:sz w:val="18"/>
          <w:szCs w:val="18"/>
          <w:lang w:val="nl-NL"/>
        </w:rPr>
        <w:t>Protocol</w:t>
      </w:r>
      <w:r w:rsidRPr="00916448">
        <w:rPr>
          <w:rFonts w:ascii="Verdana" w:hAnsi="Verdana"/>
          <w:i/>
          <w:sz w:val="18"/>
          <w:szCs w:val="18"/>
          <w:lang w:val="nl-NL"/>
        </w:rPr>
        <w:t>)</w:t>
      </w:r>
    </w:p>
    <w:p w:rsidRPr="00916448" w:rsidR="00500251" w:rsidP="00500251" w:rsidRDefault="00500251" w14:paraId="7534BEB6" w14:textId="77777777">
      <w:pPr>
        <w:ind w:firstLine="720"/>
        <w:rPr>
          <w:rFonts w:ascii="Verdana" w:hAnsi="Verdana" w:cs="Arial"/>
          <w:sz w:val="18"/>
          <w:szCs w:val="18"/>
          <w:highlight w:val="yellow"/>
          <w:lang w:val="nl-NL"/>
        </w:rPr>
      </w:pPr>
    </w:p>
    <w:p w:rsidRPr="00556990" w:rsidR="00500251" w:rsidP="00500251" w:rsidRDefault="00500251" w14:paraId="03854043" w14:textId="75E42EA6">
      <w:pPr>
        <w:ind w:firstLine="720"/>
        <w:rPr>
          <w:rFonts w:ascii="Verdana" w:hAnsi="Verdana" w:cs="Arial"/>
          <w:sz w:val="18"/>
          <w:szCs w:val="18"/>
          <w:lang w:val="nl-NL"/>
        </w:rPr>
      </w:pPr>
      <w:r w:rsidRPr="00916448">
        <w:rPr>
          <w:rFonts w:ascii="Verdana" w:hAnsi="Verdana" w:cs="Arial"/>
          <w:sz w:val="18"/>
          <w:szCs w:val="18"/>
          <w:lang w:val="nl-NL"/>
        </w:rPr>
        <w:t>Artikel 13</w:t>
      </w:r>
      <w:r w:rsidRPr="00916448" w:rsidR="00CC7F47">
        <w:rPr>
          <w:rFonts w:ascii="Verdana" w:hAnsi="Verdana" w:cs="Arial"/>
          <w:sz w:val="18"/>
          <w:szCs w:val="18"/>
          <w:lang w:val="nl-NL"/>
        </w:rPr>
        <w:t xml:space="preserve"> van het Verdrag</w:t>
      </w:r>
      <w:r w:rsidRPr="00916448">
        <w:rPr>
          <w:rFonts w:ascii="Verdana" w:hAnsi="Verdana" w:cs="Arial"/>
          <w:sz w:val="18"/>
          <w:szCs w:val="18"/>
          <w:lang w:val="nl-NL"/>
        </w:rPr>
        <w:t xml:space="preserve"> heeft betrekking op de verdeling van heffingsrechten over ver</w:t>
      </w:r>
      <w:r w:rsidRPr="00780A5E" w:rsidR="006F0AA0">
        <w:rPr>
          <w:rFonts w:ascii="Verdana" w:hAnsi="Verdana" w:cs="Arial"/>
          <w:sz w:val="18"/>
          <w:szCs w:val="18"/>
          <w:lang w:val="nl-NL"/>
        </w:rPr>
        <w:t>vreemdings</w:t>
      </w:r>
      <w:r w:rsidRPr="00780A5E">
        <w:rPr>
          <w:rFonts w:ascii="Verdana" w:hAnsi="Verdana" w:cs="Arial"/>
          <w:sz w:val="18"/>
          <w:szCs w:val="18"/>
          <w:lang w:val="nl-NL"/>
        </w:rPr>
        <w:t>winsten</w:t>
      </w:r>
      <w:r w:rsidRPr="00780A5E" w:rsidR="006F0AA0">
        <w:rPr>
          <w:rFonts w:ascii="Verdana" w:hAnsi="Verdana" w:cs="Arial"/>
          <w:sz w:val="18"/>
          <w:szCs w:val="18"/>
          <w:lang w:val="nl-NL"/>
        </w:rPr>
        <w:t xml:space="preserve">. Deze bepaling is gebaseerd op artikel 13 van het OESO-modelverdrag </w:t>
      </w:r>
      <w:r w:rsidRPr="00780A5E" w:rsidR="005506F2">
        <w:rPr>
          <w:rFonts w:ascii="Verdana" w:hAnsi="Verdana" w:cs="Arial"/>
          <w:sz w:val="18"/>
          <w:szCs w:val="18"/>
          <w:lang w:val="nl-NL"/>
        </w:rPr>
        <w:t xml:space="preserve">maar </w:t>
      </w:r>
      <w:r w:rsidRPr="0021450B" w:rsidR="006F0AA0">
        <w:rPr>
          <w:rFonts w:ascii="Verdana" w:hAnsi="Verdana" w:cs="Arial"/>
          <w:sz w:val="18"/>
          <w:szCs w:val="18"/>
          <w:lang w:val="nl-NL"/>
        </w:rPr>
        <w:t xml:space="preserve">bevat </w:t>
      </w:r>
      <w:r w:rsidRPr="0021450B" w:rsidR="005506F2">
        <w:rPr>
          <w:rFonts w:ascii="Verdana" w:hAnsi="Verdana" w:cs="Arial"/>
          <w:sz w:val="18"/>
          <w:szCs w:val="18"/>
          <w:lang w:val="nl-NL"/>
        </w:rPr>
        <w:t xml:space="preserve">enkele </w:t>
      </w:r>
      <w:r w:rsidRPr="0021450B" w:rsidR="00E05220">
        <w:rPr>
          <w:rFonts w:ascii="Verdana" w:hAnsi="Verdana" w:cs="Arial"/>
          <w:sz w:val="18"/>
          <w:szCs w:val="18"/>
          <w:lang w:val="nl-NL"/>
        </w:rPr>
        <w:t>uitzonderingen</w:t>
      </w:r>
      <w:r w:rsidRPr="0021450B" w:rsidR="00A777D6">
        <w:rPr>
          <w:rFonts w:ascii="Verdana" w:hAnsi="Verdana" w:cs="Arial"/>
          <w:sz w:val="18"/>
          <w:szCs w:val="18"/>
          <w:lang w:val="nl-NL"/>
        </w:rPr>
        <w:t xml:space="preserve"> </w:t>
      </w:r>
      <w:r w:rsidR="004E2B58">
        <w:rPr>
          <w:rFonts w:ascii="Verdana" w:hAnsi="Verdana" w:cs="Arial"/>
          <w:sz w:val="18"/>
          <w:szCs w:val="18"/>
          <w:lang w:val="nl-NL"/>
        </w:rPr>
        <w:t>op</w:t>
      </w:r>
      <w:r w:rsidRPr="0021450B">
        <w:rPr>
          <w:rFonts w:ascii="Verdana" w:hAnsi="Verdana" w:cs="Arial"/>
          <w:sz w:val="18"/>
          <w:szCs w:val="18"/>
          <w:lang w:val="nl-NL"/>
        </w:rPr>
        <w:t xml:space="preserve"> de bronstaatheffing </w:t>
      </w:r>
      <w:r w:rsidRPr="0021450B" w:rsidR="005506F2">
        <w:rPr>
          <w:rFonts w:ascii="Verdana" w:hAnsi="Verdana" w:cs="Arial"/>
          <w:sz w:val="18"/>
          <w:szCs w:val="18"/>
          <w:lang w:val="nl-NL"/>
        </w:rPr>
        <w:t xml:space="preserve">over vervreemdingswinsten ter zake van aandelen in </w:t>
      </w:r>
      <w:r w:rsidRPr="0021450B">
        <w:rPr>
          <w:rFonts w:ascii="Verdana" w:hAnsi="Verdana" w:cs="Arial"/>
          <w:sz w:val="18"/>
          <w:szCs w:val="18"/>
          <w:lang w:val="nl-NL"/>
        </w:rPr>
        <w:t>zoge</w:t>
      </w:r>
      <w:r w:rsidRPr="0021450B" w:rsidR="005506F2">
        <w:rPr>
          <w:rFonts w:ascii="Verdana" w:hAnsi="Verdana" w:cs="Arial"/>
          <w:sz w:val="18"/>
          <w:szCs w:val="18"/>
          <w:lang w:val="nl-NL"/>
        </w:rPr>
        <w:t>noemde</w:t>
      </w:r>
      <w:r w:rsidRPr="0021450B">
        <w:rPr>
          <w:rFonts w:ascii="Verdana" w:hAnsi="Verdana" w:cs="Arial"/>
          <w:sz w:val="18"/>
          <w:szCs w:val="18"/>
          <w:lang w:val="nl-NL"/>
        </w:rPr>
        <w:t xml:space="preserve"> </w:t>
      </w:r>
      <w:r w:rsidRPr="0021450B" w:rsidR="00115BB0">
        <w:rPr>
          <w:rFonts w:ascii="Verdana" w:hAnsi="Verdana" w:cs="Arial"/>
          <w:sz w:val="18"/>
          <w:szCs w:val="18"/>
          <w:lang w:val="nl-NL"/>
        </w:rPr>
        <w:t>onroerendezaak</w:t>
      </w:r>
      <w:r w:rsidR="00115BB0">
        <w:rPr>
          <w:rFonts w:ascii="Verdana" w:hAnsi="Verdana" w:cs="Arial"/>
          <w:sz w:val="18"/>
          <w:szCs w:val="18"/>
          <w:lang w:val="nl-NL"/>
        </w:rPr>
        <w:t>lichamen</w:t>
      </w:r>
      <w:r w:rsidRPr="0021450B" w:rsidR="00115BB0">
        <w:rPr>
          <w:rFonts w:ascii="Verdana" w:hAnsi="Verdana" w:cs="Arial"/>
          <w:sz w:val="18"/>
          <w:szCs w:val="18"/>
          <w:lang w:val="nl-NL"/>
        </w:rPr>
        <w:t xml:space="preserve"> </w:t>
      </w:r>
      <w:r w:rsidRPr="0021450B">
        <w:rPr>
          <w:rFonts w:ascii="Verdana" w:hAnsi="Verdana" w:cs="Arial"/>
          <w:sz w:val="18"/>
          <w:szCs w:val="18"/>
          <w:lang w:val="nl-NL"/>
        </w:rPr>
        <w:t>(vierde lid)</w:t>
      </w:r>
      <w:r w:rsidRPr="0021450B" w:rsidR="00E05220">
        <w:rPr>
          <w:rFonts w:ascii="Verdana" w:hAnsi="Verdana" w:cs="Arial"/>
          <w:sz w:val="18"/>
          <w:szCs w:val="18"/>
          <w:lang w:val="nl-NL"/>
        </w:rPr>
        <w:t>. Verder</w:t>
      </w:r>
      <w:r w:rsidRPr="00BA2B89" w:rsidR="005506F2">
        <w:rPr>
          <w:rFonts w:ascii="Verdana" w:hAnsi="Verdana" w:cs="Arial"/>
          <w:sz w:val="18"/>
          <w:szCs w:val="18"/>
          <w:lang w:val="nl-NL"/>
        </w:rPr>
        <w:t xml:space="preserve"> bevat het zesde lid, in afwijking van het OESO-modelverdrag</w:t>
      </w:r>
      <w:r w:rsidRPr="00A4089F" w:rsidR="00230D93">
        <w:rPr>
          <w:rFonts w:ascii="Verdana" w:hAnsi="Verdana" w:cs="Arial"/>
          <w:sz w:val="18"/>
          <w:szCs w:val="18"/>
          <w:lang w:val="nl-NL"/>
        </w:rPr>
        <w:t xml:space="preserve"> maar in </w:t>
      </w:r>
      <w:r w:rsidR="00115BB0">
        <w:rPr>
          <w:rFonts w:ascii="Verdana" w:hAnsi="Verdana" w:cs="Arial"/>
          <w:sz w:val="18"/>
          <w:szCs w:val="18"/>
          <w:lang w:val="nl-NL"/>
        </w:rPr>
        <w:t>lijn met</w:t>
      </w:r>
      <w:r w:rsidR="00611A8F">
        <w:rPr>
          <w:rFonts w:ascii="Verdana" w:hAnsi="Verdana" w:cs="Arial"/>
          <w:sz w:val="18"/>
          <w:szCs w:val="18"/>
          <w:lang w:val="nl-NL"/>
        </w:rPr>
        <w:t xml:space="preserve"> </w:t>
      </w:r>
      <w:r w:rsidRPr="00A4089F" w:rsidR="00230D93">
        <w:rPr>
          <w:rFonts w:ascii="Verdana" w:hAnsi="Verdana" w:cs="Arial"/>
          <w:sz w:val="18"/>
          <w:szCs w:val="18"/>
          <w:lang w:val="nl-NL"/>
        </w:rPr>
        <w:t xml:space="preserve">het Verdrag </w:t>
      </w:r>
      <w:r w:rsidRPr="00A4089F" w:rsidR="00556990">
        <w:rPr>
          <w:rFonts w:ascii="Verdana" w:hAnsi="Verdana" w:cs="Arial"/>
          <w:sz w:val="18"/>
          <w:szCs w:val="18"/>
          <w:lang w:val="nl-NL"/>
        </w:rPr>
        <w:t xml:space="preserve">van </w:t>
      </w:r>
      <w:r w:rsidRPr="006C1373" w:rsidR="00230D93">
        <w:rPr>
          <w:rFonts w:ascii="Verdana" w:hAnsi="Verdana" w:cs="Arial"/>
          <w:sz w:val="18"/>
          <w:szCs w:val="18"/>
          <w:lang w:val="nl-NL"/>
        </w:rPr>
        <w:t xml:space="preserve">1990, </w:t>
      </w:r>
      <w:r w:rsidRPr="00DD3563" w:rsidR="00EC407D">
        <w:rPr>
          <w:rFonts w:ascii="Verdana" w:hAnsi="Verdana" w:cs="Arial"/>
          <w:sz w:val="18"/>
          <w:szCs w:val="18"/>
          <w:lang w:val="nl-NL"/>
        </w:rPr>
        <w:t>een bepaling die ziet op</w:t>
      </w:r>
      <w:r w:rsidRPr="00DD3563">
        <w:rPr>
          <w:rFonts w:ascii="Verdana" w:hAnsi="Verdana" w:cs="Arial"/>
          <w:sz w:val="18"/>
          <w:szCs w:val="18"/>
          <w:lang w:val="nl-NL"/>
        </w:rPr>
        <w:t xml:space="preserve"> vervreemdingswinsten </w:t>
      </w:r>
      <w:r w:rsidRPr="003F7CD6" w:rsidR="00230D93">
        <w:rPr>
          <w:rFonts w:ascii="Verdana" w:hAnsi="Verdana" w:cs="Arial"/>
          <w:sz w:val="18"/>
          <w:szCs w:val="18"/>
          <w:lang w:val="nl-NL"/>
        </w:rPr>
        <w:t xml:space="preserve">behaald </w:t>
      </w:r>
      <w:r w:rsidRPr="003F7CD6">
        <w:rPr>
          <w:rFonts w:ascii="Verdana" w:hAnsi="Verdana" w:cs="Arial"/>
          <w:sz w:val="18"/>
          <w:szCs w:val="18"/>
          <w:lang w:val="nl-NL"/>
        </w:rPr>
        <w:t xml:space="preserve">door </w:t>
      </w:r>
      <w:r w:rsidRPr="003F7CD6" w:rsidR="00230D93">
        <w:rPr>
          <w:rFonts w:ascii="Verdana" w:hAnsi="Verdana" w:cs="Arial"/>
          <w:sz w:val="18"/>
          <w:szCs w:val="18"/>
          <w:lang w:val="nl-NL"/>
        </w:rPr>
        <w:t xml:space="preserve">geëmigreerde </w:t>
      </w:r>
      <w:r w:rsidRPr="00606D22">
        <w:rPr>
          <w:rFonts w:ascii="Verdana" w:hAnsi="Verdana" w:cs="Arial"/>
          <w:sz w:val="18"/>
          <w:szCs w:val="18"/>
          <w:lang w:val="nl-NL"/>
        </w:rPr>
        <w:t>aanmerkelijkbelanghouders.</w:t>
      </w:r>
      <w:r w:rsidRPr="005C1870" w:rsidR="0013779A">
        <w:rPr>
          <w:rFonts w:ascii="Verdana" w:hAnsi="Verdana"/>
          <w:sz w:val="18"/>
          <w:szCs w:val="18"/>
          <w:lang w:val="nl-NL"/>
        </w:rPr>
        <w:t xml:space="preserve"> </w:t>
      </w:r>
    </w:p>
    <w:p w:rsidRPr="00CF22A8" w:rsidR="00500251" w:rsidP="00500251" w:rsidRDefault="00500251" w14:paraId="29FEEC6F" w14:textId="77777777">
      <w:pPr>
        <w:ind w:firstLine="720"/>
        <w:rPr>
          <w:rFonts w:ascii="Verdana" w:hAnsi="Verdana" w:cs="Arial"/>
          <w:sz w:val="18"/>
          <w:szCs w:val="18"/>
          <w:lang w:val="nl-NL"/>
        </w:rPr>
      </w:pPr>
      <w:r w:rsidRPr="001C6327">
        <w:rPr>
          <w:rFonts w:ascii="Verdana" w:hAnsi="Verdana" w:cs="Arial"/>
          <w:sz w:val="18"/>
          <w:szCs w:val="18"/>
          <w:lang w:val="nl-NL"/>
        </w:rPr>
        <w:t xml:space="preserve">Het eerste lid wijst het heffingsrecht over de voordelen die een inwoner van een </w:t>
      </w:r>
      <w:r w:rsidR="0021450B">
        <w:rPr>
          <w:rFonts w:ascii="Verdana" w:hAnsi="Verdana" w:cs="Arial"/>
          <w:sz w:val="18"/>
          <w:szCs w:val="18"/>
          <w:lang w:val="nl-NL"/>
        </w:rPr>
        <w:t>verdragsluitende staat</w:t>
      </w:r>
      <w:r w:rsidRPr="00F578EC">
        <w:rPr>
          <w:rFonts w:ascii="Verdana" w:hAnsi="Verdana" w:cs="Arial"/>
          <w:sz w:val="18"/>
          <w:szCs w:val="18"/>
          <w:lang w:val="nl-NL"/>
        </w:rPr>
        <w:t xml:space="preserve"> behaalt met de vervreemding van een onroerende zaak die is gelegen in de andere </w:t>
      </w:r>
      <w:r w:rsidR="0021450B">
        <w:rPr>
          <w:rFonts w:ascii="Verdana" w:hAnsi="Verdana" w:cs="Arial"/>
          <w:sz w:val="18"/>
          <w:szCs w:val="18"/>
          <w:lang w:val="nl-NL"/>
        </w:rPr>
        <w:t>verdragsluitende staat</w:t>
      </w:r>
      <w:r w:rsidRPr="00BC6175">
        <w:rPr>
          <w:rFonts w:ascii="Verdana" w:hAnsi="Verdana" w:cs="Arial"/>
          <w:sz w:val="18"/>
          <w:szCs w:val="18"/>
          <w:lang w:val="nl-NL"/>
        </w:rPr>
        <w:t xml:space="preserve">, toe aan die andere </w:t>
      </w:r>
      <w:r w:rsidR="003103E7">
        <w:rPr>
          <w:rFonts w:ascii="Verdana" w:hAnsi="Verdana" w:cs="Arial"/>
          <w:sz w:val="18"/>
          <w:szCs w:val="18"/>
          <w:lang w:val="nl-NL"/>
        </w:rPr>
        <w:t>staat</w:t>
      </w:r>
      <w:r w:rsidRPr="00BC6175">
        <w:rPr>
          <w:rFonts w:ascii="Verdana" w:hAnsi="Verdana" w:cs="Arial"/>
          <w:sz w:val="18"/>
          <w:szCs w:val="18"/>
          <w:lang w:val="nl-NL"/>
        </w:rPr>
        <w:t>. Voor het begrip ‘onroerende zaak’ is aangesloten bij de in artikel 6</w:t>
      </w:r>
      <w:r w:rsidRPr="00CF22A8" w:rsidR="00114B43">
        <w:rPr>
          <w:rFonts w:ascii="Verdana" w:hAnsi="Verdana" w:cs="Arial"/>
          <w:sz w:val="18"/>
          <w:szCs w:val="18"/>
          <w:lang w:val="nl-NL"/>
        </w:rPr>
        <w:t xml:space="preserve"> van het Verdrag</w:t>
      </w:r>
      <w:r w:rsidRPr="00CF22A8">
        <w:rPr>
          <w:rFonts w:ascii="Verdana" w:hAnsi="Verdana" w:cs="Arial"/>
          <w:sz w:val="18"/>
          <w:szCs w:val="18"/>
          <w:lang w:val="nl-NL"/>
        </w:rPr>
        <w:t xml:space="preserve"> opgenomen omschrijving daarvan. </w:t>
      </w:r>
    </w:p>
    <w:p w:rsidRPr="00780A5E" w:rsidR="00500251" w:rsidP="00500251" w:rsidRDefault="00500251" w14:paraId="33C12A9A" w14:textId="77777777">
      <w:pPr>
        <w:ind w:firstLine="720"/>
        <w:rPr>
          <w:rFonts w:ascii="Verdana" w:hAnsi="Verdana" w:cs="Arial"/>
          <w:sz w:val="18"/>
          <w:szCs w:val="18"/>
          <w:lang w:val="nl-NL"/>
        </w:rPr>
      </w:pPr>
      <w:r w:rsidRPr="005C1870">
        <w:rPr>
          <w:rFonts w:ascii="Verdana" w:hAnsi="Verdana" w:cs="Arial"/>
          <w:sz w:val="18"/>
          <w:szCs w:val="18"/>
          <w:lang w:val="nl-NL"/>
        </w:rPr>
        <w:t xml:space="preserve">Het tweede lid bepaalt dat voordelen die worden verkregen door een onderneming van de ene </w:t>
      </w:r>
      <w:r w:rsidR="0021450B">
        <w:rPr>
          <w:rFonts w:ascii="Verdana" w:hAnsi="Verdana" w:cs="Arial"/>
          <w:sz w:val="18"/>
          <w:szCs w:val="18"/>
          <w:lang w:val="nl-NL"/>
        </w:rPr>
        <w:t>verdragsluitende staat</w:t>
      </w:r>
      <w:r w:rsidRPr="00916448">
        <w:rPr>
          <w:rFonts w:ascii="Verdana" w:hAnsi="Verdana" w:cs="Arial"/>
          <w:sz w:val="18"/>
          <w:szCs w:val="18"/>
          <w:lang w:val="nl-NL"/>
        </w:rPr>
        <w:t xml:space="preserve"> uit de vervreemding van roerende zaken die behoren tot het vermogen van een vaste inrichting van die onderneming in de andere </w:t>
      </w:r>
      <w:r w:rsidR="0021450B">
        <w:rPr>
          <w:rFonts w:ascii="Verdana" w:hAnsi="Verdana" w:cs="Arial"/>
          <w:sz w:val="18"/>
          <w:szCs w:val="18"/>
          <w:lang w:val="nl-NL"/>
        </w:rPr>
        <w:t>verdragsluitende staat</w:t>
      </w:r>
      <w:r w:rsidRPr="00916448">
        <w:rPr>
          <w:rFonts w:ascii="Verdana" w:hAnsi="Verdana" w:cs="Arial"/>
          <w:sz w:val="18"/>
          <w:szCs w:val="18"/>
          <w:lang w:val="nl-NL"/>
        </w:rPr>
        <w:t xml:space="preserve">, mogen worden belast in de </w:t>
      </w:r>
      <w:r w:rsidR="003103E7">
        <w:rPr>
          <w:rFonts w:ascii="Verdana" w:hAnsi="Verdana" w:cs="Arial"/>
          <w:sz w:val="18"/>
          <w:szCs w:val="18"/>
          <w:lang w:val="nl-NL"/>
        </w:rPr>
        <w:t>staat</w:t>
      </w:r>
      <w:r w:rsidRPr="00916448">
        <w:rPr>
          <w:rFonts w:ascii="Verdana" w:hAnsi="Verdana" w:cs="Arial"/>
          <w:sz w:val="18"/>
          <w:szCs w:val="18"/>
          <w:lang w:val="nl-NL"/>
        </w:rPr>
        <w:t xml:space="preserve"> waar</w:t>
      </w:r>
      <w:r w:rsidRPr="00916448" w:rsidR="00233230">
        <w:rPr>
          <w:rFonts w:ascii="Verdana" w:hAnsi="Verdana" w:cs="Arial"/>
          <w:sz w:val="18"/>
          <w:szCs w:val="18"/>
          <w:lang w:val="nl-NL"/>
        </w:rPr>
        <w:t>in</w:t>
      </w:r>
      <w:r w:rsidRPr="00916448">
        <w:rPr>
          <w:rFonts w:ascii="Verdana" w:hAnsi="Verdana" w:cs="Arial"/>
          <w:sz w:val="18"/>
          <w:szCs w:val="18"/>
          <w:lang w:val="nl-NL"/>
        </w:rPr>
        <w:t xml:space="preserve"> de vaste inrichting is </w:t>
      </w:r>
      <w:r w:rsidRPr="00780A5E">
        <w:rPr>
          <w:rFonts w:ascii="Verdana" w:hAnsi="Verdana" w:cs="Arial"/>
          <w:sz w:val="18"/>
          <w:szCs w:val="18"/>
          <w:lang w:val="nl-NL"/>
        </w:rPr>
        <w:t xml:space="preserve">gelegen. </w:t>
      </w:r>
    </w:p>
    <w:p w:rsidRPr="00BA2B89" w:rsidR="00500251" w:rsidP="00500251" w:rsidRDefault="00500251" w14:paraId="148C2C57" w14:textId="7BC4476B">
      <w:pPr>
        <w:ind w:firstLine="720"/>
        <w:rPr>
          <w:rFonts w:ascii="Verdana" w:hAnsi="Verdana" w:cs="Arial"/>
          <w:sz w:val="18"/>
          <w:szCs w:val="18"/>
          <w:highlight w:val="yellow"/>
          <w:lang w:val="nl-NL"/>
        </w:rPr>
      </w:pPr>
      <w:r w:rsidRPr="00780A5E">
        <w:rPr>
          <w:rFonts w:ascii="Verdana" w:hAnsi="Verdana" w:cs="Arial"/>
          <w:sz w:val="18"/>
          <w:szCs w:val="18"/>
          <w:lang w:val="nl-NL"/>
        </w:rPr>
        <w:lastRenderedPageBreak/>
        <w:t xml:space="preserve">Ingevolge het derde lid </w:t>
      </w:r>
      <w:r w:rsidR="00043B14">
        <w:rPr>
          <w:rFonts w:ascii="Verdana" w:hAnsi="Verdana" w:cs="Arial"/>
          <w:sz w:val="18"/>
          <w:szCs w:val="18"/>
          <w:lang w:val="nl-NL"/>
        </w:rPr>
        <w:t>is</w:t>
      </w:r>
      <w:r w:rsidRPr="00780A5E">
        <w:rPr>
          <w:rFonts w:ascii="Verdana" w:hAnsi="Verdana" w:cs="Arial"/>
          <w:sz w:val="18"/>
          <w:szCs w:val="18"/>
          <w:lang w:val="nl-NL"/>
        </w:rPr>
        <w:t>, in lijn met artikel 8</w:t>
      </w:r>
      <w:r w:rsidRPr="00780A5E" w:rsidR="00114B43">
        <w:rPr>
          <w:rFonts w:ascii="Verdana" w:hAnsi="Verdana" w:cs="Arial"/>
          <w:sz w:val="18"/>
          <w:szCs w:val="18"/>
          <w:lang w:val="nl-NL"/>
        </w:rPr>
        <w:t xml:space="preserve"> van het Verdrag</w:t>
      </w:r>
      <w:r w:rsidRPr="00780A5E">
        <w:rPr>
          <w:rFonts w:ascii="Verdana" w:hAnsi="Verdana" w:cs="Arial"/>
          <w:sz w:val="18"/>
          <w:szCs w:val="18"/>
          <w:lang w:val="nl-NL"/>
        </w:rPr>
        <w:t xml:space="preserve"> (internationaal verkeer), </w:t>
      </w:r>
      <w:r w:rsidR="00043B14">
        <w:rPr>
          <w:rFonts w:ascii="Verdana" w:hAnsi="Verdana" w:cs="Arial"/>
          <w:sz w:val="18"/>
          <w:szCs w:val="18"/>
          <w:lang w:val="nl-NL"/>
        </w:rPr>
        <w:t xml:space="preserve">het heffingsrecht ter zake van </w:t>
      </w:r>
      <w:r w:rsidRPr="00780A5E">
        <w:rPr>
          <w:rFonts w:ascii="Verdana" w:hAnsi="Verdana" w:cs="Arial"/>
          <w:sz w:val="18"/>
          <w:szCs w:val="18"/>
          <w:lang w:val="nl-NL"/>
        </w:rPr>
        <w:t xml:space="preserve">de voordelen van een onderneming van een </w:t>
      </w:r>
      <w:r w:rsidR="0021450B">
        <w:rPr>
          <w:rFonts w:ascii="Verdana" w:hAnsi="Verdana" w:cs="Arial"/>
          <w:sz w:val="18"/>
          <w:szCs w:val="18"/>
          <w:lang w:val="nl-NL"/>
        </w:rPr>
        <w:t>verdragsluitende staat</w:t>
      </w:r>
      <w:r w:rsidRPr="0021450B">
        <w:rPr>
          <w:rFonts w:ascii="Verdana" w:hAnsi="Verdana" w:cs="Arial"/>
          <w:sz w:val="18"/>
          <w:szCs w:val="18"/>
          <w:lang w:val="nl-NL"/>
        </w:rPr>
        <w:t xml:space="preserve"> uit de vervreemding van schepen, luchtvaartuigen en wegtransportvoertuigen die in het internationale verkeer worden geëxploiteerd,</w:t>
      </w:r>
      <w:r w:rsidR="008C60B2">
        <w:rPr>
          <w:rFonts w:ascii="Verdana" w:hAnsi="Verdana" w:cs="Arial"/>
          <w:sz w:val="18"/>
          <w:szCs w:val="18"/>
          <w:lang w:val="nl-NL"/>
        </w:rPr>
        <w:t xml:space="preserve"> en </w:t>
      </w:r>
      <w:r w:rsidRPr="0021450B">
        <w:rPr>
          <w:rFonts w:ascii="Verdana" w:hAnsi="Verdana" w:cs="Arial"/>
          <w:sz w:val="18"/>
          <w:szCs w:val="18"/>
          <w:lang w:val="nl-NL"/>
        </w:rPr>
        <w:t>van schepen die in de binnenvaart worden geëxploiteerd</w:t>
      </w:r>
      <w:r w:rsidRPr="0021450B" w:rsidR="00A86220">
        <w:rPr>
          <w:rFonts w:ascii="Verdana" w:hAnsi="Verdana" w:cs="Arial"/>
          <w:sz w:val="18"/>
          <w:szCs w:val="18"/>
          <w:lang w:val="nl-NL"/>
        </w:rPr>
        <w:t>,</w:t>
      </w:r>
      <w:r w:rsidRPr="0021450B">
        <w:rPr>
          <w:rFonts w:ascii="Verdana" w:hAnsi="Verdana" w:cs="Arial"/>
          <w:sz w:val="18"/>
          <w:szCs w:val="18"/>
          <w:lang w:val="nl-NL"/>
        </w:rPr>
        <w:t xml:space="preserve"> en van roerende zaken die bij die exploitatie worden gebruikt, toegewezen aan de </w:t>
      </w:r>
      <w:r w:rsidR="0021450B">
        <w:rPr>
          <w:rFonts w:ascii="Verdana" w:hAnsi="Verdana" w:cs="Arial"/>
          <w:sz w:val="18"/>
          <w:szCs w:val="18"/>
          <w:lang w:val="nl-NL"/>
        </w:rPr>
        <w:t>verdragsluitende staat</w:t>
      </w:r>
      <w:r w:rsidRPr="0021450B">
        <w:rPr>
          <w:rFonts w:ascii="Verdana" w:hAnsi="Verdana" w:cs="Arial"/>
          <w:sz w:val="18"/>
          <w:szCs w:val="18"/>
          <w:lang w:val="nl-NL"/>
        </w:rPr>
        <w:t xml:space="preserve"> waar</w:t>
      </w:r>
      <w:r w:rsidRPr="0021450B" w:rsidR="009332DF">
        <w:rPr>
          <w:rFonts w:ascii="Verdana" w:hAnsi="Verdana" w:cs="Arial"/>
          <w:sz w:val="18"/>
          <w:szCs w:val="18"/>
          <w:lang w:val="nl-NL"/>
        </w:rPr>
        <w:t>van</w:t>
      </w:r>
      <w:r w:rsidRPr="0021450B">
        <w:rPr>
          <w:rFonts w:ascii="Verdana" w:hAnsi="Verdana" w:cs="Arial"/>
          <w:sz w:val="18"/>
          <w:szCs w:val="18"/>
          <w:lang w:val="nl-NL"/>
        </w:rPr>
        <w:t xml:space="preserve"> de </w:t>
      </w:r>
      <w:r w:rsidRPr="0021450B" w:rsidR="00A86220">
        <w:rPr>
          <w:rFonts w:ascii="Verdana" w:hAnsi="Verdana" w:cs="Arial"/>
          <w:sz w:val="18"/>
          <w:szCs w:val="18"/>
          <w:lang w:val="nl-NL"/>
        </w:rPr>
        <w:t xml:space="preserve">persoon die de desbetreffende </w:t>
      </w:r>
      <w:r w:rsidRPr="0021450B">
        <w:rPr>
          <w:rFonts w:ascii="Verdana" w:hAnsi="Verdana" w:cs="Arial"/>
          <w:sz w:val="18"/>
          <w:szCs w:val="18"/>
          <w:lang w:val="nl-NL"/>
        </w:rPr>
        <w:t xml:space="preserve">onderneming </w:t>
      </w:r>
      <w:r w:rsidRPr="0021450B" w:rsidR="00A86220">
        <w:rPr>
          <w:rFonts w:ascii="Verdana" w:hAnsi="Verdana" w:cs="Arial"/>
          <w:sz w:val="18"/>
          <w:szCs w:val="18"/>
          <w:lang w:val="nl-NL"/>
        </w:rPr>
        <w:t xml:space="preserve">drijft </w:t>
      </w:r>
      <w:r w:rsidRPr="0021450B" w:rsidR="009332DF">
        <w:rPr>
          <w:rFonts w:ascii="Verdana" w:hAnsi="Verdana" w:cs="Arial"/>
          <w:sz w:val="18"/>
          <w:szCs w:val="18"/>
          <w:lang w:val="nl-NL"/>
        </w:rPr>
        <w:t xml:space="preserve">inwoner </w:t>
      </w:r>
      <w:r w:rsidRPr="0021450B">
        <w:rPr>
          <w:rFonts w:ascii="Verdana" w:hAnsi="Verdana" w:cs="Arial"/>
          <w:sz w:val="18"/>
          <w:szCs w:val="18"/>
          <w:lang w:val="nl-NL"/>
        </w:rPr>
        <w:t>is.</w:t>
      </w:r>
    </w:p>
    <w:p w:rsidRPr="00BC6175" w:rsidR="00500251" w:rsidP="007D4BC1" w:rsidRDefault="006E6715" w14:paraId="608DC9A4" w14:textId="1B98E7F7">
      <w:pPr>
        <w:ind w:firstLine="720"/>
        <w:rPr>
          <w:rFonts w:ascii="Verdana" w:hAnsi="Verdana" w:cs="Arial"/>
          <w:sz w:val="18"/>
          <w:szCs w:val="18"/>
          <w:lang w:val="nl-NL"/>
        </w:rPr>
      </w:pPr>
      <w:r w:rsidRPr="006C1373">
        <w:rPr>
          <w:rFonts w:ascii="Verdana" w:hAnsi="Verdana" w:cs="Arial"/>
          <w:sz w:val="18"/>
          <w:szCs w:val="18"/>
          <w:lang w:val="nl-NL"/>
        </w:rPr>
        <w:t>Het</w:t>
      </w:r>
      <w:r w:rsidRPr="00DD3563" w:rsidR="00500251">
        <w:rPr>
          <w:rFonts w:ascii="Verdana" w:hAnsi="Verdana" w:cs="Arial"/>
          <w:sz w:val="18"/>
          <w:szCs w:val="18"/>
          <w:lang w:val="nl-NL"/>
        </w:rPr>
        <w:t xml:space="preserve"> vierde lid </w:t>
      </w:r>
      <w:r w:rsidRPr="00DD3563">
        <w:rPr>
          <w:rFonts w:ascii="Verdana" w:hAnsi="Verdana" w:cs="Arial"/>
          <w:sz w:val="18"/>
          <w:szCs w:val="18"/>
          <w:lang w:val="nl-NL"/>
        </w:rPr>
        <w:t xml:space="preserve">bevat, </w:t>
      </w:r>
      <w:r w:rsidRPr="00DD3563" w:rsidR="007847FB">
        <w:rPr>
          <w:rFonts w:ascii="Verdana" w:hAnsi="Verdana" w:cs="Arial"/>
          <w:sz w:val="18"/>
          <w:szCs w:val="18"/>
          <w:lang w:val="nl-NL"/>
        </w:rPr>
        <w:t>op</w:t>
      </w:r>
      <w:r w:rsidRPr="003F7CD6" w:rsidR="00500251">
        <w:rPr>
          <w:rFonts w:ascii="Verdana" w:hAnsi="Verdana" w:cs="Arial"/>
          <w:sz w:val="18"/>
          <w:szCs w:val="18"/>
          <w:lang w:val="nl-NL"/>
        </w:rPr>
        <w:t xml:space="preserve"> verzoek van Bulgarije</w:t>
      </w:r>
      <w:r w:rsidR="00E82AE5">
        <w:rPr>
          <w:rFonts w:ascii="Verdana" w:hAnsi="Verdana" w:cs="Arial"/>
          <w:sz w:val="18"/>
          <w:szCs w:val="18"/>
          <w:lang w:val="nl-NL"/>
        </w:rPr>
        <w:t>,</w:t>
      </w:r>
      <w:r w:rsidRPr="003F7CD6" w:rsidR="007847FB">
        <w:rPr>
          <w:rFonts w:ascii="Verdana" w:hAnsi="Verdana" w:cs="Arial"/>
          <w:sz w:val="18"/>
          <w:szCs w:val="18"/>
          <w:lang w:val="nl-NL"/>
        </w:rPr>
        <w:t xml:space="preserve"> </w:t>
      </w:r>
      <w:r w:rsidRPr="003F7CD6" w:rsidR="00713640">
        <w:rPr>
          <w:rFonts w:ascii="Verdana" w:hAnsi="Verdana" w:cs="Arial"/>
          <w:sz w:val="18"/>
          <w:szCs w:val="18"/>
          <w:lang w:val="nl-NL"/>
        </w:rPr>
        <w:t xml:space="preserve">een met </w:t>
      </w:r>
      <w:r w:rsidRPr="00606D22" w:rsidR="007847FB">
        <w:rPr>
          <w:rFonts w:ascii="Verdana" w:hAnsi="Verdana" w:cs="Arial"/>
          <w:sz w:val="18"/>
          <w:szCs w:val="18"/>
          <w:lang w:val="nl-NL"/>
        </w:rPr>
        <w:t>artikel 13, vierde lid, van het OESO-modelverdrag</w:t>
      </w:r>
      <w:r w:rsidRPr="00606D22" w:rsidR="00713640">
        <w:rPr>
          <w:rFonts w:ascii="Verdana" w:hAnsi="Verdana" w:cs="Arial"/>
          <w:sz w:val="18"/>
          <w:szCs w:val="18"/>
          <w:lang w:val="nl-NL"/>
        </w:rPr>
        <w:t xml:space="preserve"> vergelijkbare bepaling. Op grond van deze bepaling geldt</w:t>
      </w:r>
      <w:r w:rsidRPr="00606D22">
        <w:rPr>
          <w:rFonts w:ascii="Verdana" w:hAnsi="Verdana" w:cs="Arial"/>
          <w:sz w:val="18"/>
          <w:szCs w:val="18"/>
          <w:lang w:val="nl-NL"/>
        </w:rPr>
        <w:t xml:space="preserve"> </w:t>
      </w:r>
      <w:r w:rsidRPr="00FA4BC6" w:rsidR="00500251">
        <w:rPr>
          <w:rFonts w:ascii="Verdana" w:hAnsi="Verdana" w:cs="Arial"/>
          <w:sz w:val="18"/>
          <w:szCs w:val="18"/>
          <w:lang w:val="nl-NL"/>
        </w:rPr>
        <w:t xml:space="preserve">een bronstaatheffing </w:t>
      </w:r>
      <w:r w:rsidRPr="00FA4BC6" w:rsidR="006B1DCE">
        <w:rPr>
          <w:rFonts w:ascii="Verdana" w:hAnsi="Verdana" w:cs="Arial"/>
          <w:sz w:val="18"/>
          <w:szCs w:val="18"/>
          <w:lang w:val="nl-NL"/>
        </w:rPr>
        <w:t>voor</w:t>
      </w:r>
      <w:r w:rsidRPr="00BD4E1D" w:rsidR="0052441D">
        <w:rPr>
          <w:rFonts w:ascii="Verdana" w:hAnsi="Verdana" w:cs="Arial"/>
          <w:sz w:val="18"/>
          <w:szCs w:val="18"/>
          <w:lang w:val="nl-NL"/>
        </w:rPr>
        <w:t xml:space="preserve"> winsten behaald</w:t>
      </w:r>
      <w:r w:rsidRPr="00BD4E1D" w:rsidR="00713640">
        <w:rPr>
          <w:rFonts w:ascii="Verdana" w:hAnsi="Verdana" w:cs="Arial"/>
          <w:sz w:val="18"/>
          <w:szCs w:val="18"/>
          <w:lang w:val="nl-NL"/>
        </w:rPr>
        <w:t>,</w:t>
      </w:r>
      <w:r w:rsidRPr="00BD4E1D" w:rsidR="00500251">
        <w:rPr>
          <w:rFonts w:ascii="Verdana" w:hAnsi="Verdana" w:cs="Arial"/>
          <w:sz w:val="18"/>
          <w:szCs w:val="18"/>
          <w:lang w:val="nl-NL"/>
        </w:rPr>
        <w:t xml:space="preserve"> door een inwoner van een van de </w:t>
      </w:r>
      <w:r w:rsidR="0021450B">
        <w:rPr>
          <w:rFonts w:ascii="Verdana" w:hAnsi="Verdana" w:cs="Arial"/>
          <w:sz w:val="18"/>
          <w:szCs w:val="18"/>
          <w:lang w:val="nl-NL"/>
        </w:rPr>
        <w:t>verdragsluitende staten</w:t>
      </w:r>
      <w:r w:rsidRPr="0021450B" w:rsidR="00713640">
        <w:rPr>
          <w:rFonts w:ascii="Verdana" w:hAnsi="Verdana" w:cs="Arial"/>
          <w:sz w:val="18"/>
          <w:szCs w:val="18"/>
          <w:lang w:val="nl-NL"/>
        </w:rPr>
        <w:t>,</w:t>
      </w:r>
      <w:r w:rsidRPr="0021450B" w:rsidR="00500251">
        <w:rPr>
          <w:rFonts w:ascii="Verdana" w:hAnsi="Verdana" w:cs="Arial"/>
          <w:sz w:val="18"/>
          <w:szCs w:val="18"/>
          <w:lang w:val="nl-NL"/>
        </w:rPr>
        <w:t xml:space="preserve"> </w:t>
      </w:r>
      <w:r w:rsidRPr="0021450B" w:rsidR="0052441D">
        <w:rPr>
          <w:rFonts w:ascii="Verdana" w:hAnsi="Verdana" w:cs="Arial"/>
          <w:sz w:val="18"/>
          <w:szCs w:val="18"/>
          <w:lang w:val="nl-NL"/>
        </w:rPr>
        <w:t xml:space="preserve">met </w:t>
      </w:r>
      <w:r w:rsidRPr="0021450B" w:rsidR="00500251">
        <w:rPr>
          <w:rFonts w:ascii="Verdana" w:hAnsi="Verdana" w:cs="Arial"/>
          <w:sz w:val="18"/>
          <w:szCs w:val="18"/>
          <w:lang w:val="nl-NL"/>
        </w:rPr>
        <w:t>de vervreemding van aandelen</w:t>
      </w:r>
      <w:r w:rsidR="008C60B2">
        <w:rPr>
          <w:rFonts w:ascii="Verdana" w:hAnsi="Verdana" w:cs="Arial"/>
          <w:sz w:val="18"/>
          <w:szCs w:val="18"/>
          <w:lang w:val="nl-NL"/>
        </w:rPr>
        <w:t xml:space="preserve"> en vergelijkbare belangen</w:t>
      </w:r>
      <w:r w:rsidRPr="0021450B" w:rsidR="00500251">
        <w:rPr>
          <w:rFonts w:ascii="Verdana" w:hAnsi="Verdana" w:cs="Arial"/>
          <w:sz w:val="18"/>
          <w:szCs w:val="18"/>
          <w:lang w:val="nl-NL"/>
        </w:rPr>
        <w:t xml:space="preserve"> </w:t>
      </w:r>
      <w:r w:rsidRPr="0021450B" w:rsidR="00FE00C2">
        <w:rPr>
          <w:rFonts w:ascii="Verdana" w:hAnsi="Verdana" w:cs="Arial"/>
          <w:sz w:val="18"/>
          <w:szCs w:val="18"/>
          <w:lang w:val="nl-NL"/>
        </w:rPr>
        <w:t xml:space="preserve">in </w:t>
      </w:r>
      <w:r w:rsidRPr="0021450B" w:rsidR="00500251">
        <w:rPr>
          <w:rFonts w:ascii="Verdana" w:hAnsi="Verdana" w:cs="Arial"/>
          <w:sz w:val="18"/>
          <w:szCs w:val="18"/>
          <w:lang w:val="nl-NL"/>
        </w:rPr>
        <w:t>zoge</w:t>
      </w:r>
      <w:r w:rsidRPr="0021450B" w:rsidR="00FE00C2">
        <w:rPr>
          <w:rFonts w:ascii="Verdana" w:hAnsi="Verdana" w:cs="Arial"/>
          <w:sz w:val="18"/>
          <w:szCs w:val="18"/>
          <w:lang w:val="nl-NL"/>
        </w:rPr>
        <w:t>noemde</w:t>
      </w:r>
      <w:r w:rsidRPr="00BA2B89" w:rsidR="00500251">
        <w:rPr>
          <w:rFonts w:ascii="Verdana" w:hAnsi="Verdana" w:cs="Arial"/>
          <w:sz w:val="18"/>
          <w:szCs w:val="18"/>
          <w:lang w:val="nl-NL"/>
        </w:rPr>
        <w:t xml:space="preserve"> </w:t>
      </w:r>
      <w:r w:rsidRPr="00BA2B89" w:rsidR="00223D0B">
        <w:rPr>
          <w:rFonts w:ascii="Verdana" w:hAnsi="Verdana" w:cs="Arial"/>
          <w:sz w:val="18"/>
          <w:szCs w:val="18"/>
          <w:lang w:val="nl-NL"/>
        </w:rPr>
        <w:t>onroerendezaak</w:t>
      </w:r>
      <w:r w:rsidR="00223D0B">
        <w:rPr>
          <w:rFonts w:ascii="Verdana" w:hAnsi="Verdana" w:cs="Arial"/>
          <w:sz w:val="18"/>
          <w:szCs w:val="18"/>
          <w:lang w:val="nl-NL"/>
        </w:rPr>
        <w:t>lichamen</w:t>
      </w:r>
      <w:r w:rsidRPr="00A4089F" w:rsidR="00223D0B">
        <w:rPr>
          <w:rFonts w:ascii="Verdana" w:hAnsi="Verdana" w:cs="Arial"/>
          <w:sz w:val="18"/>
          <w:szCs w:val="18"/>
          <w:lang w:val="nl-NL"/>
        </w:rPr>
        <w:t xml:space="preserve"> </w:t>
      </w:r>
      <w:r w:rsidRPr="00B6639D" w:rsidR="00755804">
        <w:rPr>
          <w:rFonts w:ascii="Verdana" w:hAnsi="Verdana" w:cs="Arial"/>
          <w:sz w:val="18"/>
          <w:szCs w:val="18"/>
          <w:lang w:val="nl-NL"/>
        </w:rPr>
        <w:t>(</w:t>
      </w:r>
      <w:r w:rsidR="009665FD">
        <w:rPr>
          <w:rFonts w:ascii="Verdana" w:hAnsi="Verdana" w:cs="Arial"/>
          <w:sz w:val="18"/>
          <w:szCs w:val="18"/>
          <w:lang w:val="nl-NL"/>
        </w:rPr>
        <w:t xml:space="preserve">voor de toepassing van het Verdrag zijn dit </w:t>
      </w:r>
      <w:r w:rsidRPr="006C1373" w:rsidR="00713640">
        <w:rPr>
          <w:rFonts w:ascii="Verdana" w:hAnsi="Verdana" w:cs="Arial"/>
          <w:sz w:val="18"/>
          <w:szCs w:val="18"/>
          <w:lang w:val="nl-NL"/>
        </w:rPr>
        <w:t>vennootschappen</w:t>
      </w:r>
      <w:r w:rsidRPr="00DD3563" w:rsidR="007C11ED">
        <w:rPr>
          <w:rFonts w:ascii="Verdana" w:hAnsi="Verdana" w:cs="Arial"/>
          <w:sz w:val="18"/>
          <w:szCs w:val="18"/>
          <w:lang w:val="nl-NL"/>
        </w:rPr>
        <w:t xml:space="preserve"> </w:t>
      </w:r>
      <w:r w:rsidRPr="00DD3563" w:rsidR="0052441D">
        <w:rPr>
          <w:rFonts w:ascii="Verdana" w:hAnsi="Verdana" w:cs="Arial"/>
          <w:sz w:val="18"/>
          <w:szCs w:val="18"/>
          <w:lang w:val="nl-NL"/>
        </w:rPr>
        <w:t>die hun waarde voor meer dan 75</w:t>
      </w:r>
      <w:r w:rsidR="003F557E">
        <w:rPr>
          <w:rFonts w:ascii="Verdana" w:hAnsi="Verdana" w:cs="Arial"/>
          <w:sz w:val="18"/>
          <w:szCs w:val="18"/>
          <w:lang w:val="nl-NL"/>
        </w:rPr>
        <w:t>%</w:t>
      </w:r>
      <w:r w:rsidRPr="003F7CD6" w:rsidR="0052441D">
        <w:rPr>
          <w:rFonts w:ascii="Verdana" w:hAnsi="Verdana" w:cs="Arial"/>
          <w:sz w:val="18"/>
          <w:szCs w:val="18"/>
          <w:lang w:val="nl-NL"/>
        </w:rPr>
        <w:t xml:space="preserve"> ontlenen aan</w:t>
      </w:r>
      <w:r w:rsidRPr="00606D22" w:rsidR="00755804">
        <w:rPr>
          <w:rFonts w:ascii="Verdana" w:hAnsi="Verdana" w:cs="Arial"/>
          <w:sz w:val="18"/>
          <w:szCs w:val="18"/>
          <w:lang w:val="nl-NL"/>
        </w:rPr>
        <w:t xml:space="preserve"> in een </w:t>
      </w:r>
      <w:r w:rsidR="0021450B">
        <w:rPr>
          <w:rFonts w:ascii="Verdana" w:hAnsi="Verdana" w:cs="Arial"/>
          <w:sz w:val="18"/>
          <w:szCs w:val="18"/>
          <w:lang w:val="nl-NL"/>
        </w:rPr>
        <w:t>verdragsluitende staat</w:t>
      </w:r>
      <w:r w:rsidRPr="0021450B" w:rsidR="00755804">
        <w:rPr>
          <w:rFonts w:ascii="Verdana" w:hAnsi="Verdana" w:cs="Arial"/>
          <w:sz w:val="18"/>
          <w:szCs w:val="18"/>
          <w:lang w:val="nl-NL"/>
        </w:rPr>
        <w:t xml:space="preserve"> – de </w:t>
      </w:r>
      <w:r w:rsidRPr="0021450B" w:rsidR="0013779A">
        <w:rPr>
          <w:rFonts w:ascii="Verdana" w:hAnsi="Verdana" w:cs="Arial"/>
          <w:i/>
          <w:sz w:val="18"/>
          <w:szCs w:val="18"/>
          <w:lang w:val="nl-NL"/>
        </w:rPr>
        <w:t>situsstaat</w:t>
      </w:r>
      <w:r w:rsidRPr="0021450B" w:rsidR="00755804">
        <w:rPr>
          <w:rFonts w:ascii="Verdana" w:hAnsi="Verdana" w:cs="Arial"/>
          <w:sz w:val="18"/>
          <w:szCs w:val="18"/>
          <w:lang w:val="nl-NL"/>
        </w:rPr>
        <w:t xml:space="preserve"> </w:t>
      </w:r>
      <w:r w:rsidRPr="0021450B" w:rsidR="0006094E">
        <w:rPr>
          <w:rFonts w:ascii="Verdana" w:hAnsi="Verdana" w:cs="Arial"/>
          <w:sz w:val="18"/>
          <w:szCs w:val="18"/>
          <w:lang w:val="nl-NL"/>
        </w:rPr>
        <w:t xml:space="preserve">– </w:t>
      </w:r>
      <w:r w:rsidRPr="0021450B" w:rsidR="00755804">
        <w:rPr>
          <w:rFonts w:ascii="Verdana" w:hAnsi="Verdana" w:cs="Arial"/>
          <w:sz w:val="18"/>
          <w:szCs w:val="18"/>
          <w:lang w:val="nl-NL"/>
        </w:rPr>
        <w:t>gelegen onroerende zaken</w:t>
      </w:r>
      <w:r w:rsidRPr="0021450B" w:rsidR="0052441D">
        <w:rPr>
          <w:rFonts w:ascii="Verdana" w:hAnsi="Verdana" w:cs="Arial"/>
          <w:sz w:val="18"/>
          <w:szCs w:val="18"/>
          <w:lang w:val="nl-NL"/>
        </w:rPr>
        <w:t>)</w:t>
      </w:r>
      <w:r w:rsidRPr="0021450B" w:rsidR="00500251">
        <w:rPr>
          <w:rFonts w:ascii="Verdana" w:hAnsi="Verdana" w:cs="Arial"/>
          <w:sz w:val="18"/>
          <w:szCs w:val="18"/>
          <w:lang w:val="nl-NL"/>
        </w:rPr>
        <w:t xml:space="preserve">. Zoals verwoord in onderdeel 2.9.2 van de NFV 2011 is </w:t>
      </w:r>
      <w:r w:rsidRPr="0021450B">
        <w:rPr>
          <w:rFonts w:ascii="Verdana" w:hAnsi="Verdana" w:cs="Arial"/>
          <w:sz w:val="18"/>
          <w:szCs w:val="18"/>
          <w:lang w:val="nl-NL"/>
        </w:rPr>
        <w:t xml:space="preserve">het </w:t>
      </w:r>
      <w:r w:rsidRPr="00BA2B89" w:rsidR="00500251">
        <w:rPr>
          <w:rFonts w:ascii="Verdana" w:hAnsi="Verdana" w:cs="Arial"/>
          <w:sz w:val="18"/>
          <w:szCs w:val="18"/>
          <w:lang w:val="nl-NL"/>
        </w:rPr>
        <w:t xml:space="preserve">de inzet van Nederland voor het heffingsrecht over winsten behaald met de vervreemding van aandelen </w:t>
      </w:r>
      <w:r w:rsidRPr="00A4089F" w:rsidR="00C06FAD">
        <w:rPr>
          <w:rFonts w:ascii="Verdana" w:hAnsi="Verdana" w:cs="Arial"/>
          <w:sz w:val="18"/>
          <w:szCs w:val="18"/>
          <w:lang w:val="nl-NL"/>
        </w:rPr>
        <w:t xml:space="preserve">uit te gaan van een uitsluitende toewijzing </w:t>
      </w:r>
      <w:r w:rsidRPr="006C1373" w:rsidR="00500251">
        <w:rPr>
          <w:rFonts w:ascii="Verdana" w:hAnsi="Verdana" w:cs="Arial"/>
          <w:sz w:val="18"/>
          <w:szCs w:val="18"/>
          <w:lang w:val="nl-NL"/>
        </w:rPr>
        <w:t>aan de woonstaat</w:t>
      </w:r>
      <w:r w:rsidRPr="00DD3563" w:rsidR="00C06FAD">
        <w:rPr>
          <w:rFonts w:ascii="Verdana" w:hAnsi="Verdana" w:cs="Arial"/>
          <w:sz w:val="18"/>
          <w:szCs w:val="18"/>
          <w:lang w:val="nl-NL"/>
        </w:rPr>
        <w:t xml:space="preserve"> van de vervreemder</w:t>
      </w:r>
      <w:r w:rsidRPr="00DD3563" w:rsidR="00500251">
        <w:rPr>
          <w:rFonts w:ascii="Verdana" w:hAnsi="Verdana" w:cs="Arial"/>
          <w:sz w:val="18"/>
          <w:szCs w:val="18"/>
          <w:lang w:val="nl-NL"/>
        </w:rPr>
        <w:t xml:space="preserve">, ongeacht de aard van de vermogensbestanddelen van de vennootschap. Nederland was uiteindelijk bereid om </w:t>
      </w:r>
      <w:r w:rsidRPr="00DD3563" w:rsidR="008F16BB">
        <w:rPr>
          <w:rFonts w:ascii="Verdana" w:hAnsi="Verdana" w:cs="Arial"/>
          <w:sz w:val="18"/>
          <w:szCs w:val="18"/>
          <w:lang w:val="nl-NL"/>
        </w:rPr>
        <w:t>aan de Bulgaarse wen</w:t>
      </w:r>
      <w:r w:rsidRPr="003F7CD6" w:rsidR="008F16BB">
        <w:rPr>
          <w:rFonts w:ascii="Verdana" w:hAnsi="Verdana" w:cs="Arial"/>
          <w:sz w:val="18"/>
          <w:szCs w:val="18"/>
          <w:lang w:val="nl-NL"/>
        </w:rPr>
        <w:t xml:space="preserve">s tegemoet te komen </w:t>
      </w:r>
      <w:r w:rsidRPr="00606D22" w:rsidR="003E4553">
        <w:rPr>
          <w:rFonts w:ascii="Verdana" w:hAnsi="Verdana" w:cs="Arial"/>
          <w:sz w:val="18"/>
          <w:szCs w:val="18"/>
          <w:lang w:val="nl-NL"/>
        </w:rPr>
        <w:t xml:space="preserve">mits </w:t>
      </w:r>
      <w:r w:rsidRPr="00606D22" w:rsidR="007D4BC1">
        <w:rPr>
          <w:rFonts w:ascii="Verdana" w:hAnsi="Verdana" w:cs="Arial"/>
          <w:sz w:val="18"/>
          <w:szCs w:val="18"/>
          <w:lang w:val="nl-NL"/>
        </w:rPr>
        <w:t xml:space="preserve">een aantal inperkingen van </w:t>
      </w:r>
      <w:r w:rsidRPr="00FA4BC6" w:rsidR="003E4553">
        <w:rPr>
          <w:rFonts w:ascii="Verdana" w:hAnsi="Verdana" w:cs="Arial"/>
          <w:sz w:val="18"/>
          <w:szCs w:val="18"/>
          <w:lang w:val="nl-NL"/>
        </w:rPr>
        <w:t xml:space="preserve">het </w:t>
      </w:r>
      <w:r w:rsidRPr="00FA4BC6" w:rsidR="007D4BC1">
        <w:rPr>
          <w:rFonts w:ascii="Verdana" w:hAnsi="Verdana" w:cs="Arial"/>
          <w:sz w:val="18"/>
          <w:szCs w:val="18"/>
          <w:lang w:val="nl-NL"/>
        </w:rPr>
        <w:t xml:space="preserve">heffingsrecht </w:t>
      </w:r>
      <w:r w:rsidRPr="00FA4BC6" w:rsidR="00E63F0D">
        <w:rPr>
          <w:rFonts w:ascii="Verdana" w:hAnsi="Verdana" w:cs="Arial"/>
          <w:sz w:val="18"/>
          <w:szCs w:val="18"/>
          <w:lang w:val="nl-NL"/>
        </w:rPr>
        <w:t xml:space="preserve">voor de situsstaat </w:t>
      </w:r>
      <w:r w:rsidRPr="00BD4E1D" w:rsidR="003E4553">
        <w:rPr>
          <w:rFonts w:ascii="Verdana" w:hAnsi="Verdana" w:cs="Arial"/>
          <w:sz w:val="18"/>
          <w:szCs w:val="18"/>
          <w:lang w:val="nl-NL"/>
        </w:rPr>
        <w:t xml:space="preserve">kon worden </w:t>
      </w:r>
      <w:r w:rsidRPr="00BD4E1D" w:rsidR="007D4BC1">
        <w:rPr>
          <w:rFonts w:ascii="Verdana" w:hAnsi="Verdana" w:cs="Arial"/>
          <w:sz w:val="18"/>
          <w:szCs w:val="18"/>
          <w:lang w:val="nl-NL"/>
        </w:rPr>
        <w:t xml:space="preserve">overeengekomen. </w:t>
      </w:r>
      <w:r w:rsidRPr="00BD4E1D" w:rsidR="003E4553">
        <w:rPr>
          <w:rFonts w:ascii="Verdana" w:hAnsi="Verdana" w:cs="Arial"/>
          <w:sz w:val="18"/>
          <w:szCs w:val="18"/>
          <w:lang w:val="nl-NL"/>
        </w:rPr>
        <w:t xml:space="preserve">Dit was voor Bulgarije aanvaardbaar. </w:t>
      </w:r>
      <w:r w:rsidRPr="00BD4E1D" w:rsidR="007D4BC1">
        <w:rPr>
          <w:rFonts w:ascii="Verdana" w:hAnsi="Verdana" w:cs="Arial"/>
          <w:sz w:val="18"/>
          <w:szCs w:val="18"/>
          <w:lang w:val="nl-NL"/>
        </w:rPr>
        <w:t>Allereerst is bepaald dat ver</w:t>
      </w:r>
      <w:r w:rsidRPr="00E01754" w:rsidR="003E4553">
        <w:rPr>
          <w:rFonts w:ascii="Verdana" w:hAnsi="Verdana" w:cs="Arial"/>
          <w:sz w:val="18"/>
          <w:szCs w:val="18"/>
          <w:lang w:val="nl-NL"/>
        </w:rPr>
        <w:t>vreemdings</w:t>
      </w:r>
      <w:r w:rsidRPr="00E01754" w:rsidR="007D4BC1">
        <w:rPr>
          <w:rFonts w:ascii="Verdana" w:hAnsi="Verdana" w:cs="Arial"/>
          <w:sz w:val="18"/>
          <w:szCs w:val="18"/>
          <w:lang w:val="nl-NL"/>
        </w:rPr>
        <w:t>winsten behaald met de verkoop van</w:t>
      </w:r>
      <w:r w:rsidR="0094201D">
        <w:rPr>
          <w:rFonts w:ascii="Verdana" w:hAnsi="Verdana" w:cs="Arial"/>
          <w:sz w:val="18"/>
          <w:szCs w:val="18"/>
          <w:lang w:val="nl-NL"/>
        </w:rPr>
        <w:t xml:space="preserve">, </w:t>
      </w:r>
      <w:r w:rsidR="008C60B2">
        <w:rPr>
          <w:rFonts w:ascii="Verdana" w:hAnsi="Verdana" w:cs="Arial"/>
          <w:sz w:val="18"/>
          <w:szCs w:val="18"/>
          <w:lang w:val="nl-NL"/>
        </w:rPr>
        <w:t>kort gezegd</w:t>
      </w:r>
      <w:r w:rsidR="0094201D">
        <w:rPr>
          <w:rFonts w:ascii="Verdana" w:hAnsi="Verdana" w:cs="Arial"/>
          <w:sz w:val="18"/>
          <w:szCs w:val="18"/>
          <w:lang w:val="nl-NL"/>
        </w:rPr>
        <w:t>,</w:t>
      </w:r>
      <w:r w:rsidRPr="00E01754" w:rsidR="007D4BC1">
        <w:rPr>
          <w:rFonts w:ascii="Verdana" w:hAnsi="Verdana" w:cs="Arial"/>
          <w:sz w:val="18"/>
          <w:szCs w:val="18"/>
          <w:lang w:val="nl-NL"/>
        </w:rPr>
        <w:t xml:space="preserve"> aandelen in </w:t>
      </w:r>
      <w:r w:rsidRPr="00E01754" w:rsidR="00223D0B">
        <w:rPr>
          <w:rFonts w:ascii="Verdana" w:hAnsi="Verdana" w:cs="Arial"/>
          <w:sz w:val="18"/>
          <w:szCs w:val="18"/>
          <w:lang w:val="nl-NL"/>
        </w:rPr>
        <w:t>onroerendezaak</w:t>
      </w:r>
      <w:r w:rsidR="00223D0B">
        <w:rPr>
          <w:rFonts w:ascii="Verdana" w:hAnsi="Verdana" w:cs="Arial"/>
          <w:sz w:val="18"/>
          <w:szCs w:val="18"/>
          <w:lang w:val="nl-NL"/>
        </w:rPr>
        <w:t>lichamen</w:t>
      </w:r>
      <w:r w:rsidRPr="003103E7" w:rsidR="00223D0B">
        <w:rPr>
          <w:rFonts w:ascii="Verdana" w:hAnsi="Verdana" w:cs="Arial"/>
          <w:sz w:val="18"/>
          <w:szCs w:val="18"/>
          <w:lang w:val="nl-NL"/>
        </w:rPr>
        <w:t xml:space="preserve"> </w:t>
      </w:r>
      <w:r w:rsidRPr="003103E7" w:rsidR="00E63F0D">
        <w:rPr>
          <w:rFonts w:ascii="Verdana" w:hAnsi="Verdana" w:cs="Arial"/>
          <w:sz w:val="18"/>
          <w:szCs w:val="18"/>
          <w:lang w:val="nl-NL"/>
        </w:rPr>
        <w:t xml:space="preserve">pas </w:t>
      </w:r>
      <w:r w:rsidRPr="003103E7" w:rsidR="007D4BC1">
        <w:rPr>
          <w:rFonts w:ascii="Verdana" w:hAnsi="Verdana" w:cs="Arial"/>
          <w:sz w:val="18"/>
          <w:szCs w:val="18"/>
          <w:lang w:val="nl-NL"/>
        </w:rPr>
        <w:t xml:space="preserve">ter heffing zijn toegewezen aan de situsstaat indien meer dan </w:t>
      </w:r>
      <w:r w:rsidRPr="003103E7" w:rsidR="00E63F0D">
        <w:rPr>
          <w:rFonts w:ascii="Verdana" w:hAnsi="Verdana" w:cs="Arial"/>
          <w:sz w:val="18"/>
          <w:szCs w:val="18"/>
          <w:lang w:val="nl-NL"/>
        </w:rPr>
        <w:t>7</w:t>
      </w:r>
      <w:r w:rsidRPr="003103E7" w:rsidR="007D4BC1">
        <w:rPr>
          <w:rFonts w:ascii="Verdana" w:hAnsi="Verdana" w:cs="Arial"/>
          <w:sz w:val="18"/>
          <w:szCs w:val="18"/>
          <w:lang w:val="nl-NL"/>
        </w:rPr>
        <w:t>5</w:t>
      </w:r>
      <w:r w:rsidR="00043B14">
        <w:rPr>
          <w:rFonts w:ascii="Verdana" w:hAnsi="Verdana" w:cs="Arial"/>
          <w:sz w:val="18"/>
          <w:szCs w:val="18"/>
          <w:lang w:val="nl-NL"/>
        </w:rPr>
        <w:t>%</w:t>
      </w:r>
      <w:r w:rsidRPr="003103E7" w:rsidR="00E63F0D">
        <w:rPr>
          <w:rFonts w:ascii="Verdana" w:hAnsi="Verdana" w:cs="Arial"/>
          <w:sz w:val="18"/>
          <w:szCs w:val="18"/>
          <w:lang w:val="nl-NL"/>
        </w:rPr>
        <w:t xml:space="preserve"> </w:t>
      </w:r>
      <w:r w:rsidRPr="003657E3" w:rsidR="007D4BC1">
        <w:rPr>
          <w:rFonts w:ascii="Verdana" w:hAnsi="Verdana" w:cs="Arial"/>
          <w:sz w:val="18"/>
          <w:szCs w:val="18"/>
          <w:lang w:val="nl-NL"/>
        </w:rPr>
        <w:t xml:space="preserve">van de waarde van de aandelen </w:t>
      </w:r>
      <w:r w:rsidRPr="003657E3" w:rsidR="00E63F0D">
        <w:rPr>
          <w:rFonts w:ascii="Verdana" w:hAnsi="Verdana" w:cs="Arial"/>
          <w:sz w:val="18"/>
          <w:szCs w:val="18"/>
          <w:lang w:val="nl-NL"/>
        </w:rPr>
        <w:t xml:space="preserve">(direct of indirect) </w:t>
      </w:r>
      <w:r w:rsidRPr="00CB4452" w:rsidR="00AD72CE">
        <w:rPr>
          <w:rFonts w:ascii="Verdana" w:hAnsi="Verdana" w:cs="Arial"/>
          <w:sz w:val="18"/>
          <w:szCs w:val="18"/>
          <w:lang w:val="nl-NL"/>
        </w:rPr>
        <w:t xml:space="preserve">in een vennootschap </w:t>
      </w:r>
      <w:r w:rsidRPr="00CB4452" w:rsidR="007D4BC1">
        <w:rPr>
          <w:rFonts w:ascii="Verdana" w:hAnsi="Verdana" w:cs="Arial"/>
          <w:sz w:val="18"/>
          <w:szCs w:val="18"/>
          <w:lang w:val="nl-NL"/>
        </w:rPr>
        <w:t xml:space="preserve">wordt bepaald door </w:t>
      </w:r>
      <w:r w:rsidRPr="00CB4452" w:rsidR="00E63F0D">
        <w:rPr>
          <w:rFonts w:ascii="Verdana" w:hAnsi="Verdana" w:cs="Arial"/>
          <w:sz w:val="18"/>
          <w:szCs w:val="18"/>
          <w:lang w:val="nl-NL"/>
        </w:rPr>
        <w:t xml:space="preserve">in de situsstaat gelegen </w:t>
      </w:r>
      <w:r w:rsidRPr="00CB4452" w:rsidR="007D4BC1">
        <w:rPr>
          <w:rFonts w:ascii="Verdana" w:hAnsi="Verdana" w:cs="Arial"/>
          <w:sz w:val="18"/>
          <w:szCs w:val="18"/>
          <w:lang w:val="nl-NL"/>
        </w:rPr>
        <w:t>onroerend</w:t>
      </w:r>
      <w:r w:rsidR="00043B14">
        <w:rPr>
          <w:rFonts w:ascii="Verdana" w:hAnsi="Verdana" w:cs="Arial"/>
          <w:sz w:val="18"/>
          <w:szCs w:val="18"/>
          <w:lang w:val="nl-NL"/>
        </w:rPr>
        <w:t>e</w:t>
      </w:r>
      <w:r w:rsidRPr="00CB4452" w:rsidR="007D4BC1">
        <w:rPr>
          <w:rFonts w:ascii="Verdana" w:hAnsi="Verdana" w:cs="Arial"/>
          <w:sz w:val="18"/>
          <w:szCs w:val="18"/>
          <w:lang w:val="nl-NL"/>
        </w:rPr>
        <w:t xml:space="preserve"> za</w:t>
      </w:r>
      <w:r w:rsidRPr="00CB4452" w:rsidR="00E63F0D">
        <w:rPr>
          <w:rFonts w:ascii="Verdana" w:hAnsi="Verdana" w:cs="Arial"/>
          <w:sz w:val="18"/>
          <w:szCs w:val="18"/>
          <w:lang w:val="nl-NL"/>
        </w:rPr>
        <w:t>ken</w:t>
      </w:r>
      <w:r w:rsidRPr="00CB4452" w:rsidR="00A35816">
        <w:rPr>
          <w:rFonts w:ascii="Verdana" w:hAnsi="Verdana" w:cs="Arial"/>
          <w:sz w:val="18"/>
          <w:szCs w:val="18"/>
          <w:lang w:val="nl-NL"/>
        </w:rPr>
        <w:t xml:space="preserve"> met uitzondering van onroerende zak</w:t>
      </w:r>
      <w:r w:rsidRPr="006515E9" w:rsidR="00A35816">
        <w:rPr>
          <w:rFonts w:ascii="Verdana" w:hAnsi="Verdana" w:cs="Arial"/>
          <w:sz w:val="18"/>
          <w:szCs w:val="18"/>
          <w:lang w:val="nl-NL"/>
        </w:rPr>
        <w:t xml:space="preserve">en </w:t>
      </w:r>
      <w:r w:rsidRPr="006515E9" w:rsidR="00AD72CE">
        <w:rPr>
          <w:rFonts w:ascii="Verdana" w:hAnsi="Verdana" w:cs="Arial"/>
          <w:sz w:val="18"/>
          <w:szCs w:val="18"/>
          <w:lang w:val="nl-NL"/>
        </w:rPr>
        <w:t>waarin de actieve bedrijfsuitoefening van die vennootschap plaatsvindt</w:t>
      </w:r>
      <w:r w:rsidRPr="006515E9" w:rsidR="007D4BC1">
        <w:rPr>
          <w:rFonts w:ascii="Verdana" w:hAnsi="Verdana" w:cs="Arial"/>
          <w:sz w:val="18"/>
          <w:szCs w:val="18"/>
          <w:lang w:val="nl-NL"/>
        </w:rPr>
        <w:t xml:space="preserve">. Daarnaast zijn </w:t>
      </w:r>
      <w:r w:rsidRPr="006515E9" w:rsidR="00562165">
        <w:rPr>
          <w:rFonts w:ascii="Verdana" w:hAnsi="Verdana" w:cs="Arial"/>
          <w:sz w:val="18"/>
          <w:szCs w:val="18"/>
          <w:lang w:val="nl-NL"/>
        </w:rPr>
        <w:t>d</w:t>
      </w:r>
      <w:r w:rsidRPr="006515E9" w:rsidR="007D4BC1">
        <w:rPr>
          <w:rFonts w:ascii="Verdana" w:hAnsi="Verdana" w:cs="Arial"/>
          <w:sz w:val="18"/>
          <w:szCs w:val="18"/>
          <w:lang w:val="nl-NL"/>
        </w:rPr>
        <w:t>e ver</w:t>
      </w:r>
      <w:r w:rsidRPr="006515E9" w:rsidR="00562165">
        <w:rPr>
          <w:rFonts w:ascii="Verdana" w:hAnsi="Verdana" w:cs="Arial"/>
          <w:sz w:val="18"/>
          <w:szCs w:val="18"/>
          <w:lang w:val="nl-NL"/>
        </w:rPr>
        <w:t>vreemdings</w:t>
      </w:r>
      <w:r w:rsidRPr="006515E9" w:rsidR="007D4BC1">
        <w:rPr>
          <w:rFonts w:ascii="Verdana" w:hAnsi="Verdana" w:cs="Arial"/>
          <w:sz w:val="18"/>
          <w:szCs w:val="18"/>
          <w:lang w:val="nl-NL"/>
        </w:rPr>
        <w:t xml:space="preserve">winsten slechts belastbaar in de woonstaat indien sprake is van een </w:t>
      </w:r>
      <w:r w:rsidRPr="006515E9" w:rsidR="00562165">
        <w:rPr>
          <w:rFonts w:ascii="Verdana" w:hAnsi="Verdana" w:cs="Arial"/>
          <w:sz w:val="18"/>
          <w:szCs w:val="18"/>
          <w:lang w:val="nl-NL"/>
        </w:rPr>
        <w:t xml:space="preserve">fusie of splitsing (onderdeel a), </w:t>
      </w:r>
      <w:r w:rsidRPr="0018301C" w:rsidR="007D4BC1">
        <w:rPr>
          <w:rFonts w:ascii="Verdana" w:hAnsi="Verdana" w:cs="Arial"/>
          <w:sz w:val="18"/>
          <w:szCs w:val="18"/>
          <w:lang w:val="nl-NL"/>
        </w:rPr>
        <w:t xml:space="preserve">de </w:t>
      </w:r>
      <w:r w:rsidRPr="0018301C" w:rsidR="00562165">
        <w:rPr>
          <w:rFonts w:ascii="Verdana" w:hAnsi="Verdana" w:cs="Arial"/>
          <w:sz w:val="18"/>
          <w:szCs w:val="18"/>
          <w:lang w:val="nl-NL"/>
        </w:rPr>
        <w:t xml:space="preserve">vervreemde </w:t>
      </w:r>
      <w:r w:rsidRPr="0018301C" w:rsidR="007D4BC1">
        <w:rPr>
          <w:rFonts w:ascii="Verdana" w:hAnsi="Verdana" w:cs="Arial"/>
          <w:sz w:val="18"/>
          <w:szCs w:val="18"/>
          <w:lang w:val="nl-NL"/>
        </w:rPr>
        <w:t xml:space="preserve">aandelen </w:t>
      </w:r>
      <w:r w:rsidRPr="0018301C" w:rsidR="00A35816">
        <w:rPr>
          <w:rFonts w:ascii="Verdana" w:hAnsi="Verdana" w:cs="Arial"/>
          <w:sz w:val="18"/>
          <w:szCs w:val="18"/>
          <w:lang w:val="nl-NL"/>
        </w:rPr>
        <w:t>zijn genoteerd aan een er</w:t>
      </w:r>
      <w:r w:rsidRPr="00490FAB" w:rsidR="00A35816">
        <w:rPr>
          <w:rFonts w:ascii="Verdana" w:hAnsi="Verdana" w:cs="Arial"/>
          <w:sz w:val="18"/>
          <w:szCs w:val="18"/>
          <w:lang w:val="nl-NL"/>
        </w:rPr>
        <w:t>kend</w:t>
      </w:r>
      <w:r w:rsidRPr="00490FAB" w:rsidR="00F4078D">
        <w:rPr>
          <w:rFonts w:ascii="Verdana" w:hAnsi="Verdana" w:cs="Arial"/>
          <w:sz w:val="18"/>
          <w:szCs w:val="18"/>
          <w:lang w:val="nl-NL"/>
        </w:rPr>
        <w:t>e effectenbeurs (onderdeel b)</w:t>
      </w:r>
      <w:r w:rsidRPr="00EC1AE5" w:rsidR="00A35816">
        <w:rPr>
          <w:rFonts w:ascii="Verdana" w:hAnsi="Verdana" w:cs="Arial"/>
          <w:sz w:val="18"/>
          <w:szCs w:val="18"/>
          <w:lang w:val="nl-NL"/>
        </w:rPr>
        <w:t xml:space="preserve"> </w:t>
      </w:r>
      <w:r w:rsidRPr="00EC1AE5" w:rsidR="00AD72CE">
        <w:rPr>
          <w:rFonts w:ascii="Verdana" w:hAnsi="Verdana" w:cs="Arial"/>
          <w:sz w:val="18"/>
          <w:szCs w:val="18"/>
          <w:lang w:val="nl-NL"/>
        </w:rPr>
        <w:t xml:space="preserve">of </w:t>
      </w:r>
      <w:r w:rsidR="00043B14">
        <w:rPr>
          <w:rFonts w:ascii="Verdana" w:hAnsi="Verdana" w:cs="Arial"/>
          <w:sz w:val="18"/>
          <w:szCs w:val="18"/>
          <w:lang w:val="nl-NL"/>
        </w:rPr>
        <w:t xml:space="preserve">de aandelen </w:t>
      </w:r>
      <w:r w:rsidRPr="00EC1AE5" w:rsidR="007D4BC1">
        <w:rPr>
          <w:rFonts w:ascii="Verdana" w:hAnsi="Verdana" w:cs="Arial"/>
          <w:sz w:val="18"/>
          <w:szCs w:val="18"/>
          <w:lang w:val="nl-NL"/>
        </w:rPr>
        <w:t>worden vervreemd door een pensioenfonds</w:t>
      </w:r>
      <w:r w:rsidRPr="00EC1AE5" w:rsidR="00AD72CE">
        <w:rPr>
          <w:rFonts w:ascii="Verdana" w:hAnsi="Verdana" w:cs="Arial"/>
          <w:sz w:val="18"/>
          <w:szCs w:val="18"/>
          <w:lang w:val="nl-NL"/>
        </w:rPr>
        <w:t xml:space="preserve"> (onderdeel c)</w:t>
      </w:r>
      <w:r w:rsidRPr="001F1D4E" w:rsidR="007D4BC1">
        <w:rPr>
          <w:rFonts w:ascii="Verdana" w:hAnsi="Verdana" w:cs="Arial"/>
          <w:sz w:val="18"/>
          <w:szCs w:val="18"/>
          <w:lang w:val="nl-NL"/>
        </w:rPr>
        <w:t>.</w:t>
      </w:r>
      <w:r w:rsidRPr="001F1D4E" w:rsidR="00AD72CE">
        <w:rPr>
          <w:rFonts w:ascii="Verdana" w:hAnsi="Verdana" w:cs="Arial"/>
          <w:sz w:val="18"/>
          <w:szCs w:val="18"/>
          <w:lang w:val="nl-NL"/>
        </w:rPr>
        <w:t xml:space="preserve"> </w:t>
      </w:r>
      <w:r w:rsidRPr="001C6327" w:rsidR="00713640">
        <w:rPr>
          <w:rFonts w:ascii="Verdana" w:hAnsi="Verdana" w:cs="Arial"/>
          <w:sz w:val="18"/>
          <w:szCs w:val="18"/>
          <w:lang w:val="nl-NL"/>
        </w:rPr>
        <w:t>In lijn met de voorstellen u</w:t>
      </w:r>
      <w:r w:rsidR="008C60B2">
        <w:rPr>
          <w:rFonts w:ascii="Verdana" w:hAnsi="Verdana" w:cs="Arial"/>
          <w:sz w:val="18"/>
          <w:szCs w:val="18"/>
          <w:lang w:val="nl-NL"/>
        </w:rPr>
        <w:t xml:space="preserve">it het rapport bij BEPS-actie 6 die inmiddels ook in het OESO-modelverdrag zijn opgenomen, </w:t>
      </w:r>
      <w:r w:rsidRPr="00F578EC" w:rsidR="00713640">
        <w:rPr>
          <w:rFonts w:ascii="Verdana" w:hAnsi="Verdana" w:cs="Arial"/>
          <w:sz w:val="18"/>
          <w:szCs w:val="18"/>
          <w:lang w:val="nl-NL"/>
        </w:rPr>
        <w:t>is de bepaling ook van toepassing op de vervreemding van met aandelen vergelijkbare belangen en geldt</w:t>
      </w:r>
      <w:r w:rsidR="008C60B2">
        <w:rPr>
          <w:rFonts w:ascii="Verdana" w:hAnsi="Verdana" w:cs="Arial"/>
          <w:sz w:val="18"/>
          <w:szCs w:val="18"/>
          <w:lang w:val="nl-NL"/>
        </w:rPr>
        <w:t xml:space="preserve"> er</w:t>
      </w:r>
      <w:r w:rsidRPr="00F578EC" w:rsidR="00713640">
        <w:rPr>
          <w:rFonts w:ascii="Verdana" w:hAnsi="Verdana" w:cs="Arial"/>
          <w:sz w:val="18"/>
          <w:szCs w:val="18"/>
          <w:lang w:val="nl-NL"/>
        </w:rPr>
        <w:t xml:space="preserve"> een toetsperiode van 365 dagen. Deze toetsperiode houdt in dat de bepaling </w:t>
      </w:r>
      <w:r w:rsidR="00115BB0">
        <w:rPr>
          <w:rFonts w:ascii="Verdana" w:hAnsi="Verdana" w:cs="Arial"/>
          <w:sz w:val="18"/>
          <w:szCs w:val="18"/>
          <w:lang w:val="nl-NL"/>
        </w:rPr>
        <w:t>effect</w:t>
      </w:r>
      <w:r w:rsidRPr="00BC6175" w:rsidR="006B1DCE">
        <w:rPr>
          <w:rFonts w:ascii="Verdana" w:hAnsi="Verdana" w:cs="Arial"/>
          <w:sz w:val="18"/>
          <w:szCs w:val="18"/>
          <w:lang w:val="nl-NL"/>
        </w:rPr>
        <w:t xml:space="preserve"> kan </w:t>
      </w:r>
      <w:r w:rsidR="00115BB0">
        <w:rPr>
          <w:rFonts w:ascii="Verdana" w:hAnsi="Verdana" w:cs="Arial"/>
          <w:sz w:val="18"/>
          <w:szCs w:val="18"/>
          <w:lang w:val="nl-NL"/>
        </w:rPr>
        <w:t>hebben</w:t>
      </w:r>
      <w:r w:rsidRPr="00BC6175" w:rsidR="00115BB0">
        <w:rPr>
          <w:rFonts w:ascii="Verdana" w:hAnsi="Verdana" w:cs="Arial"/>
          <w:sz w:val="18"/>
          <w:szCs w:val="18"/>
          <w:lang w:val="nl-NL"/>
        </w:rPr>
        <w:t xml:space="preserve"> </w:t>
      </w:r>
      <w:r w:rsidRPr="00BC6175" w:rsidR="006B1DCE">
        <w:rPr>
          <w:rFonts w:ascii="Verdana" w:hAnsi="Verdana" w:cs="Arial"/>
          <w:sz w:val="18"/>
          <w:szCs w:val="18"/>
          <w:lang w:val="nl-NL"/>
        </w:rPr>
        <w:t>als op enig moment gedurende de periode van</w:t>
      </w:r>
      <w:r w:rsidRPr="00BC6175" w:rsidR="00713640">
        <w:rPr>
          <w:rFonts w:ascii="Verdana" w:hAnsi="Verdana" w:cs="Arial"/>
          <w:sz w:val="18"/>
          <w:szCs w:val="18"/>
          <w:lang w:val="nl-NL"/>
        </w:rPr>
        <w:t xml:space="preserve"> 365 dagen voorafgaand aan de vervreemding aan de drempelwaarde wordt voldaan. </w:t>
      </w:r>
    </w:p>
    <w:p w:rsidRPr="00916448" w:rsidR="00500251" w:rsidP="00500251" w:rsidRDefault="00500251" w14:paraId="3A7D6FB8" w14:textId="77777777">
      <w:pPr>
        <w:ind w:firstLine="720"/>
        <w:rPr>
          <w:rFonts w:ascii="Verdana" w:hAnsi="Verdana" w:cs="Arial"/>
          <w:sz w:val="18"/>
          <w:szCs w:val="18"/>
          <w:lang w:val="nl-NL"/>
        </w:rPr>
      </w:pPr>
      <w:r w:rsidRPr="00CF22A8">
        <w:rPr>
          <w:rFonts w:ascii="Verdana" w:hAnsi="Verdana" w:cs="Arial"/>
          <w:sz w:val="18"/>
          <w:szCs w:val="18"/>
          <w:lang w:val="nl-NL"/>
        </w:rPr>
        <w:t xml:space="preserve">Ingevolge het vijfde lid zijn de vervreemdingswinsten die niet zijn genoemd in het eerste tot en met het vierde lid van dit artikel, ter heffing toegewezen aan de </w:t>
      </w:r>
      <w:r w:rsidR="0021450B">
        <w:rPr>
          <w:rFonts w:ascii="Verdana" w:hAnsi="Verdana" w:cs="Arial"/>
          <w:sz w:val="18"/>
          <w:szCs w:val="18"/>
          <w:lang w:val="nl-NL"/>
        </w:rPr>
        <w:t>verdragsluitende staat</w:t>
      </w:r>
      <w:r w:rsidRPr="005C1870">
        <w:rPr>
          <w:rFonts w:ascii="Verdana" w:hAnsi="Verdana" w:cs="Arial"/>
          <w:sz w:val="18"/>
          <w:szCs w:val="18"/>
          <w:lang w:val="nl-NL"/>
        </w:rPr>
        <w:t xml:space="preserve"> waarvan de v</w:t>
      </w:r>
      <w:r w:rsidRPr="00916448">
        <w:rPr>
          <w:rFonts w:ascii="Verdana" w:hAnsi="Verdana" w:cs="Arial"/>
          <w:sz w:val="18"/>
          <w:szCs w:val="18"/>
          <w:lang w:val="nl-NL"/>
        </w:rPr>
        <w:t xml:space="preserve">ervreemder inwoner is. </w:t>
      </w:r>
    </w:p>
    <w:p w:rsidRPr="00FA4BC6" w:rsidR="00897566" w:rsidP="00897566" w:rsidRDefault="00500251" w14:paraId="7933C932" w14:textId="32DB78B9">
      <w:pPr>
        <w:ind w:firstLine="720"/>
        <w:rPr>
          <w:rFonts w:ascii="Verdana" w:hAnsi="Verdana" w:cs="Arial"/>
          <w:sz w:val="18"/>
          <w:szCs w:val="18"/>
          <w:lang w:val="nl-NL"/>
        </w:rPr>
      </w:pPr>
      <w:r w:rsidRPr="00916448">
        <w:rPr>
          <w:rFonts w:ascii="Verdana" w:hAnsi="Verdana" w:cs="Arial"/>
          <w:sz w:val="18"/>
          <w:szCs w:val="18"/>
          <w:lang w:val="nl-NL"/>
        </w:rPr>
        <w:t xml:space="preserve">Ten slotte </w:t>
      </w:r>
      <w:r w:rsidRPr="00916448" w:rsidR="006E6715">
        <w:rPr>
          <w:rFonts w:ascii="Verdana" w:hAnsi="Verdana" w:cs="Arial"/>
          <w:sz w:val="18"/>
          <w:szCs w:val="18"/>
          <w:lang w:val="nl-NL"/>
        </w:rPr>
        <w:t>bevat</w:t>
      </w:r>
      <w:r w:rsidRPr="00916448">
        <w:rPr>
          <w:rFonts w:ascii="Verdana" w:hAnsi="Verdana" w:cs="Arial"/>
          <w:sz w:val="18"/>
          <w:szCs w:val="18"/>
          <w:lang w:val="nl-NL"/>
        </w:rPr>
        <w:t xml:space="preserve"> het zesde lid op verz</w:t>
      </w:r>
      <w:r w:rsidRPr="00916448" w:rsidR="006B1DCE">
        <w:rPr>
          <w:rFonts w:ascii="Verdana" w:hAnsi="Verdana" w:cs="Arial"/>
          <w:sz w:val="18"/>
          <w:szCs w:val="18"/>
          <w:lang w:val="nl-NL"/>
        </w:rPr>
        <w:t xml:space="preserve">oek van Nederland een bepaling </w:t>
      </w:r>
      <w:r w:rsidRPr="00916448">
        <w:rPr>
          <w:rFonts w:ascii="Verdana" w:hAnsi="Verdana" w:cs="Arial"/>
          <w:sz w:val="18"/>
          <w:szCs w:val="18"/>
          <w:lang w:val="nl-NL"/>
        </w:rPr>
        <w:t xml:space="preserve">voor vervreemdingswinsten genoten door </w:t>
      </w:r>
      <w:r w:rsidRPr="00916448" w:rsidR="00000AAE">
        <w:rPr>
          <w:rFonts w:ascii="Verdana" w:hAnsi="Verdana" w:cs="Arial"/>
          <w:sz w:val="18"/>
          <w:szCs w:val="18"/>
          <w:lang w:val="nl-NL"/>
        </w:rPr>
        <w:t xml:space="preserve">geëmigreerde </w:t>
      </w:r>
      <w:r w:rsidRPr="00916448">
        <w:rPr>
          <w:rFonts w:ascii="Verdana" w:hAnsi="Verdana" w:cs="Arial"/>
          <w:sz w:val="18"/>
          <w:szCs w:val="18"/>
          <w:lang w:val="nl-NL"/>
        </w:rPr>
        <w:t>aanmerkelijkbelanghouders</w:t>
      </w:r>
      <w:r w:rsidRPr="00916448">
        <w:rPr>
          <w:rFonts w:ascii="Verdana" w:hAnsi="Verdana"/>
          <w:sz w:val="18"/>
          <w:szCs w:val="18"/>
          <w:lang w:val="nl-NL"/>
        </w:rPr>
        <w:t xml:space="preserve">, zoals toegelicht in </w:t>
      </w:r>
      <w:r w:rsidR="00043B14">
        <w:rPr>
          <w:rFonts w:ascii="Verdana" w:hAnsi="Verdana"/>
          <w:sz w:val="18"/>
          <w:szCs w:val="18"/>
          <w:lang w:val="nl-NL"/>
        </w:rPr>
        <w:t xml:space="preserve">de </w:t>
      </w:r>
      <w:r w:rsidRPr="00916448">
        <w:rPr>
          <w:rFonts w:ascii="Verdana" w:hAnsi="Verdana"/>
          <w:sz w:val="18"/>
          <w:szCs w:val="18"/>
          <w:lang w:val="nl-NL"/>
        </w:rPr>
        <w:t>onderdel</w:t>
      </w:r>
      <w:r w:rsidR="00043B14">
        <w:rPr>
          <w:rFonts w:ascii="Verdana" w:hAnsi="Verdana"/>
          <w:sz w:val="18"/>
          <w:szCs w:val="18"/>
          <w:lang w:val="nl-NL"/>
        </w:rPr>
        <w:t>en</w:t>
      </w:r>
      <w:r w:rsidRPr="00916448">
        <w:rPr>
          <w:rFonts w:ascii="Verdana" w:hAnsi="Verdana"/>
          <w:sz w:val="18"/>
          <w:szCs w:val="18"/>
          <w:lang w:val="nl-NL"/>
        </w:rPr>
        <w:t xml:space="preserve"> 2.9.3 en 2.9.4</w:t>
      </w:r>
      <w:r w:rsidRPr="00780A5E">
        <w:rPr>
          <w:rFonts w:ascii="Verdana" w:hAnsi="Verdana"/>
          <w:sz w:val="18"/>
          <w:szCs w:val="18"/>
          <w:lang w:val="nl-NL"/>
        </w:rPr>
        <w:t xml:space="preserve"> </w:t>
      </w:r>
      <w:r w:rsidR="008C60B2">
        <w:rPr>
          <w:rFonts w:ascii="Verdana" w:hAnsi="Verdana"/>
          <w:sz w:val="18"/>
          <w:szCs w:val="18"/>
          <w:lang w:val="nl-NL"/>
        </w:rPr>
        <w:t xml:space="preserve">van de NFV 2011. </w:t>
      </w:r>
      <w:r w:rsidRPr="00BA2B89">
        <w:rPr>
          <w:rFonts w:ascii="Verdana" w:hAnsi="Verdana" w:cs="Arial"/>
          <w:sz w:val="18"/>
          <w:szCs w:val="18"/>
          <w:lang w:val="nl-NL"/>
        </w:rPr>
        <w:t>Aangezien ook Bulgarije vervreemdingswinste</w:t>
      </w:r>
      <w:r w:rsidRPr="00A4089F">
        <w:rPr>
          <w:rFonts w:ascii="Verdana" w:hAnsi="Verdana" w:cs="Arial"/>
          <w:sz w:val="18"/>
          <w:szCs w:val="18"/>
          <w:lang w:val="nl-NL"/>
        </w:rPr>
        <w:t xml:space="preserve">n op buitenlandse aandelen belast, was het niet nodig om </w:t>
      </w:r>
      <w:r w:rsidRPr="00A4089F" w:rsidR="007C11ED">
        <w:rPr>
          <w:rFonts w:ascii="Verdana" w:hAnsi="Verdana" w:cs="Arial"/>
          <w:sz w:val="18"/>
          <w:szCs w:val="18"/>
          <w:lang w:val="nl-NL"/>
        </w:rPr>
        <w:t>het heffingsrecht over aanmerkelijkbelangaandelen</w:t>
      </w:r>
      <w:r w:rsidRPr="006C1373">
        <w:rPr>
          <w:rFonts w:ascii="Verdana" w:hAnsi="Verdana" w:cs="Arial"/>
          <w:sz w:val="18"/>
          <w:szCs w:val="18"/>
          <w:lang w:val="nl-NL"/>
        </w:rPr>
        <w:t xml:space="preserve"> uit te breiden tot waardeaangroei na de emigratie, zoals omschreven aan het slot van onderdeel 2.9.3 van de NFV 2011. </w:t>
      </w:r>
    </w:p>
    <w:p w:rsidRPr="00BD4E1D" w:rsidR="00897566" w:rsidP="00897566" w:rsidRDefault="00897566" w14:paraId="52BA7DD2" w14:textId="77777777">
      <w:pPr>
        <w:ind w:firstLine="720"/>
        <w:rPr>
          <w:rFonts w:ascii="Verdana" w:hAnsi="Verdana"/>
          <w:sz w:val="18"/>
          <w:szCs w:val="18"/>
          <w:lang w:val="nl-NL"/>
        </w:rPr>
      </w:pPr>
      <w:r w:rsidRPr="00BD4E1D">
        <w:rPr>
          <w:rFonts w:ascii="Verdana" w:hAnsi="Verdana" w:cs="Arial"/>
          <w:sz w:val="18"/>
          <w:szCs w:val="18"/>
          <w:lang w:val="nl-NL"/>
        </w:rPr>
        <w:t>Voor de toelichting op de artikelen II, V en VI van het Protocol wordt verwezen naar de toelichting op respectievelijk artikel 1, artikel 5 en artikel 6.</w:t>
      </w:r>
    </w:p>
    <w:p w:rsidRPr="00E01754" w:rsidR="00D04F4F" w:rsidP="00500251" w:rsidRDefault="00D04F4F" w14:paraId="5779C877" w14:textId="77777777">
      <w:pPr>
        <w:ind w:firstLine="0"/>
        <w:rPr>
          <w:rFonts w:ascii="Verdana" w:hAnsi="Verdana" w:cs="Arial"/>
          <w:sz w:val="18"/>
          <w:szCs w:val="18"/>
          <w:lang w:val="nl-NL"/>
        </w:rPr>
      </w:pPr>
    </w:p>
    <w:p w:rsidRPr="00916448" w:rsidR="00E70605" w:rsidP="00CD077B" w:rsidRDefault="00034576" w14:paraId="760C5BA3" w14:textId="77777777">
      <w:pPr>
        <w:ind w:firstLine="0"/>
        <w:rPr>
          <w:rFonts w:ascii="Verdana" w:hAnsi="Verdana"/>
          <w:sz w:val="18"/>
          <w:szCs w:val="18"/>
          <w:highlight w:val="yellow"/>
          <w:lang w:val="nl-NL"/>
        </w:rPr>
      </w:pPr>
      <w:r w:rsidRPr="00E01754">
        <w:rPr>
          <w:rFonts w:ascii="Verdana" w:hAnsi="Verdana"/>
          <w:i/>
          <w:sz w:val="18"/>
          <w:szCs w:val="18"/>
          <w:lang w:val="nl-NL"/>
        </w:rPr>
        <w:lastRenderedPageBreak/>
        <w:t xml:space="preserve">II.14. </w:t>
      </w:r>
      <w:r w:rsidRPr="00E01754" w:rsidR="00947E8C">
        <w:rPr>
          <w:rFonts w:ascii="Verdana" w:hAnsi="Verdana"/>
          <w:i/>
          <w:sz w:val="18"/>
          <w:szCs w:val="18"/>
          <w:lang w:val="nl-NL"/>
        </w:rPr>
        <w:t>I</w:t>
      </w:r>
      <w:r w:rsidRPr="003103E7" w:rsidR="004560C1">
        <w:rPr>
          <w:rFonts w:ascii="Verdana" w:hAnsi="Verdana"/>
          <w:i/>
          <w:sz w:val="18"/>
          <w:szCs w:val="18"/>
          <w:lang w:val="nl-NL"/>
        </w:rPr>
        <w:t>nkomsten uit dienstbetrekking (artikel 1</w:t>
      </w:r>
      <w:r w:rsidRPr="003103E7" w:rsidR="00947E8C">
        <w:rPr>
          <w:rFonts w:ascii="Verdana" w:hAnsi="Verdana"/>
          <w:i/>
          <w:sz w:val="18"/>
          <w:szCs w:val="18"/>
          <w:lang w:val="nl-NL"/>
        </w:rPr>
        <w:t>4</w:t>
      </w:r>
      <w:r w:rsidRPr="00916448" w:rsidR="00916448">
        <w:rPr>
          <w:rFonts w:ascii="Verdana" w:hAnsi="Verdana"/>
          <w:i/>
          <w:sz w:val="18"/>
          <w:szCs w:val="18"/>
          <w:lang w:val="nl-NL"/>
        </w:rPr>
        <w:t xml:space="preserve"> van het Verdrag</w:t>
      </w:r>
      <w:r w:rsidRPr="00916448" w:rsidR="004560C1">
        <w:rPr>
          <w:rFonts w:ascii="Verdana" w:hAnsi="Verdana"/>
          <w:i/>
          <w:sz w:val="18"/>
          <w:szCs w:val="18"/>
          <w:lang w:val="nl-NL"/>
        </w:rPr>
        <w:t>)</w:t>
      </w:r>
    </w:p>
    <w:p w:rsidRPr="00916448" w:rsidR="004560C1" w:rsidP="00CD077B" w:rsidRDefault="004560C1" w14:paraId="53247752" w14:textId="77777777">
      <w:pPr>
        <w:rPr>
          <w:rFonts w:ascii="Verdana" w:hAnsi="Verdana" w:cs="Arial"/>
          <w:sz w:val="18"/>
          <w:szCs w:val="18"/>
          <w:lang w:val="nl-NL"/>
        </w:rPr>
      </w:pPr>
    </w:p>
    <w:p w:rsidRPr="00780A5E" w:rsidR="00103183" w:rsidP="00CD077B" w:rsidRDefault="004560C1" w14:paraId="39026F6A" w14:textId="77777777">
      <w:pPr>
        <w:rPr>
          <w:rFonts w:ascii="Verdana" w:hAnsi="Verdana" w:cs="Arial"/>
          <w:sz w:val="18"/>
          <w:szCs w:val="18"/>
          <w:lang w:val="nl-NL"/>
        </w:rPr>
      </w:pPr>
      <w:r w:rsidRPr="00916448">
        <w:rPr>
          <w:rFonts w:ascii="Verdana" w:hAnsi="Verdana" w:cs="Arial"/>
          <w:sz w:val="18"/>
          <w:szCs w:val="18"/>
          <w:lang w:val="nl-NL"/>
        </w:rPr>
        <w:t>De verdeling van heffingsbevoegdheden met betrekking tot inkomsten uit dienstbetrekking (niet-zelfstandige arbeid) is geregeld overeenkomstig de internationaal – en ook in het Nederlandse verdragsbeleid gehanteerde</w:t>
      </w:r>
      <w:r w:rsidRPr="00780A5E" w:rsidR="00491278">
        <w:rPr>
          <w:rFonts w:ascii="Verdana" w:hAnsi="Verdana" w:cs="Arial"/>
          <w:sz w:val="18"/>
          <w:szCs w:val="18"/>
          <w:lang w:val="nl-NL"/>
        </w:rPr>
        <w:t xml:space="preserve"> –</w:t>
      </w:r>
      <w:r w:rsidRPr="00780A5E">
        <w:rPr>
          <w:rFonts w:ascii="Verdana" w:hAnsi="Verdana" w:cs="Arial"/>
          <w:sz w:val="18"/>
          <w:szCs w:val="18"/>
          <w:lang w:val="nl-NL"/>
        </w:rPr>
        <w:t xml:space="preserve"> gebruikelijke uitgangspunten.</w:t>
      </w:r>
      <w:r w:rsidRPr="00780A5E" w:rsidR="00AF52EA">
        <w:rPr>
          <w:rFonts w:ascii="Verdana" w:hAnsi="Verdana" w:cs="Arial"/>
          <w:sz w:val="18"/>
          <w:szCs w:val="18"/>
          <w:lang w:val="nl-NL"/>
        </w:rPr>
        <w:t xml:space="preserve"> Deze bepaling is gebaseerd op artikel 15 van het OESO-modelverdrag.</w:t>
      </w:r>
    </w:p>
    <w:p w:rsidRPr="0021450B" w:rsidR="003078A3" w:rsidP="00CD077B" w:rsidRDefault="004560C1" w14:paraId="2D78FB31" w14:textId="77777777">
      <w:pPr>
        <w:rPr>
          <w:rFonts w:ascii="Verdana" w:hAnsi="Verdana" w:cs="Arial"/>
          <w:sz w:val="18"/>
          <w:szCs w:val="18"/>
          <w:lang w:val="nl-NL"/>
        </w:rPr>
      </w:pPr>
      <w:r w:rsidRPr="0021450B">
        <w:rPr>
          <w:rFonts w:ascii="Verdana" w:hAnsi="Verdana" w:cs="Arial"/>
          <w:sz w:val="18"/>
          <w:szCs w:val="18"/>
          <w:lang w:val="nl-NL"/>
        </w:rPr>
        <w:t xml:space="preserve">Het eerste lid voorziet in een heffingsrecht over deze inkomsten voor de </w:t>
      </w:r>
      <w:r w:rsidR="003103E7">
        <w:rPr>
          <w:rFonts w:ascii="Verdana" w:hAnsi="Verdana" w:cs="Arial"/>
          <w:sz w:val="18"/>
          <w:szCs w:val="18"/>
          <w:lang w:val="nl-NL"/>
        </w:rPr>
        <w:t>staat</w:t>
      </w:r>
      <w:r w:rsidRPr="0021450B">
        <w:rPr>
          <w:rFonts w:ascii="Verdana" w:hAnsi="Verdana" w:cs="Arial"/>
          <w:sz w:val="18"/>
          <w:szCs w:val="18"/>
          <w:lang w:val="nl-NL"/>
        </w:rPr>
        <w:t xml:space="preserve"> waar de niet-zelfstandige werkzaamheden worden verricht.</w:t>
      </w:r>
    </w:p>
    <w:p w:rsidRPr="0021450B" w:rsidR="004560C1" w:rsidP="00CD077B" w:rsidRDefault="004560C1" w14:paraId="15495DCC" w14:textId="77777777">
      <w:pPr>
        <w:rPr>
          <w:rFonts w:ascii="Verdana" w:hAnsi="Verdana" w:cs="Arial"/>
          <w:sz w:val="18"/>
          <w:szCs w:val="18"/>
          <w:lang w:val="nl-NL"/>
        </w:rPr>
      </w:pPr>
      <w:r w:rsidRPr="0021450B">
        <w:rPr>
          <w:rFonts w:ascii="Verdana" w:hAnsi="Verdana" w:cs="Arial"/>
          <w:sz w:val="18"/>
          <w:szCs w:val="18"/>
          <w:lang w:val="nl-NL"/>
        </w:rPr>
        <w:t xml:space="preserve">Het tweede lid voorziet daarentegen in een exclusief heffingsrecht voor de woonstaat van de werknemer als wordt voldaan aan drie (cumulatieve) voorwaarden: </w:t>
      </w:r>
    </w:p>
    <w:p w:rsidRPr="00A4089F" w:rsidR="004560C1" w:rsidP="004827B9" w:rsidRDefault="004560C1" w14:paraId="3AA00A2A" w14:textId="77777777">
      <w:pPr>
        <w:pStyle w:val="Lijstalinea"/>
        <w:numPr>
          <w:ilvl w:val="0"/>
          <w:numId w:val="30"/>
        </w:numPr>
        <w:spacing w:after="0" w:line="360" w:lineRule="auto"/>
        <w:rPr>
          <w:rFonts w:ascii="Verdana" w:hAnsi="Verdana" w:cs="Arial"/>
          <w:sz w:val="18"/>
          <w:szCs w:val="18"/>
        </w:rPr>
      </w:pPr>
      <w:r w:rsidRPr="00BA2B89">
        <w:rPr>
          <w:rFonts w:ascii="Verdana" w:hAnsi="Verdana" w:cs="Arial"/>
          <w:sz w:val="18"/>
          <w:szCs w:val="18"/>
        </w:rPr>
        <w:t xml:space="preserve">het verblijf van de werknemer in de werkstaat is in totaal niet langer </w:t>
      </w:r>
      <w:r w:rsidRPr="00A4089F">
        <w:rPr>
          <w:rFonts w:ascii="Verdana" w:hAnsi="Verdana" w:cs="Arial"/>
          <w:sz w:val="18"/>
          <w:szCs w:val="18"/>
        </w:rPr>
        <w:t xml:space="preserve">dan 183 dagen in een </w:t>
      </w:r>
      <w:r w:rsidR="00DE377C">
        <w:rPr>
          <w:rFonts w:ascii="Verdana" w:hAnsi="Verdana" w:cs="Arial"/>
          <w:sz w:val="18"/>
          <w:szCs w:val="18"/>
        </w:rPr>
        <w:t>twaalf</w:t>
      </w:r>
      <w:r w:rsidRPr="00A4089F">
        <w:rPr>
          <w:rFonts w:ascii="Verdana" w:hAnsi="Verdana" w:cs="Arial"/>
          <w:sz w:val="18"/>
          <w:szCs w:val="18"/>
        </w:rPr>
        <w:t xml:space="preserve">maandsperiode die begint of eindigt in het betrokken belastingjaar; </w:t>
      </w:r>
    </w:p>
    <w:p w:rsidRPr="006C1373" w:rsidR="004560C1" w:rsidP="00CD077B" w:rsidRDefault="004560C1" w14:paraId="28B2C9CC" w14:textId="77777777">
      <w:pPr>
        <w:pStyle w:val="Lijstalinea"/>
        <w:numPr>
          <w:ilvl w:val="0"/>
          <w:numId w:val="30"/>
        </w:numPr>
        <w:spacing w:after="0" w:line="360" w:lineRule="auto"/>
        <w:rPr>
          <w:rFonts w:ascii="Verdana" w:hAnsi="Verdana" w:cs="Arial"/>
          <w:sz w:val="18"/>
          <w:szCs w:val="18"/>
        </w:rPr>
      </w:pPr>
      <w:r w:rsidRPr="006C1373">
        <w:rPr>
          <w:rFonts w:ascii="Verdana" w:hAnsi="Verdana" w:cs="Arial"/>
          <w:sz w:val="18"/>
          <w:szCs w:val="18"/>
        </w:rPr>
        <w:t xml:space="preserve">de beloning wordt betaald door of namens een werkgever die geen inwoner is van de werkstaat; en </w:t>
      </w:r>
    </w:p>
    <w:p w:rsidRPr="003F7CD6" w:rsidR="004560C1" w:rsidP="00CD077B" w:rsidRDefault="004560C1" w14:paraId="6DF45718" w14:textId="77777777">
      <w:pPr>
        <w:pStyle w:val="Lijstalinea"/>
        <w:numPr>
          <w:ilvl w:val="0"/>
          <w:numId w:val="30"/>
        </w:numPr>
        <w:spacing w:after="0" w:line="360" w:lineRule="auto"/>
        <w:rPr>
          <w:rFonts w:ascii="Verdana" w:hAnsi="Verdana" w:cs="Arial"/>
          <w:sz w:val="18"/>
          <w:szCs w:val="18"/>
        </w:rPr>
      </w:pPr>
      <w:r w:rsidRPr="00DD3563">
        <w:rPr>
          <w:rFonts w:ascii="Verdana" w:hAnsi="Verdana" w:cs="Arial"/>
          <w:sz w:val="18"/>
          <w:szCs w:val="18"/>
        </w:rPr>
        <w:t xml:space="preserve">de beloning komt niet ten laste van een vaste inrichting </w:t>
      </w:r>
      <w:r w:rsidRPr="00DD3563" w:rsidR="00E245B8">
        <w:rPr>
          <w:rFonts w:ascii="Verdana" w:hAnsi="Verdana" w:cs="Arial"/>
          <w:sz w:val="18"/>
          <w:szCs w:val="18"/>
        </w:rPr>
        <w:t xml:space="preserve">of vast middelpunt </w:t>
      </w:r>
      <w:r w:rsidRPr="003F7CD6">
        <w:rPr>
          <w:rFonts w:ascii="Verdana" w:hAnsi="Verdana" w:cs="Arial"/>
          <w:sz w:val="18"/>
          <w:szCs w:val="18"/>
        </w:rPr>
        <w:t>van de werkgever in de werkstaat.</w:t>
      </w:r>
    </w:p>
    <w:p w:rsidRPr="00BD4E1D" w:rsidR="004560C1" w:rsidP="00CD077B" w:rsidRDefault="004560C1" w14:paraId="51BE3891" w14:textId="77777777">
      <w:pPr>
        <w:ind w:firstLine="708"/>
        <w:rPr>
          <w:rFonts w:ascii="Verdana" w:hAnsi="Verdana" w:cs="Arial"/>
          <w:sz w:val="18"/>
          <w:szCs w:val="18"/>
          <w:lang w:val="nl-NL"/>
        </w:rPr>
      </w:pPr>
      <w:r w:rsidRPr="00606D22">
        <w:rPr>
          <w:rFonts w:ascii="Verdana" w:hAnsi="Verdana" w:cs="Arial"/>
          <w:sz w:val="18"/>
          <w:szCs w:val="18"/>
          <w:lang w:val="nl-NL"/>
        </w:rPr>
        <w:t xml:space="preserve">Als aan één of meer van deze drie voorwaarden niet wordt voldaan, mag de werkstaat volgens de regels van het eerste lid belasting heffen over de inkomsten van de werknemer. Het doel van deze bepaling is om de fiscale positie van werknemers die voor een beperkte periode werkzaam zijn in een ander land dan het woonland niet te veranderen en de werknemer en werkgever extra administratieve lasten te besparen die zouden voortvloeien uit een belastingplicht in </w:t>
      </w:r>
      <w:r w:rsidRPr="00FA4BC6" w:rsidR="008C6EAE">
        <w:rPr>
          <w:rFonts w:ascii="Verdana" w:hAnsi="Verdana" w:cs="Arial"/>
          <w:sz w:val="18"/>
          <w:szCs w:val="18"/>
          <w:lang w:val="nl-NL"/>
        </w:rPr>
        <w:t xml:space="preserve">de </w:t>
      </w:r>
      <w:r w:rsidRPr="00BD4E1D">
        <w:rPr>
          <w:rFonts w:ascii="Verdana" w:hAnsi="Verdana" w:cs="Arial"/>
          <w:sz w:val="18"/>
          <w:szCs w:val="18"/>
          <w:lang w:val="nl-NL"/>
        </w:rPr>
        <w:t>werk</w:t>
      </w:r>
      <w:r w:rsidRPr="00BD4E1D" w:rsidR="008C6EAE">
        <w:rPr>
          <w:rFonts w:ascii="Verdana" w:hAnsi="Verdana" w:cs="Arial"/>
          <w:sz w:val="18"/>
          <w:szCs w:val="18"/>
          <w:lang w:val="nl-NL"/>
        </w:rPr>
        <w:t>staat</w:t>
      </w:r>
      <w:r w:rsidRPr="00BD4E1D">
        <w:rPr>
          <w:rFonts w:ascii="Verdana" w:hAnsi="Verdana" w:cs="Arial"/>
          <w:sz w:val="18"/>
          <w:szCs w:val="18"/>
          <w:lang w:val="nl-NL"/>
        </w:rPr>
        <w:t xml:space="preserve">. </w:t>
      </w:r>
    </w:p>
    <w:p w:rsidRPr="0018301C" w:rsidR="00133F16" w:rsidP="00CD077B" w:rsidRDefault="004560C1" w14:paraId="098CEE77" w14:textId="77777777">
      <w:pPr>
        <w:ind w:firstLine="708"/>
        <w:rPr>
          <w:rFonts w:ascii="Verdana" w:hAnsi="Verdana"/>
          <w:sz w:val="18"/>
          <w:szCs w:val="18"/>
          <w:lang w:val="nl-NL"/>
        </w:rPr>
      </w:pPr>
      <w:r w:rsidRPr="00E01754">
        <w:rPr>
          <w:rFonts w:ascii="Verdana" w:hAnsi="Verdana" w:cs="Arial"/>
          <w:sz w:val="18"/>
          <w:szCs w:val="18"/>
          <w:lang w:val="nl-NL"/>
        </w:rPr>
        <w:t xml:space="preserve">Op grond van het derde lid is </w:t>
      </w:r>
      <w:r w:rsidRPr="00E01754" w:rsidR="007868CE">
        <w:rPr>
          <w:rFonts w:ascii="Verdana" w:hAnsi="Verdana" w:cs="Arial"/>
          <w:sz w:val="18"/>
          <w:szCs w:val="18"/>
          <w:lang w:val="nl-NL"/>
        </w:rPr>
        <w:t>de beloning</w:t>
      </w:r>
      <w:r w:rsidRPr="00E01754">
        <w:rPr>
          <w:rFonts w:ascii="Verdana" w:hAnsi="Verdana" w:cs="Arial"/>
          <w:sz w:val="18"/>
          <w:szCs w:val="18"/>
          <w:lang w:val="nl-NL"/>
        </w:rPr>
        <w:t xml:space="preserve"> van werknemers die hun dienstbetrekking uitoefenen aan boord van een schip</w:t>
      </w:r>
      <w:r w:rsidRPr="00E01754" w:rsidR="0006586D">
        <w:rPr>
          <w:rFonts w:ascii="Verdana" w:hAnsi="Verdana" w:cs="Arial"/>
          <w:sz w:val="18"/>
          <w:szCs w:val="18"/>
          <w:lang w:val="nl-NL"/>
        </w:rPr>
        <w:t xml:space="preserve">, </w:t>
      </w:r>
      <w:r w:rsidRPr="00E01754" w:rsidR="008A4AD4">
        <w:rPr>
          <w:rFonts w:ascii="Verdana" w:hAnsi="Verdana" w:cs="Arial"/>
          <w:sz w:val="18"/>
          <w:szCs w:val="18"/>
          <w:lang w:val="nl-NL"/>
        </w:rPr>
        <w:t>een l</w:t>
      </w:r>
      <w:r w:rsidRPr="00E01754">
        <w:rPr>
          <w:rFonts w:ascii="Verdana" w:hAnsi="Verdana" w:cs="Arial"/>
          <w:sz w:val="18"/>
          <w:szCs w:val="18"/>
          <w:lang w:val="nl-NL"/>
        </w:rPr>
        <w:t xml:space="preserve">uchtvaartuig </w:t>
      </w:r>
      <w:r w:rsidRPr="003103E7" w:rsidR="006B1680">
        <w:rPr>
          <w:rFonts w:ascii="Verdana" w:hAnsi="Verdana" w:cs="Arial"/>
          <w:sz w:val="18"/>
          <w:szCs w:val="18"/>
          <w:lang w:val="nl-NL"/>
        </w:rPr>
        <w:t xml:space="preserve">of een </w:t>
      </w:r>
      <w:r w:rsidRPr="003103E7" w:rsidR="00133F16">
        <w:rPr>
          <w:rFonts w:ascii="Verdana" w:hAnsi="Verdana" w:cs="Arial"/>
          <w:sz w:val="18"/>
          <w:szCs w:val="18"/>
          <w:lang w:val="nl-NL"/>
        </w:rPr>
        <w:t>weg</w:t>
      </w:r>
      <w:r w:rsidRPr="003103E7" w:rsidR="00D74CD4">
        <w:rPr>
          <w:rFonts w:ascii="Verdana" w:hAnsi="Verdana" w:cs="Arial"/>
          <w:sz w:val="18"/>
          <w:szCs w:val="18"/>
          <w:lang w:val="nl-NL"/>
        </w:rPr>
        <w:t>transport</w:t>
      </w:r>
      <w:r w:rsidRPr="003103E7" w:rsidR="00133F16">
        <w:rPr>
          <w:rFonts w:ascii="Verdana" w:hAnsi="Verdana" w:cs="Arial"/>
          <w:sz w:val="18"/>
          <w:szCs w:val="18"/>
          <w:lang w:val="nl-NL"/>
        </w:rPr>
        <w:t xml:space="preserve">voertuig ingezet </w:t>
      </w:r>
      <w:r w:rsidRPr="003103E7" w:rsidR="003078A3">
        <w:rPr>
          <w:rFonts w:ascii="Verdana" w:hAnsi="Verdana" w:cs="Arial"/>
          <w:sz w:val="18"/>
          <w:szCs w:val="18"/>
          <w:lang w:val="nl-NL"/>
        </w:rPr>
        <w:t>in het</w:t>
      </w:r>
      <w:r w:rsidRPr="003103E7" w:rsidR="008C113B">
        <w:rPr>
          <w:rFonts w:ascii="Verdana" w:hAnsi="Verdana" w:cs="Arial"/>
          <w:sz w:val="18"/>
          <w:szCs w:val="18"/>
          <w:lang w:val="nl-NL"/>
        </w:rPr>
        <w:t xml:space="preserve"> </w:t>
      </w:r>
      <w:r w:rsidRPr="003657E3">
        <w:rPr>
          <w:rFonts w:ascii="Verdana" w:hAnsi="Verdana" w:cs="Arial"/>
          <w:sz w:val="18"/>
          <w:szCs w:val="18"/>
          <w:lang w:val="nl-NL"/>
        </w:rPr>
        <w:t>internationa</w:t>
      </w:r>
      <w:r w:rsidRPr="003657E3" w:rsidR="003078A3">
        <w:rPr>
          <w:rFonts w:ascii="Verdana" w:hAnsi="Verdana" w:cs="Arial"/>
          <w:sz w:val="18"/>
          <w:szCs w:val="18"/>
          <w:lang w:val="nl-NL"/>
        </w:rPr>
        <w:t>le</w:t>
      </w:r>
      <w:r w:rsidRPr="00CB4452">
        <w:rPr>
          <w:rFonts w:ascii="Verdana" w:hAnsi="Verdana" w:cs="Arial"/>
          <w:sz w:val="18"/>
          <w:szCs w:val="18"/>
          <w:lang w:val="nl-NL"/>
        </w:rPr>
        <w:t xml:space="preserve"> verkeer</w:t>
      </w:r>
      <w:r w:rsidRPr="00CB4452" w:rsidR="00252207">
        <w:rPr>
          <w:rFonts w:ascii="Verdana" w:hAnsi="Verdana" w:cs="Arial"/>
          <w:sz w:val="18"/>
          <w:szCs w:val="18"/>
          <w:lang w:val="nl-NL"/>
        </w:rPr>
        <w:t xml:space="preserve">, of aan boord van een binnenvaartschip, </w:t>
      </w:r>
      <w:r w:rsidRPr="00CB4452">
        <w:rPr>
          <w:rFonts w:ascii="Verdana" w:hAnsi="Verdana" w:cs="Arial"/>
          <w:sz w:val="18"/>
          <w:szCs w:val="18"/>
          <w:lang w:val="nl-NL"/>
        </w:rPr>
        <w:t xml:space="preserve">uitsluitend belastbaar </w:t>
      </w:r>
      <w:r w:rsidRPr="00CB4452" w:rsidR="002E779B">
        <w:rPr>
          <w:rFonts w:ascii="Verdana" w:hAnsi="Verdana"/>
          <w:sz w:val="18"/>
          <w:szCs w:val="18"/>
          <w:lang w:val="nl-NL"/>
        </w:rPr>
        <w:t xml:space="preserve">in </w:t>
      </w:r>
      <w:r w:rsidRPr="00CB4452" w:rsidR="008C6EAE">
        <w:rPr>
          <w:rFonts w:ascii="Verdana" w:hAnsi="Verdana"/>
          <w:sz w:val="18"/>
          <w:szCs w:val="18"/>
          <w:lang w:val="nl-NL"/>
        </w:rPr>
        <w:t xml:space="preserve">de </w:t>
      </w:r>
      <w:r w:rsidRPr="00CB4452" w:rsidR="008B1AFC">
        <w:rPr>
          <w:rFonts w:ascii="Verdana" w:hAnsi="Verdana"/>
          <w:sz w:val="18"/>
          <w:szCs w:val="18"/>
          <w:lang w:val="nl-NL"/>
        </w:rPr>
        <w:t>woon</w:t>
      </w:r>
      <w:r w:rsidRPr="00CB4452" w:rsidR="008C6EAE">
        <w:rPr>
          <w:rFonts w:ascii="Verdana" w:hAnsi="Verdana"/>
          <w:sz w:val="18"/>
          <w:szCs w:val="18"/>
          <w:lang w:val="nl-NL"/>
        </w:rPr>
        <w:t>staat</w:t>
      </w:r>
      <w:r w:rsidRPr="00CB4452" w:rsidR="008B1AFC">
        <w:rPr>
          <w:rFonts w:ascii="Verdana" w:hAnsi="Verdana"/>
          <w:sz w:val="18"/>
          <w:szCs w:val="18"/>
          <w:lang w:val="nl-NL"/>
        </w:rPr>
        <w:t xml:space="preserve"> van de werknemer. </w:t>
      </w:r>
      <w:r w:rsidR="00CA5142">
        <w:rPr>
          <w:rFonts w:ascii="Verdana" w:hAnsi="Verdana"/>
          <w:sz w:val="18"/>
          <w:szCs w:val="18"/>
          <w:lang w:val="nl-NL"/>
        </w:rPr>
        <w:t>Dit</w:t>
      </w:r>
      <w:r w:rsidRPr="00CB4452" w:rsidR="008B1AFC">
        <w:rPr>
          <w:rFonts w:ascii="Verdana" w:hAnsi="Verdana"/>
          <w:sz w:val="18"/>
          <w:szCs w:val="18"/>
          <w:lang w:val="nl-NL"/>
        </w:rPr>
        <w:t xml:space="preserve"> </w:t>
      </w:r>
      <w:r w:rsidRPr="00CB4452" w:rsidR="00AF52EA">
        <w:rPr>
          <w:rFonts w:ascii="Verdana" w:hAnsi="Verdana"/>
          <w:sz w:val="18"/>
          <w:szCs w:val="18"/>
          <w:lang w:val="nl-NL"/>
        </w:rPr>
        <w:t>sluit aan</w:t>
      </w:r>
      <w:r w:rsidRPr="006515E9" w:rsidR="00252207">
        <w:rPr>
          <w:rFonts w:ascii="Verdana" w:hAnsi="Verdana"/>
          <w:sz w:val="18"/>
          <w:szCs w:val="18"/>
          <w:lang w:val="nl-NL"/>
        </w:rPr>
        <w:t xml:space="preserve"> bij de in het Verdrag</w:t>
      </w:r>
      <w:r w:rsidRPr="006515E9" w:rsidR="00556990">
        <w:rPr>
          <w:rFonts w:ascii="Verdana" w:hAnsi="Verdana"/>
          <w:sz w:val="18"/>
          <w:szCs w:val="18"/>
          <w:lang w:val="nl-NL"/>
        </w:rPr>
        <w:t xml:space="preserve"> van</w:t>
      </w:r>
      <w:r w:rsidRPr="006515E9" w:rsidR="00252207">
        <w:rPr>
          <w:rFonts w:ascii="Verdana" w:hAnsi="Verdana"/>
          <w:sz w:val="18"/>
          <w:szCs w:val="18"/>
          <w:lang w:val="nl-NL"/>
        </w:rPr>
        <w:t xml:space="preserve"> 1990</w:t>
      </w:r>
      <w:r w:rsidRPr="006515E9" w:rsidR="00C81F48">
        <w:rPr>
          <w:rFonts w:ascii="Verdana" w:hAnsi="Verdana"/>
          <w:sz w:val="18"/>
          <w:szCs w:val="18"/>
          <w:lang w:val="nl-NL"/>
        </w:rPr>
        <w:t xml:space="preserve"> opgenomen heffingsrechtverdeling</w:t>
      </w:r>
      <w:r w:rsidR="00CA5142">
        <w:rPr>
          <w:rFonts w:ascii="Verdana" w:hAnsi="Verdana"/>
          <w:sz w:val="18"/>
          <w:szCs w:val="18"/>
          <w:lang w:val="nl-NL"/>
        </w:rPr>
        <w:t>.</w:t>
      </w:r>
      <w:r w:rsidR="009665FD">
        <w:rPr>
          <w:rFonts w:ascii="Verdana" w:hAnsi="Verdana"/>
          <w:sz w:val="18"/>
          <w:szCs w:val="18"/>
          <w:lang w:val="nl-NL"/>
        </w:rPr>
        <w:t xml:space="preserve"> Deze bepaling wijkt af van het OESO-modelverdrag.</w:t>
      </w:r>
    </w:p>
    <w:p w:rsidRPr="0018301C" w:rsidR="00133F16" w:rsidP="00CD077B" w:rsidRDefault="00133F16" w14:paraId="7EA51242" w14:textId="77777777">
      <w:pPr>
        <w:ind w:firstLine="708"/>
        <w:rPr>
          <w:rFonts w:ascii="Verdana" w:hAnsi="Verdana"/>
          <w:sz w:val="18"/>
          <w:szCs w:val="18"/>
          <w:lang w:val="nl-NL"/>
        </w:rPr>
      </w:pPr>
    </w:p>
    <w:p w:rsidRPr="00916448" w:rsidR="002D160C" w:rsidP="00CD077B" w:rsidRDefault="002E779B" w14:paraId="1DBA75AD" w14:textId="77777777">
      <w:pPr>
        <w:pStyle w:val="Kop2"/>
        <w:numPr>
          <w:ilvl w:val="0"/>
          <w:numId w:val="0"/>
        </w:numPr>
        <w:spacing w:before="0" w:after="0"/>
        <w:rPr>
          <w:rFonts w:ascii="Verdana" w:hAnsi="Verdana"/>
          <w:b w:val="0"/>
          <w:sz w:val="18"/>
          <w:szCs w:val="18"/>
          <w:lang w:val="nl-NL"/>
        </w:rPr>
      </w:pPr>
      <w:r w:rsidRPr="0018301C">
        <w:rPr>
          <w:rFonts w:ascii="Verdana" w:hAnsi="Verdana"/>
          <w:b w:val="0"/>
          <w:i/>
          <w:sz w:val="18"/>
          <w:szCs w:val="18"/>
          <w:lang w:val="nl-NL"/>
        </w:rPr>
        <w:t>II.1</w:t>
      </w:r>
      <w:r w:rsidRPr="00490FAB" w:rsidR="009854E5">
        <w:rPr>
          <w:rFonts w:ascii="Verdana" w:hAnsi="Verdana"/>
          <w:b w:val="0"/>
          <w:i/>
          <w:sz w:val="18"/>
          <w:szCs w:val="18"/>
          <w:lang w:val="nl-NL"/>
        </w:rPr>
        <w:t>5</w:t>
      </w:r>
      <w:r w:rsidRPr="00490FAB">
        <w:rPr>
          <w:rFonts w:ascii="Verdana" w:hAnsi="Verdana"/>
          <w:b w:val="0"/>
          <w:i/>
          <w:sz w:val="18"/>
          <w:szCs w:val="18"/>
          <w:lang w:val="nl-NL"/>
        </w:rPr>
        <w:t>. Directeursbeloningen (artikel 1</w:t>
      </w:r>
      <w:r w:rsidRPr="00490FAB" w:rsidR="009854E5">
        <w:rPr>
          <w:rFonts w:ascii="Verdana" w:hAnsi="Verdana"/>
          <w:b w:val="0"/>
          <w:i/>
          <w:sz w:val="18"/>
          <w:szCs w:val="18"/>
          <w:lang w:val="nl-NL"/>
        </w:rPr>
        <w:t>5</w:t>
      </w:r>
      <w:r w:rsidRPr="00EC1AE5">
        <w:rPr>
          <w:rFonts w:ascii="Verdana" w:hAnsi="Verdana"/>
          <w:b w:val="0"/>
          <w:i/>
          <w:sz w:val="18"/>
          <w:szCs w:val="18"/>
          <w:lang w:val="nl-NL"/>
        </w:rPr>
        <w:t xml:space="preserve"> </w:t>
      </w:r>
      <w:r w:rsidRPr="00916448" w:rsidR="00916448">
        <w:rPr>
          <w:rFonts w:ascii="Verdana" w:hAnsi="Verdana"/>
          <w:b w:val="0"/>
          <w:i/>
          <w:sz w:val="18"/>
          <w:szCs w:val="18"/>
          <w:lang w:val="nl-NL"/>
        </w:rPr>
        <w:t xml:space="preserve">van het Verdrag </w:t>
      </w:r>
      <w:r w:rsidRPr="00916448">
        <w:rPr>
          <w:rFonts w:ascii="Verdana" w:hAnsi="Verdana"/>
          <w:b w:val="0"/>
          <w:i/>
          <w:sz w:val="18"/>
          <w:szCs w:val="18"/>
          <w:lang w:val="nl-NL"/>
        </w:rPr>
        <w:t>en artikel XI</w:t>
      </w:r>
      <w:r w:rsidRPr="00916448" w:rsidR="00916448">
        <w:rPr>
          <w:rFonts w:ascii="Verdana" w:hAnsi="Verdana"/>
          <w:b w:val="0"/>
          <w:i/>
          <w:sz w:val="18"/>
          <w:szCs w:val="18"/>
          <w:lang w:val="nl-NL"/>
        </w:rPr>
        <w:t xml:space="preserve"> </w:t>
      </w:r>
      <w:r w:rsidR="00916448">
        <w:rPr>
          <w:rFonts w:ascii="Verdana" w:hAnsi="Verdana"/>
          <w:b w:val="0"/>
          <w:i/>
          <w:sz w:val="18"/>
          <w:szCs w:val="18"/>
          <w:lang w:val="nl-NL"/>
        </w:rPr>
        <w:t xml:space="preserve">van het </w:t>
      </w:r>
      <w:r w:rsidRPr="00916448" w:rsidR="00916448">
        <w:rPr>
          <w:rFonts w:ascii="Verdana" w:hAnsi="Verdana"/>
          <w:b w:val="0"/>
          <w:i/>
          <w:sz w:val="18"/>
          <w:szCs w:val="18"/>
          <w:lang w:val="nl-NL"/>
        </w:rPr>
        <w:t>Protocol</w:t>
      </w:r>
      <w:r w:rsidRPr="00916448">
        <w:rPr>
          <w:rFonts w:ascii="Verdana" w:hAnsi="Verdana"/>
          <w:b w:val="0"/>
          <w:i/>
          <w:sz w:val="18"/>
          <w:szCs w:val="18"/>
          <w:lang w:val="nl-NL"/>
        </w:rPr>
        <w:t>)</w:t>
      </w:r>
      <w:r w:rsidRPr="00916448" w:rsidR="004560C1">
        <w:rPr>
          <w:rFonts w:ascii="Verdana" w:hAnsi="Verdana"/>
          <w:sz w:val="18"/>
          <w:szCs w:val="18"/>
          <w:lang w:val="nl-NL"/>
        </w:rPr>
        <w:br/>
      </w:r>
    </w:p>
    <w:p w:rsidRPr="00916448" w:rsidR="00B6767C" w:rsidP="00CD077B" w:rsidRDefault="002E779B" w14:paraId="15411F87" w14:textId="77777777">
      <w:pPr>
        <w:ind w:firstLine="720"/>
        <w:rPr>
          <w:rFonts w:ascii="Verdana" w:hAnsi="Verdana" w:cs="Arial"/>
          <w:sz w:val="18"/>
          <w:szCs w:val="18"/>
          <w:lang w:val="nl-NL"/>
        </w:rPr>
      </w:pPr>
      <w:r w:rsidRPr="00916448">
        <w:rPr>
          <w:rFonts w:ascii="Verdana" w:hAnsi="Verdana" w:cs="Arial"/>
          <w:sz w:val="18"/>
          <w:szCs w:val="18"/>
          <w:lang w:val="nl-NL"/>
        </w:rPr>
        <w:t>Artikel 1</w:t>
      </w:r>
      <w:r w:rsidRPr="00916448" w:rsidR="00133F16">
        <w:rPr>
          <w:rFonts w:ascii="Verdana" w:hAnsi="Verdana" w:cs="Arial"/>
          <w:sz w:val="18"/>
          <w:szCs w:val="18"/>
          <w:lang w:val="nl-NL"/>
        </w:rPr>
        <w:t>5</w:t>
      </w:r>
      <w:r w:rsidRPr="00916448">
        <w:rPr>
          <w:rFonts w:ascii="Verdana" w:hAnsi="Verdana" w:cs="Arial"/>
          <w:sz w:val="18"/>
          <w:szCs w:val="18"/>
          <w:lang w:val="nl-NL"/>
        </w:rPr>
        <w:t xml:space="preserve"> </w:t>
      </w:r>
      <w:r w:rsidRPr="00916448" w:rsidR="003C2FD9">
        <w:rPr>
          <w:rFonts w:ascii="Verdana" w:hAnsi="Verdana" w:cs="Arial"/>
          <w:sz w:val="18"/>
          <w:szCs w:val="18"/>
          <w:lang w:val="nl-NL"/>
        </w:rPr>
        <w:t>ziet op</w:t>
      </w:r>
      <w:r w:rsidRPr="00916448">
        <w:rPr>
          <w:rFonts w:ascii="Verdana" w:hAnsi="Verdana" w:cs="Arial"/>
          <w:sz w:val="18"/>
          <w:szCs w:val="18"/>
          <w:lang w:val="nl-NL"/>
        </w:rPr>
        <w:t xml:space="preserve"> directeursbeloningen</w:t>
      </w:r>
      <w:r w:rsidRPr="00916448" w:rsidR="003C2FD9">
        <w:rPr>
          <w:rFonts w:ascii="Verdana" w:hAnsi="Verdana" w:cs="Arial"/>
          <w:sz w:val="18"/>
          <w:szCs w:val="18"/>
          <w:lang w:val="nl-NL"/>
        </w:rPr>
        <w:t xml:space="preserve"> en</w:t>
      </w:r>
      <w:r w:rsidRPr="00916448">
        <w:rPr>
          <w:rFonts w:ascii="Verdana" w:hAnsi="Verdana" w:cs="Arial"/>
          <w:sz w:val="18"/>
          <w:szCs w:val="18"/>
          <w:lang w:val="nl-NL"/>
        </w:rPr>
        <w:t xml:space="preserve"> is </w:t>
      </w:r>
      <w:r w:rsidRPr="00916448" w:rsidR="007868CE">
        <w:rPr>
          <w:rFonts w:ascii="Verdana" w:hAnsi="Verdana" w:cs="Arial"/>
          <w:sz w:val="18"/>
          <w:szCs w:val="18"/>
          <w:lang w:val="nl-NL"/>
        </w:rPr>
        <w:t>gebaseerd op artikel 16 van het OESO-modelverdrag</w:t>
      </w:r>
      <w:r w:rsidRPr="00916448" w:rsidR="003C2FD9">
        <w:rPr>
          <w:rFonts w:ascii="Verdana" w:hAnsi="Verdana" w:cs="Arial"/>
          <w:sz w:val="18"/>
          <w:szCs w:val="18"/>
          <w:lang w:val="nl-NL"/>
        </w:rPr>
        <w:t>.</w:t>
      </w:r>
    </w:p>
    <w:p w:rsidRPr="0021450B" w:rsidR="002E779B" w:rsidP="00CD077B" w:rsidRDefault="003C2FD9" w14:paraId="7E6341ED" w14:textId="77777777">
      <w:pPr>
        <w:ind w:firstLine="720"/>
        <w:rPr>
          <w:rFonts w:ascii="Verdana" w:hAnsi="Verdana" w:cs="Arial"/>
          <w:sz w:val="18"/>
          <w:szCs w:val="18"/>
          <w:lang w:val="nl-NL"/>
        </w:rPr>
      </w:pPr>
      <w:r w:rsidRPr="00780A5E">
        <w:rPr>
          <w:rFonts w:ascii="Verdana" w:hAnsi="Verdana"/>
          <w:sz w:val="18"/>
          <w:szCs w:val="18"/>
          <w:lang w:val="nl-NL"/>
        </w:rPr>
        <w:t>B</w:t>
      </w:r>
      <w:r w:rsidRPr="00780A5E" w:rsidR="00F7278A">
        <w:rPr>
          <w:rFonts w:ascii="Verdana" w:hAnsi="Verdana"/>
          <w:sz w:val="18"/>
          <w:szCs w:val="18"/>
          <w:lang w:val="nl-NL"/>
        </w:rPr>
        <w:t xml:space="preserve">eloningen ontvangen door een inwoner van een </w:t>
      </w:r>
      <w:r w:rsidR="0021450B">
        <w:rPr>
          <w:rFonts w:ascii="Verdana" w:hAnsi="Verdana"/>
          <w:sz w:val="18"/>
          <w:szCs w:val="18"/>
          <w:lang w:val="nl-NL"/>
        </w:rPr>
        <w:t>verdragsluitende staat</w:t>
      </w:r>
      <w:r w:rsidRPr="00780A5E" w:rsidR="00F7278A">
        <w:rPr>
          <w:rFonts w:ascii="Verdana" w:hAnsi="Verdana"/>
          <w:sz w:val="18"/>
          <w:szCs w:val="18"/>
          <w:lang w:val="nl-NL"/>
        </w:rPr>
        <w:t xml:space="preserve"> in zijn hoedanigheid van bestuurder van een lichaam</w:t>
      </w:r>
      <w:r w:rsidRPr="00780A5E">
        <w:rPr>
          <w:rFonts w:ascii="Verdana" w:hAnsi="Verdana"/>
          <w:sz w:val="18"/>
          <w:szCs w:val="18"/>
          <w:lang w:val="nl-NL"/>
        </w:rPr>
        <w:t xml:space="preserve"> mogen</w:t>
      </w:r>
      <w:r w:rsidRPr="00780A5E" w:rsidR="00F7278A">
        <w:rPr>
          <w:rFonts w:ascii="Verdana" w:hAnsi="Verdana"/>
          <w:sz w:val="18"/>
          <w:szCs w:val="18"/>
          <w:lang w:val="nl-NL"/>
        </w:rPr>
        <w:t xml:space="preserve"> worden belast in </w:t>
      </w:r>
      <w:r w:rsidRPr="000819E4" w:rsidR="00B6767C">
        <w:rPr>
          <w:rFonts w:ascii="Verdana" w:hAnsi="Verdana"/>
          <w:sz w:val="18"/>
          <w:szCs w:val="18"/>
          <w:lang w:val="nl-NL"/>
        </w:rPr>
        <w:t xml:space="preserve">de </w:t>
      </w:r>
      <w:r w:rsidR="003103E7">
        <w:rPr>
          <w:rFonts w:ascii="Verdana" w:hAnsi="Verdana"/>
          <w:sz w:val="18"/>
          <w:szCs w:val="18"/>
          <w:lang w:val="nl-NL"/>
        </w:rPr>
        <w:t>staat</w:t>
      </w:r>
      <w:r w:rsidRPr="000819E4" w:rsidR="008C113B">
        <w:rPr>
          <w:rFonts w:ascii="Verdana" w:hAnsi="Verdana"/>
          <w:sz w:val="18"/>
          <w:szCs w:val="18"/>
          <w:lang w:val="nl-NL"/>
        </w:rPr>
        <w:t xml:space="preserve"> </w:t>
      </w:r>
      <w:r w:rsidRPr="000819E4" w:rsidR="00F7278A">
        <w:rPr>
          <w:rFonts w:ascii="Verdana" w:hAnsi="Verdana"/>
          <w:sz w:val="18"/>
          <w:szCs w:val="18"/>
          <w:lang w:val="nl-NL"/>
        </w:rPr>
        <w:t>waarvan het lichaam inwoner is.</w:t>
      </w:r>
      <w:r w:rsidRPr="0021450B" w:rsidR="002C178B">
        <w:rPr>
          <w:rFonts w:ascii="Verdana" w:hAnsi="Verdana"/>
          <w:sz w:val="18"/>
          <w:szCs w:val="18"/>
          <w:lang w:val="nl-NL"/>
        </w:rPr>
        <w:t xml:space="preserve"> In afwijking van het OESO-modelverdrag is de term ‘</w:t>
      </w:r>
      <w:r w:rsidRPr="0021450B" w:rsidR="00F7278A">
        <w:rPr>
          <w:rFonts w:ascii="Verdana" w:hAnsi="Verdana"/>
          <w:sz w:val="18"/>
          <w:szCs w:val="18"/>
          <w:lang w:val="nl-NL"/>
        </w:rPr>
        <w:t xml:space="preserve">andere </w:t>
      </w:r>
      <w:r w:rsidRPr="0021450B" w:rsidR="002C178B">
        <w:rPr>
          <w:rFonts w:ascii="Verdana" w:hAnsi="Verdana"/>
          <w:sz w:val="18"/>
          <w:szCs w:val="18"/>
          <w:lang w:val="nl-NL"/>
        </w:rPr>
        <w:t>beloningen’ gehanteerd in plaats van ‘vergelijkbare betalingen’.</w:t>
      </w:r>
      <w:r w:rsidRPr="0021450B" w:rsidR="002E779B">
        <w:rPr>
          <w:rFonts w:ascii="Verdana" w:hAnsi="Verdana" w:cs="Arial"/>
          <w:sz w:val="18"/>
          <w:szCs w:val="18"/>
          <w:lang w:val="nl-NL"/>
        </w:rPr>
        <w:t xml:space="preserve"> Hiermee wordt buiten twijfel gesteld dat ook beloningsvormen zoals vergoedingen in natura en aandelenopties onder deze bepaling vallen. </w:t>
      </w:r>
    </w:p>
    <w:p w:rsidRPr="00E01754" w:rsidR="00A21A57" w:rsidP="00CD077B" w:rsidRDefault="002E779B" w14:paraId="40E510AB" w14:textId="77777777">
      <w:pPr>
        <w:rPr>
          <w:rFonts w:ascii="Verdana" w:hAnsi="Verdana" w:cs="Arial"/>
          <w:sz w:val="18"/>
          <w:szCs w:val="18"/>
          <w:lang w:val="nl-NL"/>
        </w:rPr>
      </w:pPr>
      <w:r w:rsidRPr="0021450B">
        <w:rPr>
          <w:rFonts w:ascii="Verdana" w:hAnsi="Verdana" w:cs="Arial"/>
          <w:sz w:val="18"/>
          <w:szCs w:val="18"/>
          <w:lang w:val="nl-NL"/>
        </w:rPr>
        <w:t xml:space="preserve">Op grond van </w:t>
      </w:r>
      <w:r w:rsidRPr="00BA2B89" w:rsidR="00A21A57">
        <w:rPr>
          <w:rFonts w:ascii="Verdana" w:hAnsi="Verdana" w:cs="Arial"/>
          <w:sz w:val="18"/>
          <w:szCs w:val="18"/>
          <w:lang w:val="nl-NL"/>
        </w:rPr>
        <w:t>artikel XI van het Protocol</w:t>
      </w:r>
      <w:r w:rsidRPr="00A4089F">
        <w:rPr>
          <w:rFonts w:ascii="Verdana" w:hAnsi="Verdana" w:cs="Arial"/>
          <w:sz w:val="18"/>
          <w:szCs w:val="18"/>
          <w:lang w:val="nl-NL"/>
        </w:rPr>
        <w:t xml:space="preserve"> vallen onde</w:t>
      </w:r>
      <w:r w:rsidRPr="006C1373">
        <w:rPr>
          <w:rFonts w:ascii="Verdana" w:hAnsi="Verdana" w:cs="Arial"/>
          <w:sz w:val="18"/>
          <w:szCs w:val="18"/>
          <w:lang w:val="nl-NL"/>
        </w:rPr>
        <w:t xml:space="preserve">r de uitdrukking ‘lid van de raad van bestuur’ </w:t>
      </w:r>
      <w:r w:rsidRPr="00DD3563" w:rsidR="001C2FE8">
        <w:rPr>
          <w:rFonts w:ascii="Verdana" w:hAnsi="Verdana" w:cs="Arial"/>
          <w:sz w:val="18"/>
          <w:szCs w:val="18"/>
          <w:lang w:val="nl-NL"/>
        </w:rPr>
        <w:t>voor Nederland naast de</w:t>
      </w:r>
      <w:r w:rsidRPr="00DD3563">
        <w:rPr>
          <w:rFonts w:ascii="Verdana" w:hAnsi="Verdana" w:cs="Arial"/>
          <w:sz w:val="18"/>
          <w:szCs w:val="18"/>
          <w:lang w:val="nl-NL"/>
        </w:rPr>
        <w:t xml:space="preserve"> </w:t>
      </w:r>
      <w:r w:rsidRPr="00DD3563" w:rsidR="00A21A57">
        <w:rPr>
          <w:rFonts w:ascii="Verdana" w:hAnsi="Verdana" w:cs="Arial"/>
          <w:sz w:val="18"/>
          <w:szCs w:val="18"/>
          <w:lang w:val="nl-NL"/>
        </w:rPr>
        <w:t xml:space="preserve">bestuurders </w:t>
      </w:r>
      <w:r w:rsidRPr="003F7CD6" w:rsidR="001C2FE8">
        <w:rPr>
          <w:rFonts w:ascii="Verdana" w:hAnsi="Verdana" w:cs="Arial"/>
          <w:sz w:val="18"/>
          <w:szCs w:val="18"/>
          <w:lang w:val="nl-NL"/>
        </w:rPr>
        <w:t xml:space="preserve">ook </w:t>
      </w:r>
      <w:r w:rsidRPr="00606D22" w:rsidR="00A21A57">
        <w:rPr>
          <w:rFonts w:ascii="Verdana" w:hAnsi="Verdana" w:cs="Arial"/>
          <w:sz w:val="18"/>
          <w:szCs w:val="18"/>
          <w:lang w:val="nl-NL"/>
        </w:rPr>
        <w:t>de</w:t>
      </w:r>
      <w:r w:rsidRPr="00606D22">
        <w:rPr>
          <w:rFonts w:ascii="Verdana" w:hAnsi="Verdana" w:cs="Arial"/>
          <w:sz w:val="18"/>
          <w:szCs w:val="18"/>
          <w:lang w:val="nl-NL"/>
        </w:rPr>
        <w:t xml:space="preserve"> leden </w:t>
      </w:r>
      <w:r w:rsidRPr="00FA4BC6" w:rsidR="00A21A57">
        <w:rPr>
          <w:rFonts w:ascii="Verdana" w:hAnsi="Verdana" w:cs="Arial"/>
          <w:sz w:val="18"/>
          <w:szCs w:val="18"/>
          <w:lang w:val="nl-NL"/>
        </w:rPr>
        <w:t>van de raad van commissarissen</w:t>
      </w:r>
      <w:r w:rsidRPr="00BD4E1D" w:rsidR="00F7278A">
        <w:rPr>
          <w:rFonts w:ascii="Verdana" w:hAnsi="Verdana" w:cs="Arial"/>
          <w:sz w:val="18"/>
          <w:szCs w:val="18"/>
          <w:lang w:val="nl-NL"/>
        </w:rPr>
        <w:t xml:space="preserve"> (ofwel degenen die zijn belast met het toezicht op de raad van bestuur).</w:t>
      </w:r>
      <w:r w:rsidRPr="00BD4E1D" w:rsidR="0006586D">
        <w:rPr>
          <w:rFonts w:ascii="Verdana" w:hAnsi="Verdana" w:cs="Arial"/>
          <w:sz w:val="18"/>
          <w:szCs w:val="18"/>
          <w:lang w:val="nl-NL"/>
        </w:rPr>
        <w:t xml:space="preserve"> </w:t>
      </w:r>
      <w:r w:rsidRPr="00BD4E1D" w:rsidR="006E6712">
        <w:rPr>
          <w:rFonts w:ascii="Verdana" w:hAnsi="Verdana" w:cs="Arial"/>
          <w:sz w:val="18"/>
          <w:szCs w:val="18"/>
          <w:lang w:val="nl-NL"/>
        </w:rPr>
        <w:t xml:space="preserve">Aangezien </w:t>
      </w:r>
      <w:r w:rsidRPr="00BD4E1D" w:rsidR="00F7278A">
        <w:rPr>
          <w:rFonts w:ascii="Verdana" w:hAnsi="Verdana" w:cs="Arial"/>
          <w:sz w:val="18"/>
          <w:szCs w:val="18"/>
          <w:lang w:val="nl-NL"/>
        </w:rPr>
        <w:t>Bulgarije</w:t>
      </w:r>
      <w:r w:rsidRPr="00E01754" w:rsidR="00125176">
        <w:rPr>
          <w:rFonts w:ascii="Verdana" w:hAnsi="Verdana" w:cs="Arial"/>
          <w:sz w:val="18"/>
          <w:szCs w:val="18"/>
          <w:lang w:val="nl-NL"/>
        </w:rPr>
        <w:t xml:space="preserve"> </w:t>
      </w:r>
      <w:r w:rsidRPr="00E01754" w:rsidR="006E6712">
        <w:rPr>
          <w:rFonts w:ascii="Verdana" w:hAnsi="Verdana" w:cs="Arial"/>
          <w:sz w:val="18"/>
          <w:szCs w:val="18"/>
          <w:lang w:val="nl-NL"/>
        </w:rPr>
        <w:t xml:space="preserve">een vergelijkbare bestuurs- en toezichtstructuur kent, geldt dit </w:t>
      </w:r>
      <w:r w:rsidRPr="00E01754" w:rsidR="003C2FD9">
        <w:rPr>
          <w:rFonts w:ascii="Verdana" w:hAnsi="Verdana" w:cs="Arial"/>
          <w:sz w:val="18"/>
          <w:szCs w:val="18"/>
          <w:lang w:val="nl-NL"/>
        </w:rPr>
        <w:t xml:space="preserve">ook </w:t>
      </w:r>
      <w:r w:rsidRPr="00E01754" w:rsidR="0006586D">
        <w:rPr>
          <w:rFonts w:ascii="Verdana" w:hAnsi="Verdana" w:cs="Arial"/>
          <w:sz w:val="18"/>
          <w:szCs w:val="18"/>
          <w:lang w:val="nl-NL"/>
        </w:rPr>
        <w:t>voor Bulgarije</w:t>
      </w:r>
      <w:r w:rsidRPr="00E01754" w:rsidR="0029726F">
        <w:rPr>
          <w:rFonts w:ascii="Verdana" w:hAnsi="Verdana" w:cs="Arial"/>
          <w:sz w:val="18"/>
          <w:szCs w:val="18"/>
          <w:lang w:val="nl-NL"/>
        </w:rPr>
        <w:t>.</w:t>
      </w:r>
      <w:r w:rsidRPr="00E01754" w:rsidR="00A21A57">
        <w:rPr>
          <w:rFonts w:ascii="Verdana" w:hAnsi="Verdana" w:cs="Arial"/>
          <w:sz w:val="18"/>
          <w:szCs w:val="18"/>
          <w:lang w:val="nl-NL"/>
        </w:rPr>
        <w:br/>
      </w:r>
    </w:p>
    <w:p w:rsidRPr="00916448" w:rsidR="002E779B" w:rsidP="00CD077B" w:rsidRDefault="00A21A57" w14:paraId="2EBD356E" w14:textId="77777777">
      <w:pPr>
        <w:pStyle w:val="Kop2"/>
        <w:numPr>
          <w:ilvl w:val="0"/>
          <w:numId w:val="0"/>
        </w:numPr>
        <w:spacing w:before="0" w:after="0"/>
        <w:rPr>
          <w:rFonts w:ascii="Verdana" w:hAnsi="Verdana"/>
          <w:sz w:val="18"/>
          <w:szCs w:val="18"/>
          <w:lang w:val="nl-NL"/>
        </w:rPr>
      </w:pPr>
      <w:r w:rsidRPr="00E01754">
        <w:rPr>
          <w:rFonts w:ascii="Verdana" w:hAnsi="Verdana"/>
          <w:b w:val="0"/>
          <w:i/>
          <w:sz w:val="18"/>
          <w:szCs w:val="18"/>
          <w:lang w:val="nl-NL"/>
        </w:rPr>
        <w:lastRenderedPageBreak/>
        <w:t>II.1</w:t>
      </w:r>
      <w:r w:rsidRPr="003103E7" w:rsidR="009854E5">
        <w:rPr>
          <w:rFonts w:ascii="Verdana" w:hAnsi="Verdana"/>
          <w:b w:val="0"/>
          <w:i/>
          <w:sz w:val="18"/>
          <w:szCs w:val="18"/>
          <w:lang w:val="nl-NL"/>
        </w:rPr>
        <w:t>6</w:t>
      </w:r>
      <w:r w:rsidRPr="003103E7">
        <w:rPr>
          <w:rFonts w:ascii="Verdana" w:hAnsi="Verdana"/>
          <w:b w:val="0"/>
          <w:i/>
          <w:sz w:val="18"/>
          <w:szCs w:val="18"/>
          <w:lang w:val="nl-NL"/>
        </w:rPr>
        <w:t xml:space="preserve">. Artiesten en </w:t>
      </w:r>
      <w:r w:rsidRPr="003103E7" w:rsidR="009C734A">
        <w:rPr>
          <w:rFonts w:ascii="Verdana" w:hAnsi="Verdana"/>
          <w:b w:val="0"/>
          <w:i/>
          <w:sz w:val="18"/>
          <w:szCs w:val="18"/>
          <w:lang w:val="nl-NL"/>
        </w:rPr>
        <w:t xml:space="preserve">sportbeoefenaars </w:t>
      </w:r>
      <w:r w:rsidRPr="003103E7">
        <w:rPr>
          <w:rFonts w:ascii="Verdana" w:hAnsi="Verdana"/>
          <w:b w:val="0"/>
          <w:i/>
          <w:sz w:val="18"/>
          <w:szCs w:val="18"/>
          <w:lang w:val="nl-NL"/>
        </w:rPr>
        <w:t>(artikel 1</w:t>
      </w:r>
      <w:r w:rsidRPr="003103E7" w:rsidR="00E70605">
        <w:rPr>
          <w:rFonts w:ascii="Verdana" w:hAnsi="Verdana"/>
          <w:b w:val="0"/>
          <w:i/>
          <w:sz w:val="18"/>
          <w:szCs w:val="18"/>
          <w:lang w:val="nl-NL"/>
        </w:rPr>
        <w:t>6</w:t>
      </w:r>
      <w:r w:rsidRPr="00916448" w:rsidR="00916448">
        <w:rPr>
          <w:lang w:val="nl-NL"/>
        </w:rPr>
        <w:t xml:space="preserve"> </w:t>
      </w:r>
      <w:r w:rsidRPr="00916448" w:rsidR="00916448">
        <w:rPr>
          <w:rFonts w:ascii="Verdana" w:hAnsi="Verdana"/>
          <w:b w:val="0"/>
          <w:i/>
          <w:sz w:val="18"/>
          <w:szCs w:val="18"/>
          <w:lang w:val="nl-NL"/>
        </w:rPr>
        <w:t>van het Verdrag</w:t>
      </w:r>
      <w:r w:rsidRPr="00916448">
        <w:rPr>
          <w:rFonts w:ascii="Verdana" w:hAnsi="Verdana"/>
          <w:b w:val="0"/>
          <w:i/>
          <w:sz w:val="18"/>
          <w:szCs w:val="18"/>
          <w:lang w:val="nl-NL"/>
        </w:rPr>
        <w:t>)</w:t>
      </w:r>
    </w:p>
    <w:p w:rsidRPr="00916448" w:rsidR="00A21A57" w:rsidP="00CD077B" w:rsidRDefault="00A21A57" w14:paraId="2BB7977A" w14:textId="77777777">
      <w:pPr>
        <w:ind w:firstLine="720"/>
        <w:rPr>
          <w:rFonts w:ascii="Verdana" w:hAnsi="Verdana" w:cs="Arial"/>
          <w:sz w:val="18"/>
          <w:szCs w:val="18"/>
          <w:lang w:val="nl-NL"/>
        </w:rPr>
      </w:pPr>
    </w:p>
    <w:p w:rsidRPr="00DD3563" w:rsidR="00A21A57" w:rsidP="00CD077B" w:rsidRDefault="00A21A57" w14:paraId="3D3AE6FB" w14:textId="77777777">
      <w:pPr>
        <w:ind w:firstLine="720"/>
        <w:rPr>
          <w:rFonts w:ascii="Verdana" w:hAnsi="Verdana" w:cs="Arial"/>
          <w:sz w:val="18"/>
          <w:szCs w:val="18"/>
          <w:lang w:val="nl-NL"/>
        </w:rPr>
      </w:pPr>
      <w:r w:rsidRPr="00916448">
        <w:rPr>
          <w:rFonts w:ascii="Verdana" w:hAnsi="Verdana" w:cs="Arial"/>
          <w:sz w:val="18"/>
          <w:szCs w:val="18"/>
          <w:lang w:val="nl-NL"/>
        </w:rPr>
        <w:t>Artikel 1</w:t>
      </w:r>
      <w:r w:rsidRPr="00916448" w:rsidR="00133F16">
        <w:rPr>
          <w:rFonts w:ascii="Verdana" w:hAnsi="Verdana" w:cs="Arial"/>
          <w:sz w:val="18"/>
          <w:szCs w:val="18"/>
          <w:lang w:val="nl-NL"/>
        </w:rPr>
        <w:t>6</w:t>
      </w:r>
      <w:r w:rsidRPr="00916448">
        <w:rPr>
          <w:rFonts w:ascii="Verdana" w:hAnsi="Verdana" w:cs="Arial"/>
          <w:sz w:val="18"/>
          <w:szCs w:val="18"/>
          <w:lang w:val="nl-NL"/>
        </w:rPr>
        <w:t xml:space="preserve"> ziet op de inkomsten van artiesten en </w:t>
      </w:r>
      <w:r w:rsidRPr="00916448" w:rsidR="001230CF">
        <w:rPr>
          <w:rFonts w:ascii="Verdana" w:hAnsi="Verdana" w:cs="Arial"/>
          <w:sz w:val="18"/>
          <w:szCs w:val="18"/>
          <w:lang w:val="nl-NL"/>
        </w:rPr>
        <w:t xml:space="preserve">sportbeoefenaars </w:t>
      </w:r>
      <w:r w:rsidRPr="00916448">
        <w:rPr>
          <w:rFonts w:ascii="Verdana" w:hAnsi="Verdana" w:cs="Arial"/>
          <w:sz w:val="18"/>
          <w:szCs w:val="18"/>
          <w:lang w:val="nl-NL"/>
        </w:rPr>
        <w:t xml:space="preserve">en </w:t>
      </w:r>
      <w:r w:rsidRPr="00916448" w:rsidR="003C2FD9">
        <w:rPr>
          <w:rFonts w:ascii="Verdana" w:hAnsi="Verdana" w:cs="Arial"/>
          <w:sz w:val="18"/>
          <w:szCs w:val="18"/>
          <w:lang w:val="nl-NL"/>
        </w:rPr>
        <w:t>komt</w:t>
      </w:r>
      <w:r w:rsidRPr="00916448">
        <w:rPr>
          <w:rFonts w:ascii="Verdana" w:hAnsi="Verdana" w:cs="Arial"/>
          <w:sz w:val="18"/>
          <w:szCs w:val="18"/>
          <w:lang w:val="nl-NL"/>
        </w:rPr>
        <w:t xml:space="preserve">, behoudens het derde lid, </w:t>
      </w:r>
      <w:r w:rsidRPr="00780A5E" w:rsidR="00AF52EA">
        <w:rPr>
          <w:rFonts w:ascii="Verdana" w:hAnsi="Verdana" w:cs="Arial"/>
          <w:sz w:val="18"/>
          <w:szCs w:val="18"/>
          <w:lang w:val="nl-NL"/>
        </w:rPr>
        <w:t xml:space="preserve">inhoudelijk </w:t>
      </w:r>
      <w:r w:rsidRPr="00780A5E">
        <w:rPr>
          <w:rFonts w:ascii="Verdana" w:hAnsi="Verdana" w:cs="Arial"/>
          <w:sz w:val="18"/>
          <w:szCs w:val="18"/>
          <w:lang w:val="nl-NL"/>
        </w:rPr>
        <w:t>overeen met het OESO-modelverdrag</w:t>
      </w:r>
      <w:r w:rsidRPr="00780A5E" w:rsidR="00E70605">
        <w:rPr>
          <w:rFonts w:ascii="Verdana" w:hAnsi="Verdana" w:cs="Arial"/>
          <w:sz w:val="18"/>
          <w:szCs w:val="18"/>
          <w:lang w:val="nl-NL"/>
        </w:rPr>
        <w:t xml:space="preserve">. </w:t>
      </w:r>
      <w:r w:rsidRPr="0021450B">
        <w:rPr>
          <w:rFonts w:ascii="Verdana" w:hAnsi="Verdana" w:cs="Arial"/>
          <w:sz w:val="18"/>
          <w:szCs w:val="18"/>
          <w:lang w:val="nl-NL"/>
        </w:rPr>
        <w:t xml:space="preserve">Conform </w:t>
      </w:r>
      <w:r w:rsidR="0069532D">
        <w:rPr>
          <w:rFonts w:ascii="Verdana" w:hAnsi="Verdana" w:cs="Arial"/>
          <w:sz w:val="18"/>
          <w:szCs w:val="18"/>
          <w:lang w:val="nl-NL"/>
        </w:rPr>
        <w:t>onderdeel 2.12</w:t>
      </w:r>
      <w:r w:rsidRPr="0021450B" w:rsidR="0069532D">
        <w:rPr>
          <w:rFonts w:ascii="Verdana" w:hAnsi="Verdana" w:cs="Arial"/>
          <w:sz w:val="18"/>
          <w:szCs w:val="18"/>
          <w:lang w:val="nl-NL"/>
        </w:rPr>
        <w:t xml:space="preserve"> </w:t>
      </w:r>
      <w:r w:rsidR="0069532D">
        <w:rPr>
          <w:rFonts w:ascii="Verdana" w:hAnsi="Verdana" w:cs="Arial"/>
          <w:sz w:val="18"/>
          <w:szCs w:val="18"/>
          <w:lang w:val="nl-NL"/>
        </w:rPr>
        <w:t xml:space="preserve">van </w:t>
      </w:r>
      <w:r w:rsidRPr="0021450B">
        <w:rPr>
          <w:rFonts w:ascii="Verdana" w:hAnsi="Verdana" w:cs="Arial"/>
          <w:sz w:val="18"/>
          <w:szCs w:val="18"/>
          <w:lang w:val="nl-NL"/>
        </w:rPr>
        <w:t>de NFV 20</w:t>
      </w:r>
      <w:r w:rsidR="0069532D">
        <w:rPr>
          <w:rFonts w:ascii="Verdana" w:hAnsi="Verdana" w:cs="Arial"/>
          <w:sz w:val="18"/>
          <w:szCs w:val="18"/>
          <w:lang w:val="nl-NL"/>
        </w:rPr>
        <w:t xml:space="preserve">11 </w:t>
      </w:r>
      <w:r w:rsidRPr="0021450B">
        <w:rPr>
          <w:rFonts w:ascii="Verdana" w:hAnsi="Verdana" w:cs="Arial"/>
          <w:sz w:val="18"/>
          <w:szCs w:val="18"/>
          <w:lang w:val="nl-NL"/>
        </w:rPr>
        <w:t xml:space="preserve">heeft Nederland voorgesteld geen aparte bepaling voor artiesten en </w:t>
      </w:r>
      <w:r w:rsidRPr="0021450B" w:rsidR="009D700D">
        <w:rPr>
          <w:rFonts w:ascii="Verdana" w:hAnsi="Verdana" w:cs="Arial"/>
          <w:sz w:val="18"/>
          <w:szCs w:val="18"/>
          <w:lang w:val="nl-NL"/>
        </w:rPr>
        <w:t xml:space="preserve">sportbeoefenaars </w:t>
      </w:r>
      <w:r w:rsidRPr="0021450B">
        <w:rPr>
          <w:rFonts w:ascii="Verdana" w:hAnsi="Verdana" w:cs="Arial"/>
          <w:sz w:val="18"/>
          <w:szCs w:val="18"/>
          <w:lang w:val="nl-NL"/>
        </w:rPr>
        <w:t>op te nemen</w:t>
      </w:r>
      <w:r w:rsidRPr="0021450B" w:rsidR="00F40BF4">
        <w:rPr>
          <w:rFonts w:ascii="Verdana" w:hAnsi="Verdana" w:cs="Arial"/>
          <w:sz w:val="18"/>
          <w:szCs w:val="18"/>
          <w:lang w:val="nl-NL"/>
        </w:rPr>
        <w:t>,</w:t>
      </w:r>
      <w:r w:rsidRPr="00BA2B89">
        <w:rPr>
          <w:rFonts w:ascii="Verdana" w:hAnsi="Verdana" w:cs="Arial"/>
          <w:sz w:val="18"/>
          <w:szCs w:val="18"/>
          <w:lang w:val="nl-NL"/>
        </w:rPr>
        <w:t xml:space="preserve"> maar voor hun inkomsten aan te knopen bij de bepalingen voor inkomsten uit onderneming of uit dienstbetrekking. </w:t>
      </w:r>
      <w:r w:rsidRPr="00A4089F" w:rsidR="00E70605">
        <w:rPr>
          <w:rFonts w:ascii="Verdana" w:hAnsi="Verdana" w:cs="Arial"/>
          <w:sz w:val="18"/>
          <w:szCs w:val="18"/>
          <w:lang w:val="nl-NL"/>
        </w:rPr>
        <w:t xml:space="preserve">Bulgarije hechtte </w:t>
      </w:r>
      <w:r w:rsidRPr="006C1373">
        <w:rPr>
          <w:rFonts w:ascii="Verdana" w:hAnsi="Verdana" w:cs="Arial"/>
          <w:sz w:val="18"/>
          <w:szCs w:val="18"/>
          <w:lang w:val="nl-NL"/>
        </w:rPr>
        <w:t xml:space="preserve">echter </w:t>
      </w:r>
      <w:r w:rsidRPr="00DD3563" w:rsidR="00FA5014">
        <w:rPr>
          <w:rFonts w:ascii="Verdana" w:hAnsi="Verdana" w:cs="Arial"/>
          <w:sz w:val="18"/>
          <w:szCs w:val="18"/>
          <w:lang w:val="nl-NL"/>
        </w:rPr>
        <w:t xml:space="preserve">sterk </w:t>
      </w:r>
      <w:r w:rsidRPr="00DD3563">
        <w:rPr>
          <w:rFonts w:ascii="Verdana" w:hAnsi="Verdana" w:cs="Arial"/>
          <w:sz w:val="18"/>
          <w:szCs w:val="18"/>
          <w:lang w:val="nl-NL"/>
        </w:rPr>
        <w:t xml:space="preserve">aan opname van deze specifieke bepaling en Nederland heeft daarmee ingestemd. </w:t>
      </w:r>
    </w:p>
    <w:p w:rsidRPr="0021450B" w:rsidR="00D0461F" w:rsidP="00D0461F" w:rsidRDefault="00D0461F" w14:paraId="17BC05DA" w14:textId="77777777">
      <w:pPr>
        <w:ind w:firstLine="720"/>
        <w:rPr>
          <w:rFonts w:ascii="Verdana" w:hAnsi="Verdana" w:cs="Arial"/>
          <w:sz w:val="18"/>
          <w:szCs w:val="18"/>
          <w:lang w:val="nl-NL"/>
        </w:rPr>
      </w:pPr>
      <w:r w:rsidRPr="00DD3563">
        <w:rPr>
          <w:rFonts w:ascii="Verdana" w:hAnsi="Verdana" w:cs="Arial"/>
          <w:sz w:val="18"/>
          <w:szCs w:val="18"/>
          <w:lang w:val="nl-NL"/>
        </w:rPr>
        <w:t>Het eerste lid wijst het heffin</w:t>
      </w:r>
      <w:r w:rsidRPr="003F7CD6">
        <w:rPr>
          <w:rFonts w:ascii="Verdana" w:hAnsi="Verdana" w:cs="Arial"/>
          <w:sz w:val="18"/>
          <w:szCs w:val="18"/>
          <w:lang w:val="nl-NL"/>
        </w:rPr>
        <w:t xml:space="preserve">gsrecht over de inkomsten toe aan de </w:t>
      </w:r>
      <w:r w:rsidR="0021450B">
        <w:rPr>
          <w:rFonts w:ascii="Verdana" w:hAnsi="Verdana" w:cs="Arial"/>
          <w:sz w:val="18"/>
          <w:szCs w:val="18"/>
          <w:lang w:val="nl-NL"/>
        </w:rPr>
        <w:t>verdragsluitende staat</w:t>
      </w:r>
      <w:r w:rsidRPr="0021450B">
        <w:rPr>
          <w:rFonts w:ascii="Verdana" w:hAnsi="Verdana" w:cs="Arial"/>
          <w:sz w:val="18"/>
          <w:szCs w:val="18"/>
          <w:lang w:val="nl-NL"/>
        </w:rPr>
        <w:t xml:space="preserve"> waarin de artiesten en sportbeoefenaars hun activiteiten ontplooien. </w:t>
      </w:r>
    </w:p>
    <w:p w:rsidRPr="0021450B" w:rsidR="00A21A57" w:rsidP="00CD077B" w:rsidRDefault="00A21A57" w14:paraId="2339276E" w14:textId="77777777">
      <w:pPr>
        <w:ind w:firstLine="720"/>
        <w:rPr>
          <w:rFonts w:ascii="Verdana" w:hAnsi="Verdana" w:cs="Arial"/>
          <w:sz w:val="18"/>
          <w:szCs w:val="18"/>
          <w:lang w:val="nl-NL"/>
        </w:rPr>
      </w:pPr>
      <w:r w:rsidRPr="0021450B">
        <w:rPr>
          <w:rFonts w:ascii="Verdana" w:hAnsi="Verdana" w:cs="Arial"/>
          <w:sz w:val="18"/>
          <w:szCs w:val="18"/>
          <w:lang w:val="nl-NL"/>
        </w:rPr>
        <w:t xml:space="preserve">Het tweede lid ziet op de situatie waarin het inkomen voor de persoonlijke werkzaamheden van artiesten en </w:t>
      </w:r>
      <w:r w:rsidRPr="0021450B" w:rsidR="009D700D">
        <w:rPr>
          <w:rFonts w:ascii="Verdana" w:hAnsi="Verdana" w:cs="Arial"/>
          <w:sz w:val="18"/>
          <w:szCs w:val="18"/>
          <w:lang w:val="nl-NL"/>
        </w:rPr>
        <w:t xml:space="preserve">sportbeoefenaars </w:t>
      </w:r>
      <w:r w:rsidRPr="0021450B">
        <w:rPr>
          <w:rFonts w:ascii="Verdana" w:hAnsi="Verdana" w:cs="Arial"/>
          <w:sz w:val="18"/>
          <w:szCs w:val="18"/>
          <w:lang w:val="nl-NL"/>
        </w:rPr>
        <w:t>als zodanig n</w:t>
      </w:r>
      <w:r w:rsidRPr="00BA2B89">
        <w:rPr>
          <w:rFonts w:ascii="Verdana" w:hAnsi="Verdana" w:cs="Arial"/>
          <w:sz w:val="18"/>
          <w:szCs w:val="18"/>
          <w:lang w:val="nl-NL"/>
        </w:rPr>
        <w:t>iet aan henzelf toekomt maar aan een andere persoon</w:t>
      </w:r>
      <w:r w:rsidRPr="00A4089F" w:rsidR="0067227D">
        <w:rPr>
          <w:rFonts w:ascii="Verdana" w:hAnsi="Verdana" w:cs="Arial"/>
          <w:sz w:val="18"/>
          <w:szCs w:val="18"/>
          <w:lang w:val="nl-NL"/>
        </w:rPr>
        <w:t>.</w:t>
      </w:r>
      <w:r w:rsidRPr="006C1373" w:rsidR="00D0461F">
        <w:rPr>
          <w:rFonts w:ascii="Verdana" w:hAnsi="Verdana" w:cs="Arial"/>
          <w:sz w:val="18"/>
          <w:szCs w:val="18"/>
          <w:lang w:val="nl-NL"/>
        </w:rPr>
        <w:t xml:space="preserve"> D</w:t>
      </w:r>
      <w:r w:rsidRPr="00DD3563">
        <w:rPr>
          <w:rFonts w:ascii="Verdana" w:hAnsi="Verdana" w:cs="Arial"/>
          <w:sz w:val="18"/>
          <w:szCs w:val="18"/>
          <w:lang w:val="nl-NL"/>
        </w:rPr>
        <w:t xml:space="preserve">e beloning </w:t>
      </w:r>
      <w:r w:rsidRPr="00DD3563" w:rsidR="0067227D">
        <w:rPr>
          <w:rFonts w:ascii="Verdana" w:hAnsi="Verdana" w:cs="Arial"/>
          <w:sz w:val="18"/>
          <w:szCs w:val="18"/>
          <w:lang w:val="nl-NL"/>
        </w:rPr>
        <w:t xml:space="preserve">mag </w:t>
      </w:r>
      <w:r w:rsidRPr="00DD3563">
        <w:rPr>
          <w:rFonts w:ascii="Verdana" w:hAnsi="Verdana" w:cs="Arial"/>
          <w:sz w:val="18"/>
          <w:szCs w:val="18"/>
          <w:lang w:val="nl-NL"/>
        </w:rPr>
        <w:t xml:space="preserve">in dat geval </w:t>
      </w:r>
      <w:r w:rsidRPr="003F7CD6" w:rsidR="00D0461F">
        <w:rPr>
          <w:rFonts w:ascii="Verdana" w:hAnsi="Verdana" w:cs="Arial"/>
          <w:sz w:val="18"/>
          <w:szCs w:val="18"/>
          <w:lang w:val="nl-NL"/>
        </w:rPr>
        <w:t xml:space="preserve">ook </w:t>
      </w:r>
      <w:r w:rsidRPr="00606D22">
        <w:rPr>
          <w:rFonts w:ascii="Verdana" w:hAnsi="Verdana" w:cs="Arial"/>
          <w:sz w:val="18"/>
          <w:szCs w:val="18"/>
          <w:lang w:val="nl-NL"/>
        </w:rPr>
        <w:t xml:space="preserve">worden belast door de </w:t>
      </w:r>
      <w:r w:rsidR="0021450B">
        <w:rPr>
          <w:rFonts w:ascii="Verdana" w:hAnsi="Verdana" w:cs="Arial"/>
          <w:sz w:val="18"/>
          <w:szCs w:val="18"/>
          <w:lang w:val="nl-NL"/>
        </w:rPr>
        <w:t>verdragsluitende staat</w:t>
      </w:r>
      <w:r w:rsidRPr="0021450B">
        <w:rPr>
          <w:rFonts w:ascii="Verdana" w:hAnsi="Verdana" w:cs="Arial"/>
          <w:sz w:val="18"/>
          <w:szCs w:val="18"/>
          <w:lang w:val="nl-NL"/>
        </w:rPr>
        <w:t xml:space="preserve"> waarin de werkzaamheden worden verricht. Deze bepaling heeft betrekking op bijvoorbeeld betalingen aan management- of artiestenvennootschappen </w:t>
      </w:r>
      <w:r w:rsidRPr="0021450B" w:rsidR="00B52CF7">
        <w:rPr>
          <w:rFonts w:ascii="Verdana" w:hAnsi="Verdana" w:cs="Arial"/>
          <w:sz w:val="18"/>
          <w:szCs w:val="18"/>
          <w:lang w:val="nl-NL"/>
        </w:rPr>
        <w:t>(zoge</w:t>
      </w:r>
      <w:r w:rsidRPr="0021450B" w:rsidR="00EF230D">
        <w:rPr>
          <w:rFonts w:ascii="Verdana" w:hAnsi="Verdana" w:cs="Arial"/>
          <w:sz w:val="18"/>
          <w:szCs w:val="18"/>
          <w:lang w:val="nl-NL"/>
        </w:rPr>
        <w:t>noemde</w:t>
      </w:r>
      <w:r w:rsidRPr="0021450B" w:rsidR="0067227D">
        <w:rPr>
          <w:rFonts w:ascii="Verdana" w:hAnsi="Verdana" w:cs="Arial"/>
          <w:sz w:val="18"/>
          <w:szCs w:val="18"/>
          <w:lang w:val="nl-NL"/>
        </w:rPr>
        <w:t xml:space="preserve"> </w:t>
      </w:r>
      <w:r w:rsidRPr="0021450B" w:rsidR="00B52CF7">
        <w:rPr>
          <w:rFonts w:ascii="Verdana" w:hAnsi="Verdana" w:cs="Arial"/>
          <w:sz w:val="18"/>
          <w:szCs w:val="18"/>
          <w:lang w:val="nl-NL"/>
        </w:rPr>
        <w:t>‘</w:t>
      </w:r>
      <w:r w:rsidRPr="004E2B58" w:rsidR="00B52CF7">
        <w:rPr>
          <w:rFonts w:ascii="Verdana" w:hAnsi="Verdana" w:cs="Arial"/>
          <w:i/>
          <w:sz w:val="18"/>
          <w:szCs w:val="18"/>
          <w:lang w:val="nl-NL"/>
        </w:rPr>
        <w:t>star</w:t>
      </w:r>
      <w:r w:rsidRPr="004E2B58" w:rsidR="00EF230D">
        <w:rPr>
          <w:rFonts w:ascii="Verdana" w:hAnsi="Verdana" w:cs="Arial"/>
          <w:i/>
          <w:sz w:val="18"/>
          <w:szCs w:val="18"/>
          <w:lang w:val="nl-NL"/>
        </w:rPr>
        <w:t>-</w:t>
      </w:r>
      <w:r w:rsidRPr="004E2B58" w:rsidR="00B52CF7">
        <w:rPr>
          <w:rFonts w:ascii="Verdana" w:hAnsi="Verdana" w:cs="Arial"/>
          <w:i/>
          <w:sz w:val="18"/>
          <w:szCs w:val="18"/>
          <w:lang w:val="nl-NL"/>
        </w:rPr>
        <w:t>companies</w:t>
      </w:r>
      <w:r w:rsidRPr="0021450B" w:rsidR="00B52CF7">
        <w:rPr>
          <w:rFonts w:ascii="Verdana" w:hAnsi="Verdana" w:cs="Arial"/>
          <w:sz w:val="18"/>
          <w:szCs w:val="18"/>
          <w:lang w:val="nl-NL"/>
        </w:rPr>
        <w:t xml:space="preserve">’) </w:t>
      </w:r>
      <w:r w:rsidRPr="0021450B">
        <w:rPr>
          <w:rFonts w:ascii="Verdana" w:hAnsi="Verdana" w:cs="Arial"/>
          <w:sz w:val="18"/>
          <w:szCs w:val="18"/>
          <w:lang w:val="nl-NL"/>
        </w:rPr>
        <w:t>of aan gezelschappen.</w:t>
      </w:r>
    </w:p>
    <w:p w:rsidRPr="0021450B" w:rsidR="00A21A57" w:rsidP="00CD077B" w:rsidRDefault="00873B6E" w14:paraId="62AA7961" w14:textId="3722E496">
      <w:pPr>
        <w:ind w:firstLine="720"/>
        <w:rPr>
          <w:rFonts w:ascii="Verdana" w:hAnsi="Verdana" w:cs="Arial"/>
          <w:sz w:val="18"/>
          <w:szCs w:val="18"/>
          <w:lang w:val="nl-NL"/>
        </w:rPr>
      </w:pPr>
      <w:r w:rsidRPr="0021450B">
        <w:rPr>
          <w:rFonts w:ascii="Verdana" w:hAnsi="Verdana" w:cs="Arial"/>
          <w:sz w:val="18"/>
          <w:szCs w:val="18"/>
          <w:lang w:val="nl-NL"/>
        </w:rPr>
        <w:t xml:space="preserve">Op het beginsel van belastingheffing in de werkstaat van het eerste en het tweede lid maakt het derde lid een uitzondering. De inkomsten mogen slechts in de woonstaat van de artiest of sportbeoefenaar worden belast, als diens bezoek aan de andere </w:t>
      </w:r>
      <w:r w:rsidR="0021450B">
        <w:rPr>
          <w:rFonts w:ascii="Verdana" w:hAnsi="Verdana" w:cs="Arial"/>
          <w:sz w:val="18"/>
          <w:szCs w:val="18"/>
          <w:lang w:val="nl-NL"/>
        </w:rPr>
        <w:t>verdragsluitende staat</w:t>
      </w:r>
      <w:r w:rsidRPr="0021450B">
        <w:rPr>
          <w:rFonts w:ascii="Verdana" w:hAnsi="Verdana" w:cs="Arial"/>
          <w:sz w:val="18"/>
          <w:szCs w:val="18"/>
          <w:lang w:val="nl-NL"/>
        </w:rPr>
        <w:t xml:space="preserve"> voor ten minste </w:t>
      </w:r>
      <w:r w:rsidR="003F557E">
        <w:rPr>
          <w:rFonts w:ascii="Verdana" w:hAnsi="Verdana" w:cs="Arial"/>
          <w:sz w:val="18"/>
          <w:szCs w:val="18"/>
          <w:lang w:val="nl-NL"/>
        </w:rPr>
        <w:t>50%</w:t>
      </w:r>
      <w:r w:rsidRPr="0021450B">
        <w:rPr>
          <w:rFonts w:ascii="Verdana" w:hAnsi="Verdana" w:cs="Arial"/>
          <w:sz w:val="18"/>
          <w:szCs w:val="18"/>
          <w:lang w:val="nl-NL"/>
        </w:rPr>
        <w:t xml:space="preserve"> wordt gefinancierd uit overheidsfondsen van </w:t>
      </w:r>
      <w:r w:rsidRPr="0021450B" w:rsidR="00B52CF7">
        <w:rPr>
          <w:rFonts w:ascii="Verdana" w:hAnsi="Verdana" w:cs="Arial"/>
          <w:sz w:val="18"/>
          <w:szCs w:val="18"/>
          <w:lang w:val="nl-NL"/>
        </w:rPr>
        <w:t xml:space="preserve">één of beide </w:t>
      </w:r>
      <w:r w:rsidR="0021450B">
        <w:rPr>
          <w:rFonts w:ascii="Verdana" w:hAnsi="Verdana" w:cs="Arial"/>
          <w:sz w:val="18"/>
          <w:szCs w:val="18"/>
          <w:lang w:val="nl-NL"/>
        </w:rPr>
        <w:t>verdragsluitende staten</w:t>
      </w:r>
      <w:r w:rsidRPr="0021450B">
        <w:rPr>
          <w:rFonts w:ascii="Verdana" w:hAnsi="Verdana" w:cs="Arial"/>
          <w:sz w:val="18"/>
          <w:szCs w:val="18"/>
          <w:lang w:val="nl-NL"/>
        </w:rPr>
        <w:t xml:space="preserve">, een staatkundig onderdeel of plaatselijk publiekrechtelijk lichaam daarvan, of als de activiteiten plaatsvinden in het kader van een cultureel uitwisselingsprogramma tussen de regeringen van beide </w:t>
      </w:r>
      <w:r w:rsidR="0021450B">
        <w:rPr>
          <w:rFonts w:ascii="Verdana" w:hAnsi="Verdana" w:cs="Arial"/>
          <w:sz w:val="18"/>
          <w:szCs w:val="18"/>
          <w:lang w:val="nl-NL"/>
        </w:rPr>
        <w:t>verdragsluitende staten</w:t>
      </w:r>
      <w:r w:rsidRPr="0021450B">
        <w:rPr>
          <w:rFonts w:ascii="Verdana" w:hAnsi="Verdana" w:cs="Arial"/>
          <w:sz w:val="18"/>
          <w:szCs w:val="18"/>
          <w:lang w:val="nl-NL"/>
        </w:rPr>
        <w:t xml:space="preserve">. </w:t>
      </w:r>
      <w:r w:rsidRPr="0021450B" w:rsidR="00A21A57">
        <w:rPr>
          <w:rFonts w:ascii="Verdana" w:hAnsi="Verdana" w:cs="Arial"/>
          <w:sz w:val="18"/>
          <w:szCs w:val="18"/>
          <w:lang w:val="nl-NL"/>
        </w:rPr>
        <w:t>Een dergelijke bepaling is</w:t>
      </w:r>
      <w:r w:rsidR="0069532D">
        <w:rPr>
          <w:rFonts w:ascii="Verdana" w:hAnsi="Verdana" w:cs="Arial"/>
          <w:sz w:val="18"/>
          <w:szCs w:val="18"/>
          <w:lang w:val="nl-NL"/>
        </w:rPr>
        <w:t xml:space="preserve"> </w:t>
      </w:r>
      <w:r w:rsidR="001F5944">
        <w:rPr>
          <w:rFonts w:ascii="Verdana" w:hAnsi="Verdana" w:cs="Arial"/>
          <w:sz w:val="18"/>
          <w:szCs w:val="18"/>
          <w:lang w:val="nl-NL"/>
        </w:rPr>
        <w:t xml:space="preserve">opgenomen in artikel 17, derde lid, van het </w:t>
      </w:r>
      <w:r w:rsidR="009302A5">
        <w:rPr>
          <w:rFonts w:ascii="Verdana" w:hAnsi="Verdana" w:cs="Arial"/>
          <w:sz w:val="18"/>
          <w:szCs w:val="18"/>
          <w:lang w:val="nl-NL"/>
        </w:rPr>
        <w:t>V</w:t>
      </w:r>
      <w:r w:rsidR="001F5944">
        <w:rPr>
          <w:rFonts w:ascii="Verdana" w:hAnsi="Verdana" w:cs="Arial"/>
          <w:sz w:val="18"/>
          <w:szCs w:val="18"/>
          <w:lang w:val="nl-NL"/>
        </w:rPr>
        <w:t xml:space="preserve">erdrag van 1990 en is </w:t>
      </w:r>
      <w:r w:rsidRPr="0021450B" w:rsidR="00A21A57">
        <w:rPr>
          <w:rFonts w:ascii="Verdana" w:hAnsi="Verdana" w:cs="Arial"/>
          <w:sz w:val="18"/>
          <w:szCs w:val="18"/>
          <w:lang w:val="nl-NL"/>
        </w:rPr>
        <w:t>niet ongebruikelijk in de Nederlandse belastingverdragen.</w:t>
      </w:r>
      <w:r w:rsidR="001F5944">
        <w:rPr>
          <w:rStyle w:val="Voetnootmarkering"/>
          <w:rFonts w:ascii="Verdana" w:hAnsi="Verdana" w:cs="Arial"/>
          <w:sz w:val="18"/>
          <w:szCs w:val="18"/>
          <w:lang w:val="nl-NL"/>
        </w:rPr>
        <w:footnoteReference w:id="15"/>
      </w:r>
      <w:r w:rsidRPr="0021450B" w:rsidR="00A21A57">
        <w:rPr>
          <w:rFonts w:ascii="Verdana" w:hAnsi="Verdana" w:cs="Arial"/>
          <w:sz w:val="18"/>
          <w:szCs w:val="18"/>
          <w:lang w:val="nl-NL"/>
        </w:rPr>
        <w:t xml:space="preserve"> </w:t>
      </w:r>
    </w:p>
    <w:p w:rsidRPr="00916448" w:rsidR="009C76D4" w:rsidP="00CD077B" w:rsidRDefault="009C76D4" w14:paraId="40FF76F3" w14:textId="77777777">
      <w:pPr>
        <w:pStyle w:val="Kop2"/>
        <w:numPr>
          <w:ilvl w:val="0"/>
          <w:numId w:val="0"/>
        </w:numPr>
        <w:spacing w:before="0" w:after="0"/>
        <w:rPr>
          <w:rFonts w:ascii="Verdana" w:hAnsi="Verdana"/>
          <w:sz w:val="18"/>
          <w:szCs w:val="18"/>
          <w:lang w:val="nl-NL"/>
        </w:rPr>
      </w:pPr>
      <w:r w:rsidRPr="0021450B">
        <w:rPr>
          <w:rFonts w:ascii="Verdana" w:hAnsi="Verdana"/>
          <w:sz w:val="18"/>
          <w:szCs w:val="18"/>
          <w:lang w:val="nl-NL"/>
        </w:rPr>
        <w:br/>
      </w:r>
      <w:r w:rsidRPr="0021450B">
        <w:rPr>
          <w:rFonts w:ascii="Verdana" w:hAnsi="Verdana"/>
          <w:b w:val="0"/>
          <w:i/>
          <w:sz w:val="18"/>
          <w:szCs w:val="18"/>
          <w:lang w:val="nl-NL"/>
        </w:rPr>
        <w:t>II.1</w:t>
      </w:r>
      <w:r w:rsidRPr="0021450B" w:rsidR="009854E5">
        <w:rPr>
          <w:rFonts w:ascii="Verdana" w:hAnsi="Verdana"/>
          <w:b w:val="0"/>
          <w:i/>
          <w:sz w:val="18"/>
          <w:szCs w:val="18"/>
          <w:lang w:val="nl-NL"/>
        </w:rPr>
        <w:t>7</w:t>
      </w:r>
      <w:r w:rsidRPr="00BA2B89">
        <w:rPr>
          <w:rFonts w:ascii="Verdana" w:hAnsi="Verdana"/>
          <w:b w:val="0"/>
          <w:i/>
          <w:sz w:val="18"/>
          <w:szCs w:val="18"/>
          <w:lang w:val="nl-NL"/>
        </w:rPr>
        <w:t>.</w:t>
      </w:r>
      <w:r w:rsidRPr="00A4089F" w:rsidR="008B4C25">
        <w:rPr>
          <w:rFonts w:ascii="Verdana" w:hAnsi="Verdana"/>
          <w:b w:val="0"/>
          <w:i/>
          <w:sz w:val="18"/>
          <w:szCs w:val="18"/>
          <w:lang w:val="nl-NL"/>
        </w:rPr>
        <w:t xml:space="preserve"> </w:t>
      </w:r>
      <w:r w:rsidRPr="006C1373">
        <w:rPr>
          <w:rFonts w:ascii="Verdana" w:hAnsi="Verdana"/>
          <w:b w:val="0"/>
          <w:i/>
          <w:sz w:val="18"/>
          <w:szCs w:val="18"/>
          <w:lang w:val="nl-NL"/>
        </w:rPr>
        <w:t>Pensioen, lijfrenten en socialezekerheidsuitkeringen (artikel 1</w:t>
      </w:r>
      <w:r w:rsidRPr="00DD3563" w:rsidR="00E70605">
        <w:rPr>
          <w:rFonts w:ascii="Verdana" w:hAnsi="Verdana"/>
          <w:b w:val="0"/>
          <w:i/>
          <w:sz w:val="18"/>
          <w:szCs w:val="18"/>
          <w:lang w:val="nl-NL"/>
        </w:rPr>
        <w:t>7</w:t>
      </w:r>
      <w:r w:rsidRPr="00916448" w:rsidR="00916448">
        <w:rPr>
          <w:lang w:val="nl-NL"/>
        </w:rPr>
        <w:t xml:space="preserve"> </w:t>
      </w:r>
      <w:r w:rsidRPr="00916448" w:rsidR="00916448">
        <w:rPr>
          <w:rFonts w:ascii="Verdana" w:hAnsi="Verdana"/>
          <w:b w:val="0"/>
          <w:i/>
          <w:sz w:val="18"/>
          <w:szCs w:val="18"/>
          <w:lang w:val="nl-NL"/>
        </w:rPr>
        <w:t>van het Verdrag</w:t>
      </w:r>
      <w:r w:rsidRPr="00916448">
        <w:rPr>
          <w:rFonts w:ascii="Verdana" w:hAnsi="Verdana"/>
          <w:b w:val="0"/>
          <w:i/>
          <w:sz w:val="18"/>
          <w:szCs w:val="18"/>
          <w:lang w:val="nl-NL"/>
        </w:rPr>
        <w:t>)</w:t>
      </w:r>
    </w:p>
    <w:p w:rsidRPr="00916448" w:rsidR="00630585" w:rsidP="00CD077B" w:rsidRDefault="00630585" w14:paraId="238313A8" w14:textId="77777777">
      <w:pPr>
        <w:ind w:firstLine="0"/>
        <w:rPr>
          <w:rFonts w:ascii="Verdana" w:hAnsi="Verdana"/>
          <w:sz w:val="18"/>
          <w:szCs w:val="18"/>
          <w:lang w:val="nl-NL"/>
        </w:rPr>
      </w:pPr>
    </w:p>
    <w:p w:rsidRPr="00916448" w:rsidR="00D14705" w:rsidP="0067227D" w:rsidRDefault="007B4F2C" w14:paraId="7695E387" w14:textId="1AC4A995">
      <w:pPr>
        <w:ind w:firstLine="720"/>
        <w:rPr>
          <w:rFonts w:ascii="Verdana" w:hAnsi="Verdana"/>
          <w:sz w:val="18"/>
          <w:szCs w:val="18"/>
          <w:lang w:val="nl-NL"/>
        </w:rPr>
      </w:pPr>
      <w:r w:rsidRPr="00780A5E">
        <w:rPr>
          <w:rFonts w:ascii="Verdana" w:hAnsi="Verdana" w:cs="Arial"/>
          <w:sz w:val="18"/>
          <w:szCs w:val="18"/>
          <w:lang w:val="nl-NL"/>
        </w:rPr>
        <w:t>I</w:t>
      </w:r>
      <w:r w:rsidRPr="00780A5E">
        <w:rPr>
          <w:rFonts w:ascii="Verdana" w:hAnsi="Verdana"/>
          <w:sz w:val="18"/>
          <w:szCs w:val="18"/>
          <w:lang w:val="nl-NL"/>
        </w:rPr>
        <w:t>n lijn met onderdeel 2.11.1 van de NFV 2011 heeft Nederland ingezet op een onbeperkte bronstaatheffing voor pensioenen, lijfrenten en socialezekerheidsuitkeringen.</w:t>
      </w:r>
      <w:r w:rsidRPr="00556990" w:rsidR="001D49A4">
        <w:rPr>
          <w:rStyle w:val="Voetnootmarkering"/>
          <w:rFonts w:ascii="Verdana" w:hAnsi="Verdana"/>
          <w:sz w:val="18"/>
          <w:szCs w:val="18"/>
          <w:lang w:val="nl-NL"/>
        </w:rPr>
        <w:footnoteReference w:id="16"/>
      </w:r>
      <w:r w:rsidRPr="00556990">
        <w:rPr>
          <w:rFonts w:ascii="Verdana" w:hAnsi="Verdana"/>
          <w:sz w:val="18"/>
          <w:szCs w:val="18"/>
          <w:lang w:val="nl-NL"/>
        </w:rPr>
        <w:t xml:space="preserve"> Bulgarije kon hiermee instemmen. In Bulgarije worden pensioenen niet belast.</w:t>
      </w:r>
      <w:r w:rsidRPr="001C6327">
        <w:rPr>
          <w:rFonts w:ascii="Verdana" w:hAnsi="Verdana"/>
          <w:sz w:val="18"/>
          <w:szCs w:val="18"/>
          <w:lang w:val="nl-NL"/>
        </w:rPr>
        <w:t xml:space="preserve"> </w:t>
      </w:r>
      <w:r w:rsidRPr="00F578EC" w:rsidR="00FA5014">
        <w:rPr>
          <w:rFonts w:ascii="Verdana" w:hAnsi="Verdana"/>
          <w:sz w:val="18"/>
          <w:szCs w:val="18"/>
          <w:lang w:val="nl-NL"/>
        </w:rPr>
        <w:t xml:space="preserve">Omdat een </w:t>
      </w:r>
      <w:r w:rsidRPr="00780A5E" w:rsidR="00F53EA5">
        <w:rPr>
          <w:rFonts w:ascii="Verdana" w:hAnsi="Verdana"/>
          <w:sz w:val="18"/>
          <w:szCs w:val="18"/>
          <w:lang w:val="nl-NL"/>
        </w:rPr>
        <w:t>onbeperkte bronstaatheffing</w:t>
      </w:r>
      <w:r w:rsidRPr="00BC6175" w:rsidR="00FA5014">
        <w:rPr>
          <w:rFonts w:ascii="Verdana" w:hAnsi="Verdana"/>
          <w:sz w:val="18"/>
          <w:szCs w:val="18"/>
          <w:lang w:val="nl-NL"/>
        </w:rPr>
        <w:t xml:space="preserve"> voor pensioen</w:t>
      </w:r>
      <w:r w:rsidRPr="00BC6175" w:rsidR="000B1658">
        <w:rPr>
          <w:rFonts w:ascii="Verdana" w:hAnsi="Verdana"/>
          <w:sz w:val="18"/>
          <w:szCs w:val="18"/>
          <w:lang w:val="nl-NL"/>
        </w:rPr>
        <w:t>en</w:t>
      </w:r>
      <w:r w:rsidRPr="00BC6175" w:rsidR="00FA5014">
        <w:rPr>
          <w:rFonts w:ascii="Verdana" w:hAnsi="Verdana"/>
          <w:sz w:val="18"/>
          <w:szCs w:val="18"/>
          <w:lang w:val="nl-NL"/>
        </w:rPr>
        <w:t xml:space="preserve"> is overeengekomen, wordt in het Ve</w:t>
      </w:r>
      <w:r w:rsidRPr="00BC6175" w:rsidR="000B1658">
        <w:rPr>
          <w:rFonts w:ascii="Verdana" w:hAnsi="Verdana"/>
          <w:sz w:val="18"/>
          <w:szCs w:val="18"/>
          <w:lang w:val="nl-NL"/>
        </w:rPr>
        <w:t>r</w:t>
      </w:r>
      <w:r w:rsidRPr="00CF22A8" w:rsidR="00FA5014">
        <w:rPr>
          <w:rFonts w:ascii="Verdana" w:hAnsi="Verdana"/>
          <w:sz w:val="18"/>
          <w:szCs w:val="18"/>
          <w:lang w:val="nl-NL"/>
        </w:rPr>
        <w:t xml:space="preserve">drag </w:t>
      </w:r>
      <w:r w:rsidRPr="00CF22A8">
        <w:rPr>
          <w:rFonts w:ascii="Verdana" w:hAnsi="Verdana"/>
          <w:sz w:val="18"/>
          <w:szCs w:val="18"/>
          <w:lang w:val="nl-NL"/>
        </w:rPr>
        <w:t xml:space="preserve">geen onderscheid gemaakt </w:t>
      </w:r>
      <w:r w:rsidR="00F53EA5">
        <w:rPr>
          <w:rFonts w:ascii="Verdana" w:hAnsi="Verdana"/>
          <w:sz w:val="18"/>
          <w:szCs w:val="18"/>
          <w:lang w:val="nl-NL"/>
        </w:rPr>
        <w:t xml:space="preserve">voor </w:t>
      </w:r>
      <w:r w:rsidRPr="00CF22A8">
        <w:rPr>
          <w:rFonts w:ascii="Verdana" w:hAnsi="Verdana"/>
          <w:sz w:val="18"/>
          <w:szCs w:val="18"/>
          <w:lang w:val="nl-NL"/>
        </w:rPr>
        <w:t xml:space="preserve">wat betreft de toewijzing van het heffingsrecht tussen </w:t>
      </w:r>
      <w:r w:rsidRPr="005C1870" w:rsidR="000B1658">
        <w:rPr>
          <w:rFonts w:ascii="Verdana" w:hAnsi="Verdana"/>
          <w:sz w:val="18"/>
          <w:szCs w:val="18"/>
          <w:lang w:val="nl-NL"/>
        </w:rPr>
        <w:t xml:space="preserve">privaatrechtelijke </w:t>
      </w:r>
      <w:r w:rsidRPr="005C1870">
        <w:rPr>
          <w:rFonts w:ascii="Verdana" w:hAnsi="Verdana"/>
          <w:sz w:val="18"/>
          <w:szCs w:val="18"/>
          <w:lang w:val="nl-NL"/>
        </w:rPr>
        <w:t xml:space="preserve">en </w:t>
      </w:r>
      <w:r w:rsidR="00C34269">
        <w:rPr>
          <w:rFonts w:ascii="Verdana" w:hAnsi="Verdana"/>
          <w:sz w:val="18"/>
          <w:szCs w:val="18"/>
          <w:lang w:val="nl-NL"/>
        </w:rPr>
        <w:t>overheids</w:t>
      </w:r>
      <w:r w:rsidRPr="00916448">
        <w:rPr>
          <w:rFonts w:ascii="Verdana" w:hAnsi="Verdana"/>
          <w:sz w:val="18"/>
          <w:szCs w:val="18"/>
          <w:lang w:val="nl-NL"/>
        </w:rPr>
        <w:t>pensioenen.</w:t>
      </w:r>
      <w:r w:rsidRPr="00916448" w:rsidR="008C113B">
        <w:rPr>
          <w:rFonts w:ascii="Verdana" w:hAnsi="Verdana"/>
          <w:sz w:val="18"/>
          <w:szCs w:val="18"/>
          <w:lang w:val="nl-NL"/>
        </w:rPr>
        <w:t xml:space="preserve"> </w:t>
      </w:r>
    </w:p>
    <w:p w:rsidRPr="00916448" w:rsidR="00D14705" w:rsidP="006C286E" w:rsidRDefault="00D14705" w14:paraId="6F46A787" w14:textId="77777777">
      <w:pPr>
        <w:ind w:firstLine="720"/>
        <w:rPr>
          <w:rFonts w:ascii="Verdana" w:hAnsi="Verdana"/>
          <w:sz w:val="18"/>
          <w:szCs w:val="18"/>
          <w:lang w:val="nl-NL"/>
        </w:rPr>
      </w:pPr>
      <w:r w:rsidRPr="00916448">
        <w:rPr>
          <w:rFonts w:ascii="Verdana" w:hAnsi="Verdana"/>
          <w:sz w:val="18"/>
          <w:szCs w:val="18"/>
          <w:lang w:val="nl-NL"/>
        </w:rPr>
        <w:t xml:space="preserve">Het eerste </w:t>
      </w:r>
      <w:r w:rsidRPr="00916448" w:rsidR="00AF52EA">
        <w:rPr>
          <w:rFonts w:ascii="Verdana" w:hAnsi="Verdana"/>
          <w:sz w:val="18"/>
          <w:szCs w:val="18"/>
          <w:lang w:val="nl-NL"/>
        </w:rPr>
        <w:t xml:space="preserve">lid </w:t>
      </w:r>
      <w:r w:rsidRPr="00916448">
        <w:rPr>
          <w:rFonts w:ascii="Verdana" w:hAnsi="Verdana"/>
          <w:sz w:val="18"/>
          <w:szCs w:val="18"/>
          <w:lang w:val="nl-NL"/>
        </w:rPr>
        <w:t>bepaalt dat pensioenen, andere soortgelijke</w:t>
      </w:r>
      <w:r w:rsidRPr="00916448" w:rsidR="008C113B">
        <w:rPr>
          <w:rFonts w:ascii="Verdana" w:hAnsi="Verdana"/>
          <w:sz w:val="18"/>
          <w:szCs w:val="18"/>
          <w:lang w:val="nl-NL"/>
        </w:rPr>
        <w:t xml:space="preserve"> </w:t>
      </w:r>
      <w:r w:rsidRPr="00916448">
        <w:rPr>
          <w:rFonts w:ascii="Verdana" w:hAnsi="Verdana"/>
          <w:sz w:val="18"/>
          <w:szCs w:val="18"/>
          <w:lang w:val="nl-NL"/>
        </w:rPr>
        <w:t xml:space="preserve">beloningen en lijfrenten mogen worden belast in de bronstaat. </w:t>
      </w:r>
    </w:p>
    <w:p w:rsidRPr="000819E4" w:rsidR="007B4F2C" w:rsidP="006C286E" w:rsidRDefault="00D14705" w14:paraId="0495DF0E" w14:textId="77777777">
      <w:pPr>
        <w:ind w:firstLine="720"/>
        <w:rPr>
          <w:rFonts w:ascii="Verdana" w:hAnsi="Verdana"/>
          <w:sz w:val="18"/>
          <w:szCs w:val="18"/>
          <w:lang w:val="nl-NL"/>
        </w:rPr>
      </w:pPr>
      <w:r w:rsidRPr="00916448">
        <w:rPr>
          <w:rFonts w:ascii="Verdana" w:hAnsi="Verdana"/>
          <w:sz w:val="18"/>
          <w:szCs w:val="18"/>
          <w:lang w:val="nl-NL"/>
        </w:rPr>
        <w:t xml:space="preserve">Op grond van het tweede lid geldt hetzelfde voor </w:t>
      </w:r>
      <w:r w:rsidRPr="00916448" w:rsidR="00AF52EA">
        <w:rPr>
          <w:rFonts w:ascii="Verdana" w:hAnsi="Verdana"/>
          <w:sz w:val="18"/>
          <w:szCs w:val="18"/>
          <w:lang w:val="nl-NL"/>
        </w:rPr>
        <w:t>p</w:t>
      </w:r>
      <w:r w:rsidRPr="00916448">
        <w:rPr>
          <w:rFonts w:ascii="Verdana" w:hAnsi="Verdana"/>
          <w:sz w:val="18"/>
          <w:szCs w:val="18"/>
          <w:lang w:val="nl-NL"/>
        </w:rPr>
        <w:t>ensioenen en andere uitkeringen die zijn betaald krach</w:t>
      </w:r>
      <w:r w:rsidRPr="00780A5E">
        <w:rPr>
          <w:rFonts w:ascii="Verdana" w:hAnsi="Verdana"/>
          <w:sz w:val="18"/>
          <w:szCs w:val="18"/>
          <w:lang w:val="nl-NL"/>
        </w:rPr>
        <w:t>tens de bepalingen va</w:t>
      </w:r>
      <w:r w:rsidRPr="00780A5E" w:rsidR="0067227D">
        <w:rPr>
          <w:rFonts w:ascii="Verdana" w:hAnsi="Verdana"/>
          <w:sz w:val="18"/>
          <w:szCs w:val="18"/>
          <w:lang w:val="nl-NL"/>
        </w:rPr>
        <w:t>n</w:t>
      </w:r>
      <w:r w:rsidRPr="00780A5E">
        <w:rPr>
          <w:rFonts w:ascii="Verdana" w:hAnsi="Verdana"/>
          <w:sz w:val="18"/>
          <w:szCs w:val="18"/>
          <w:lang w:val="nl-NL"/>
        </w:rPr>
        <w:t xml:space="preserve"> de socialezekerheidswetgeving van een </w:t>
      </w:r>
      <w:r w:rsidR="0021450B">
        <w:rPr>
          <w:rFonts w:ascii="Verdana" w:hAnsi="Verdana"/>
          <w:sz w:val="18"/>
          <w:szCs w:val="18"/>
          <w:lang w:val="nl-NL"/>
        </w:rPr>
        <w:t>verdragsluitende staat</w:t>
      </w:r>
      <w:r w:rsidRPr="00780A5E">
        <w:rPr>
          <w:rFonts w:ascii="Verdana" w:hAnsi="Verdana"/>
          <w:sz w:val="18"/>
          <w:szCs w:val="18"/>
          <w:lang w:val="nl-NL"/>
        </w:rPr>
        <w:t>.</w:t>
      </w:r>
    </w:p>
    <w:p w:rsidRPr="00BD4E1D" w:rsidR="007B4F2C" w:rsidP="00CD077B" w:rsidRDefault="007B4F2C" w14:paraId="049ADD0D" w14:textId="77777777">
      <w:pPr>
        <w:rPr>
          <w:rFonts w:ascii="Verdana" w:hAnsi="Verdana"/>
          <w:sz w:val="18"/>
          <w:szCs w:val="18"/>
          <w:lang w:val="nl-NL"/>
        </w:rPr>
      </w:pPr>
      <w:r w:rsidRPr="0021450B">
        <w:rPr>
          <w:rFonts w:ascii="Verdana" w:hAnsi="Verdana"/>
          <w:sz w:val="18"/>
          <w:szCs w:val="18"/>
          <w:lang w:val="nl-NL"/>
        </w:rPr>
        <w:lastRenderedPageBreak/>
        <w:t xml:space="preserve">Het derde lid regelt welke van de twee </w:t>
      </w:r>
      <w:r w:rsidR="0021450B">
        <w:rPr>
          <w:rFonts w:ascii="Verdana" w:hAnsi="Verdana"/>
          <w:sz w:val="18"/>
          <w:szCs w:val="18"/>
          <w:lang w:val="nl-NL"/>
        </w:rPr>
        <w:t>verdragsluitende staten</w:t>
      </w:r>
      <w:r w:rsidRPr="0021450B" w:rsidR="008C113B">
        <w:rPr>
          <w:rFonts w:ascii="Verdana" w:hAnsi="Verdana"/>
          <w:sz w:val="18"/>
          <w:szCs w:val="18"/>
          <w:lang w:val="nl-NL"/>
        </w:rPr>
        <w:t xml:space="preserve"> </w:t>
      </w:r>
      <w:r w:rsidRPr="0021450B">
        <w:rPr>
          <w:rFonts w:ascii="Verdana" w:hAnsi="Verdana"/>
          <w:sz w:val="18"/>
          <w:szCs w:val="18"/>
          <w:lang w:val="nl-NL"/>
        </w:rPr>
        <w:t>kan worden aangemerkt als d</w:t>
      </w:r>
      <w:r w:rsidRPr="0021450B" w:rsidR="0067227D">
        <w:rPr>
          <w:rFonts w:ascii="Verdana" w:hAnsi="Verdana"/>
          <w:sz w:val="18"/>
          <w:szCs w:val="18"/>
          <w:lang w:val="nl-NL"/>
        </w:rPr>
        <w:t xml:space="preserve">e bronstaat van een pensioen, </w:t>
      </w:r>
      <w:r w:rsidRPr="0021450B">
        <w:rPr>
          <w:rFonts w:ascii="Verdana" w:hAnsi="Verdana"/>
          <w:sz w:val="18"/>
          <w:szCs w:val="18"/>
          <w:lang w:val="nl-NL"/>
        </w:rPr>
        <w:t>andere soortgelijke beloning</w:t>
      </w:r>
      <w:r w:rsidRPr="0021450B" w:rsidR="002D5B03">
        <w:rPr>
          <w:rFonts w:ascii="Verdana" w:hAnsi="Verdana"/>
          <w:sz w:val="18"/>
          <w:szCs w:val="18"/>
          <w:lang w:val="nl-NL"/>
        </w:rPr>
        <w:t xml:space="preserve"> of</w:t>
      </w:r>
      <w:r w:rsidRPr="0021450B">
        <w:rPr>
          <w:rFonts w:ascii="Verdana" w:hAnsi="Verdana"/>
          <w:sz w:val="18"/>
          <w:szCs w:val="18"/>
          <w:lang w:val="nl-NL"/>
        </w:rPr>
        <w:t xml:space="preserve"> </w:t>
      </w:r>
      <w:r w:rsidRPr="00BA2B89" w:rsidR="002D5B03">
        <w:rPr>
          <w:rFonts w:ascii="Verdana" w:hAnsi="Verdana"/>
          <w:sz w:val="18"/>
          <w:szCs w:val="18"/>
          <w:lang w:val="nl-NL"/>
        </w:rPr>
        <w:t>van e</w:t>
      </w:r>
      <w:r w:rsidRPr="00B6639D">
        <w:rPr>
          <w:rFonts w:ascii="Verdana" w:hAnsi="Verdana"/>
          <w:sz w:val="18"/>
          <w:szCs w:val="18"/>
          <w:lang w:val="nl-NL"/>
        </w:rPr>
        <w:t xml:space="preserve">en lijfrente. De bronstaat is de </w:t>
      </w:r>
      <w:r w:rsidR="0021450B">
        <w:rPr>
          <w:rFonts w:ascii="Verdana" w:hAnsi="Verdana"/>
          <w:sz w:val="18"/>
          <w:szCs w:val="18"/>
          <w:lang w:val="nl-NL"/>
        </w:rPr>
        <w:t>verdragsluitende staat</w:t>
      </w:r>
      <w:r w:rsidRPr="0021450B">
        <w:rPr>
          <w:rFonts w:ascii="Verdana" w:hAnsi="Verdana"/>
          <w:sz w:val="18"/>
          <w:szCs w:val="18"/>
          <w:lang w:val="nl-NL"/>
        </w:rPr>
        <w:t xml:space="preserve"> </w:t>
      </w:r>
      <w:r w:rsidRPr="0021450B" w:rsidR="000B1658">
        <w:rPr>
          <w:rFonts w:ascii="Verdana" w:hAnsi="Verdana"/>
          <w:sz w:val="18"/>
          <w:szCs w:val="18"/>
          <w:lang w:val="nl-NL"/>
        </w:rPr>
        <w:t>waar</w:t>
      </w:r>
      <w:r w:rsidRPr="0021450B" w:rsidR="0067227D">
        <w:rPr>
          <w:rFonts w:ascii="Verdana" w:hAnsi="Verdana"/>
          <w:sz w:val="18"/>
          <w:szCs w:val="18"/>
          <w:lang w:val="nl-NL"/>
        </w:rPr>
        <w:t xml:space="preserve"> </w:t>
      </w:r>
      <w:r w:rsidRPr="0021450B">
        <w:rPr>
          <w:rFonts w:ascii="Verdana" w:hAnsi="Verdana"/>
          <w:sz w:val="18"/>
          <w:szCs w:val="18"/>
          <w:lang w:val="nl-NL"/>
        </w:rPr>
        <w:t>de opbouw van het desbetreffende pensioen</w:t>
      </w:r>
      <w:r w:rsidR="004120D8">
        <w:rPr>
          <w:rFonts w:ascii="Verdana" w:hAnsi="Verdana"/>
          <w:sz w:val="18"/>
          <w:szCs w:val="18"/>
          <w:lang w:val="nl-NL"/>
        </w:rPr>
        <w:t xml:space="preserve">, </w:t>
      </w:r>
      <w:r w:rsidR="00F53EA5">
        <w:rPr>
          <w:rFonts w:ascii="Verdana" w:hAnsi="Verdana"/>
          <w:sz w:val="18"/>
          <w:szCs w:val="18"/>
          <w:lang w:val="nl-NL"/>
        </w:rPr>
        <w:t xml:space="preserve">de </w:t>
      </w:r>
      <w:r w:rsidR="004120D8">
        <w:rPr>
          <w:rFonts w:ascii="Verdana" w:hAnsi="Verdana"/>
          <w:sz w:val="18"/>
          <w:szCs w:val="18"/>
          <w:lang w:val="nl-NL"/>
        </w:rPr>
        <w:t>andere soortgelijke beloning</w:t>
      </w:r>
      <w:r w:rsidRPr="0021450B">
        <w:rPr>
          <w:rFonts w:ascii="Verdana" w:hAnsi="Verdana"/>
          <w:sz w:val="18"/>
          <w:szCs w:val="18"/>
          <w:lang w:val="nl-NL"/>
        </w:rPr>
        <w:t xml:space="preserve"> of </w:t>
      </w:r>
      <w:r w:rsidR="00F53EA5">
        <w:rPr>
          <w:rFonts w:ascii="Verdana" w:hAnsi="Verdana"/>
          <w:sz w:val="18"/>
          <w:szCs w:val="18"/>
          <w:lang w:val="nl-NL"/>
        </w:rPr>
        <w:t xml:space="preserve">de </w:t>
      </w:r>
      <w:r w:rsidRPr="0021450B">
        <w:rPr>
          <w:rFonts w:ascii="Verdana" w:hAnsi="Verdana"/>
          <w:sz w:val="18"/>
          <w:szCs w:val="18"/>
          <w:lang w:val="nl-NL"/>
        </w:rPr>
        <w:t xml:space="preserve">lijfrente </w:t>
      </w:r>
      <w:r w:rsidRPr="0021450B" w:rsidR="000B1658">
        <w:rPr>
          <w:rFonts w:ascii="Verdana" w:hAnsi="Verdana"/>
          <w:sz w:val="18"/>
          <w:szCs w:val="18"/>
          <w:lang w:val="nl-NL"/>
        </w:rPr>
        <w:t xml:space="preserve">in aanmerking is gekomen voor fiscale faciliteiten, dat wil zeggen een aftrek voor </w:t>
      </w:r>
      <w:r w:rsidRPr="0021450B">
        <w:rPr>
          <w:rFonts w:ascii="Verdana" w:hAnsi="Verdana"/>
          <w:sz w:val="18"/>
          <w:szCs w:val="18"/>
          <w:lang w:val="nl-NL"/>
        </w:rPr>
        <w:t xml:space="preserve">pensioen- of lijfrentepremies of </w:t>
      </w:r>
      <w:r w:rsidRPr="0021450B" w:rsidR="000B1658">
        <w:rPr>
          <w:rFonts w:ascii="Verdana" w:hAnsi="Verdana"/>
          <w:sz w:val="18"/>
          <w:szCs w:val="18"/>
          <w:lang w:val="nl-NL"/>
        </w:rPr>
        <w:t xml:space="preserve">een vrijstelling voor </w:t>
      </w:r>
      <w:r w:rsidRPr="0021450B" w:rsidR="0067227D">
        <w:rPr>
          <w:rFonts w:ascii="Verdana" w:hAnsi="Verdana"/>
          <w:sz w:val="18"/>
          <w:szCs w:val="18"/>
          <w:lang w:val="nl-NL"/>
        </w:rPr>
        <w:t>pensioenaansprak</w:t>
      </w:r>
      <w:r w:rsidRPr="00BA2B89" w:rsidR="0067227D">
        <w:rPr>
          <w:rFonts w:ascii="Verdana" w:hAnsi="Verdana"/>
          <w:sz w:val="18"/>
          <w:szCs w:val="18"/>
          <w:lang w:val="nl-NL"/>
        </w:rPr>
        <w:t>en</w:t>
      </w:r>
      <w:r w:rsidRPr="00B6639D">
        <w:rPr>
          <w:rFonts w:ascii="Verdana" w:hAnsi="Verdana"/>
          <w:sz w:val="18"/>
          <w:szCs w:val="18"/>
          <w:lang w:val="nl-NL"/>
        </w:rPr>
        <w:t xml:space="preserve">. Deze bepaling </w:t>
      </w:r>
      <w:r w:rsidRPr="006C1373" w:rsidR="000B1658">
        <w:rPr>
          <w:rFonts w:ascii="Verdana" w:hAnsi="Verdana"/>
          <w:sz w:val="18"/>
          <w:szCs w:val="18"/>
          <w:lang w:val="nl-NL"/>
        </w:rPr>
        <w:t xml:space="preserve">verduidelijkt </w:t>
      </w:r>
      <w:r w:rsidRPr="00DD3563">
        <w:rPr>
          <w:rFonts w:ascii="Verdana" w:hAnsi="Verdana"/>
          <w:sz w:val="18"/>
          <w:szCs w:val="18"/>
          <w:lang w:val="nl-NL"/>
        </w:rPr>
        <w:t xml:space="preserve">ook dat door de overdracht van pensioenkapitaal naar een pensioenfonds </w:t>
      </w:r>
      <w:r w:rsidRPr="00DD3563" w:rsidR="000B1658">
        <w:rPr>
          <w:rFonts w:ascii="Verdana" w:hAnsi="Verdana"/>
          <w:sz w:val="18"/>
          <w:szCs w:val="18"/>
          <w:lang w:val="nl-NL"/>
        </w:rPr>
        <w:t xml:space="preserve">of verzekeringsmaatschappij </w:t>
      </w:r>
      <w:r w:rsidRPr="003F7CD6">
        <w:rPr>
          <w:rFonts w:ascii="Verdana" w:hAnsi="Verdana"/>
          <w:sz w:val="18"/>
          <w:szCs w:val="18"/>
          <w:lang w:val="nl-NL"/>
        </w:rPr>
        <w:t xml:space="preserve">in een andere </w:t>
      </w:r>
      <w:r w:rsidR="003103E7">
        <w:rPr>
          <w:rFonts w:ascii="Verdana" w:hAnsi="Verdana"/>
          <w:sz w:val="18"/>
          <w:szCs w:val="18"/>
          <w:lang w:val="nl-NL"/>
        </w:rPr>
        <w:t>staat</w:t>
      </w:r>
      <w:r w:rsidRPr="00606D22">
        <w:rPr>
          <w:rFonts w:ascii="Verdana" w:hAnsi="Verdana"/>
          <w:sz w:val="18"/>
          <w:szCs w:val="18"/>
          <w:lang w:val="nl-NL"/>
        </w:rPr>
        <w:t xml:space="preserve"> het heffingsrecht van de </w:t>
      </w:r>
      <w:r w:rsidR="00F53EA5">
        <w:rPr>
          <w:rFonts w:ascii="Verdana" w:hAnsi="Verdana"/>
          <w:sz w:val="18"/>
          <w:szCs w:val="18"/>
          <w:lang w:val="nl-NL"/>
        </w:rPr>
        <w:t xml:space="preserve">verdragsluitende </w:t>
      </w:r>
      <w:r w:rsidR="003103E7">
        <w:rPr>
          <w:rFonts w:ascii="Verdana" w:hAnsi="Verdana"/>
          <w:sz w:val="18"/>
          <w:szCs w:val="18"/>
          <w:lang w:val="nl-NL"/>
        </w:rPr>
        <w:t>staat</w:t>
      </w:r>
      <w:r w:rsidRPr="00BD4E1D">
        <w:rPr>
          <w:rFonts w:ascii="Verdana" w:hAnsi="Verdana"/>
          <w:sz w:val="18"/>
          <w:szCs w:val="18"/>
          <w:lang w:val="nl-NL"/>
        </w:rPr>
        <w:t xml:space="preserve"> waar het pensioenkapitaal tot dan toe was ondergebracht, niet wordt aangetast. </w:t>
      </w:r>
    </w:p>
    <w:p w:rsidRPr="003103E7" w:rsidR="007B4F2C" w:rsidP="00CD077B" w:rsidRDefault="007B4F2C" w14:paraId="441F01B5" w14:textId="77777777">
      <w:pPr>
        <w:rPr>
          <w:rFonts w:ascii="Verdana" w:hAnsi="Verdana"/>
          <w:sz w:val="18"/>
          <w:szCs w:val="18"/>
          <w:lang w:val="nl-NL"/>
        </w:rPr>
      </w:pPr>
      <w:r w:rsidRPr="00BD4E1D">
        <w:rPr>
          <w:rFonts w:ascii="Verdana" w:hAnsi="Verdana"/>
          <w:sz w:val="18"/>
          <w:szCs w:val="18"/>
          <w:lang w:val="nl-NL"/>
        </w:rPr>
        <w:t xml:space="preserve">Het vierde lid bevat de definitie van de uitdrukking </w:t>
      </w:r>
      <w:r w:rsidRPr="00E01754" w:rsidR="008B4C25">
        <w:rPr>
          <w:rFonts w:ascii="Verdana" w:hAnsi="Verdana"/>
          <w:sz w:val="18"/>
          <w:szCs w:val="18"/>
          <w:lang w:val="nl-NL"/>
        </w:rPr>
        <w:t>‘</w:t>
      </w:r>
      <w:r w:rsidRPr="00E01754">
        <w:rPr>
          <w:rFonts w:ascii="Verdana" w:hAnsi="Verdana"/>
          <w:sz w:val="18"/>
          <w:szCs w:val="18"/>
          <w:lang w:val="nl-NL"/>
        </w:rPr>
        <w:t>lijfrente</w:t>
      </w:r>
      <w:r w:rsidRPr="00E01754" w:rsidR="008B4C25">
        <w:rPr>
          <w:rFonts w:ascii="Verdana" w:hAnsi="Verdana"/>
          <w:sz w:val="18"/>
          <w:szCs w:val="18"/>
          <w:lang w:val="nl-NL"/>
        </w:rPr>
        <w:t>’</w:t>
      </w:r>
      <w:r w:rsidRPr="003103E7">
        <w:rPr>
          <w:rFonts w:ascii="Verdana" w:hAnsi="Verdana"/>
          <w:sz w:val="18"/>
          <w:szCs w:val="18"/>
          <w:lang w:val="nl-NL"/>
        </w:rPr>
        <w:t xml:space="preserve">, waarbij verschillende definities gelden voor het Europese deel van Nederland, voor het Caribische deel van Nederland en voor Bulgarije. </w:t>
      </w:r>
    </w:p>
    <w:p w:rsidRPr="003657E3" w:rsidR="00660A85" w:rsidP="00CD077B" w:rsidRDefault="00D14705" w14:paraId="74914941" w14:textId="77777777">
      <w:pPr>
        <w:rPr>
          <w:rFonts w:ascii="Verdana" w:hAnsi="Verdana"/>
          <w:sz w:val="18"/>
          <w:szCs w:val="18"/>
          <w:lang w:val="nl-NL"/>
        </w:rPr>
      </w:pPr>
      <w:r w:rsidRPr="003103E7">
        <w:rPr>
          <w:rFonts w:ascii="Verdana" w:hAnsi="Verdana"/>
          <w:sz w:val="18"/>
          <w:szCs w:val="18"/>
          <w:lang w:val="nl-NL"/>
        </w:rPr>
        <w:t>H</w:t>
      </w:r>
      <w:r w:rsidRPr="003103E7" w:rsidR="007B4F2C">
        <w:rPr>
          <w:rFonts w:ascii="Verdana" w:hAnsi="Verdana"/>
          <w:sz w:val="18"/>
          <w:szCs w:val="18"/>
          <w:lang w:val="nl-NL"/>
        </w:rPr>
        <w:t>et vijfde lid</w:t>
      </w:r>
      <w:r w:rsidRPr="003103E7">
        <w:rPr>
          <w:rFonts w:ascii="Verdana" w:hAnsi="Verdana"/>
          <w:sz w:val="18"/>
          <w:szCs w:val="18"/>
          <w:lang w:val="nl-NL"/>
        </w:rPr>
        <w:t xml:space="preserve"> bevestigt dat ook afkoopsommen (voor de ingangsdatum) van pensioenen, ande</w:t>
      </w:r>
      <w:r w:rsidRPr="003657E3">
        <w:rPr>
          <w:rFonts w:ascii="Verdana" w:hAnsi="Verdana"/>
          <w:sz w:val="18"/>
          <w:szCs w:val="18"/>
          <w:lang w:val="nl-NL"/>
        </w:rPr>
        <w:t xml:space="preserve">re soortgelijke beloningen en lijfrenten </w:t>
      </w:r>
      <w:r w:rsidR="004120D8">
        <w:rPr>
          <w:rFonts w:ascii="Verdana" w:hAnsi="Verdana"/>
          <w:sz w:val="18"/>
          <w:szCs w:val="18"/>
          <w:lang w:val="nl-NL"/>
        </w:rPr>
        <w:t>ook volgens de bepaling</w:t>
      </w:r>
      <w:r w:rsidR="00F53EA5">
        <w:rPr>
          <w:rFonts w:ascii="Verdana" w:hAnsi="Verdana"/>
          <w:sz w:val="18"/>
          <w:szCs w:val="18"/>
          <w:lang w:val="nl-NL"/>
        </w:rPr>
        <w:t>en</w:t>
      </w:r>
      <w:r w:rsidR="004120D8">
        <w:rPr>
          <w:rFonts w:ascii="Verdana" w:hAnsi="Verdana"/>
          <w:sz w:val="18"/>
          <w:szCs w:val="18"/>
          <w:lang w:val="nl-NL"/>
        </w:rPr>
        <w:t xml:space="preserve"> van dit artikel</w:t>
      </w:r>
      <w:r w:rsidRPr="003657E3">
        <w:rPr>
          <w:rFonts w:ascii="Verdana" w:hAnsi="Verdana"/>
          <w:sz w:val="18"/>
          <w:szCs w:val="18"/>
          <w:lang w:val="nl-NL"/>
        </w:rPr>
        <w:t xml:space="preserve"> mogen worden belast in de bronstaat. </w:t>
      </w:r>
    </w:p>
    <w:p w:rsidRPr="00BD0016" w:rsidR="00660A85" w:rsidP="00CD077B" w:rsidRDefault="006569E3" w14:paraId="04B42DEA" w14:textId="245D732D">
      <w:pPr>
        <w:rPr>
          <w:rFonts w:ascii="Verdana" w:hAnsi="Verdana"/>
          <w:sz w:val="18"/>
          <w:szCs w:val="18"/>
          <w:lang w:val="nl-NL"/>
        </w:rPr>
      </w:pPr>
      <w:r w:rsidRPr="00CB4452">
        <w:rPr>
          <w:rFonts w:ascii="Verdana" w:hAnsi="Verdana"/>
          <w:sz w:val="18"/>
          <w:szCs w:val="18"/>
          <w:lang w:val="nl-NL"/>
        </w:rPr>
        <w:t xml:space="preserve">Voor bestaande pensioenen of </w:t>
      </w:r>
      <w:r w:rsidRPr="00CB4452" w:rsidR="002D5B03">
        <w:rPr>
          <w:rFonts w:ascii="Verdana" w:hAnsi="Verdana"/>
          <w:sz w:val="18"/>
          <w:szCs w:val="18"/>
          <w:lang w:val="nl-NL"/>
        </w:rPr>
        <w:t xml:space="preserve">andere </w:t>
      </w:r>
      <w:r w:rsidRPr="00CB4452">
        <w:rPr>
          <w:rFonts w:ascii="Verdana" w:hAnsi="Verdana"/>
          <w:sz w:val="18"/>
          <w:szCs w:val="18"/>
          <w:lang w:val="nl-NL"/>
        </w:rPr>
        <w:t>soor</w:t>
      </w:r>
      <w:r w:rsidRPr="00CB4452" w:rsidR="00463215">
        <w:rPr>
          <w:rFonts w:ascii="Verdana" w:hAnsi="Verdana"/>
          <w:sz w:val="18"/>
          <w:szCs w:val="18"/>
          <w:lang w:val="nl-NL"/>
        </w:rPr>
        <w:t>t</w:t>
      </w:r>
      <w:r w:rsidRPr="006515E9">
        <w:rPr>
          <w:rFonts w:ascii="Verdana" w:hAnsi="Verdana"/>
          <w:sz w:val="18"/>
          <w:szCs w:val="18"/>
          <w:lang w:val="nl-NL"/>
        </w:rPr>
        <w:t xml:space="preserve">gelijke beloningen is </w:t>
      </w:r>
      <w:r w:rsidRPr="006515E9" w:rsidR="00B1627F">
        <w:rPr>
          <w:rFonts w:ascii="Verdana" w:hAnsi="Verdana"/>
          <w:sz w:val="18"/>
          <w:szCs w:val="18"/>
          <w:lang w:val="nl-NL"/>
        </w:rPr>
        <w:t xml:space="preserve">in artikel 30, vierde lid, </w:t>
      </w:r>
      <w:r w:rsidRPr="006515E9">
        <w:rPr>
          <w:rFonts w:ascii="Verdana" w:hAnsi="Verdana"/>
          <w:sz w:val="18"/>
          <w:szCs w:val="18"/>
          <w:lang w:val="nl-NL"/>
        </w:rPr>
        <w:t>een overgangsregeling getroffen. Hierop blij</w:t>
      </w:r>
      <w:r w:rsidRPr="006515E9" w:rsidR="00B1627F">
        <w:rPr>
          <w:rFonts w:ascii="Verdana" w:hAnsi="Verdana"/>
          <w:sz w:val="18"/>
          <w:szCs w:val="18"/>
          <w:lang w:val="nl-NL"/>
        </w:rPr>
        <w:t>ven de bepalingen van</w:t>
      </w:r>
      <w:r w:rsidRPr="006515E9">
        <w:rPr>
          <w:rFonts w:ascii="Verdana" w:hAnsi="Verdana"/>
          <w:sz w:val="18"/>
          <w:szCs w:val="18"/>
          <w:lang w:val="nl-NL"/>
        </w:rPr>
        <w:t xml:space="preserve"> het </w:t>
      </w:r>
      <w:r w:rsidRPr="0018301C" w:rsidR="002D5B03">
        <w:rPr>
          <w:rFonts w:ascii="Verdana" w:hAnsi="Verdana"/>
          <w:sz w:val="18"/>
          <w:szCs w:val="18"/>
          <w:lang w:val="nl-NL"/>
        </w:rPr>
        <w:t xml:space="preserve">Verdrag </w:t>
      </w:r>
      <w:r w:rsidRPr="0018301C" w:rsidR="00556990">
        <w:rPr>
          <w:rFonts w:ascii="Verdana" w:hAnsi="Verdana"/>
          <w:sz w:val="18"/>
          <w:szCs w:val="18"/>
          <w:lang w:val="nl-NL"/>
        </w:rPr>
        <w:t xml:space="preserve">van </w:t>
      </w:r>
      <w:r w:rsidRPr="0018301C" w:rsidR="00074997">
        <w:rPr>
          <w:rFonts w:ascii="Verdana" w:hAnsi="Verdana"/>
          <w:sz w:val="18"/>
          <w:szCs w:val="18"/>
          <w:lang w:val="nl-NL"/>
        </w:rPr>
        <w:t xml:space="preserve">1990 van toepassing, tenzij deze beloningen niet </w:t>
      </w:r>
      <w:r w:rsidRPr="0018301C" w:rsidR="000B1658">
        <w:rPr>
          <w:rFonts w:ascii="Verdana" w:hAnsi="Verdana"/>
          <w:sz w:val="18"/>
          <w:szCs w:val="18"/>
          <w:lang w:val="nl-NL"/>
        </w:rPr>
        <w:t xml:space="preserve">zijn </w:t>
      </w:r>
      <w:r w:rsidRPr="0018301C" w:rsidR="00074997">
        <w:rPr>
          <w:rFonts w:ascii="Verdana" w:hAnsi="Verdana"/>
          <w:sz w:val="18"/>
          <w:szCs w:val="18"/>
          <w:lang w:val="nl-NL"/>
        </w:rPr>
        <w:t>onderworpen aan belastingheffing</w:t>
      </w:r>
      <w:r w:rsidRPr="00490FAB" w:rsidR="00B1627F">
        <w:rPr>
          <w:rFonts w:ascii="Verdana" w:hAnsi="Verdana"/>
          <w:sz w:val="18"/>
          <w:szCs w:val="18"/>
          <w:lang w:val="nl-NL"/>
        </w:rPr>
        <w:t xml:space="preserve"> in de woonstaat van de gerechtigde tot deze inkomsten</w:t>
      </w:r>
      <w:r w:rsidRPr="00EC1AE5" w:rsidR="00074997">
        <w:rPr>
          <w:rFonts w:ascii="Verdana" w:hAnsi="Verdana"/>
          <w:sz w:val="18"/>
          <w:szCs w:val="18"/>
          <w:lang w:val="nl-NL"/>
        </w:rPr>
        <w:t>.</w:t>
      </w:r>
      <w:r w:rsidRPr="00EC1AE5" w:rsidR="000B1658">
        <w:rPr>
          <w:rFonts w:ascii="Verdana" w:hAnsi="Verdana"/>
          <w:sz w:val="18"/>
          <w:szCs w:val="18"/>
          <w:lang w:val="nl-NL"/>
        </w:rPr>
        <w:t xml:space="preserve"> </w:t>
      </w:r>
      <w:r w:rsidRPr="00EC1AE5" w:rsidR="009A4790">
        <w:rPr>
          <w:rFonts w:ascii="Verdana" w:hAnsi="Verdana"/>
          <w:sz w:val="18"/>
          <w:szCs w:val="18"/>
          <w:lang w:val="nl-NL"/>
        </w:rPr>
        <w:t xml:space="preserve">Voor inwoners van Bulgarije </w:t>
      </w:r>
      <w:r w:rsidRPr="00EC1AE5" w:rsidR="000B1658">
        <w:rPr>
          <w:rFonts w:ascii="Verdana" w:hAnsi="Verdana"/>
          <w:sz w:val="18"/>
          <w:szCs w:val="18"/>
          <w:lang w:val="nl-NL"/>
        </w:rPr>
        <w:t xml:space="preserve">met een uit Nederland afkomstig fiscaal gefaciliteerd pensioen </w:t>
      </w:r>
      <w:r w:rsidRPr="001F1D4E" w:rsidR="009A4790">
        <w:rPr>
          <w:rFonts w:ascii="Verdana" w:hAnsi="Verdana"/>
          <w:sz w:val="18"/>
          <w:szCs w:val="18"/>
          <w:lang w:val="nl-NL"/>
        </w:rPr>
        <w:t xml:space="preserve">betekent dit dat </w:t>
      </w:r>
      <w:r w:rsidRPr="001F1D4E" w:rsidR="000B1658">
        <w:rPr>
          <w:rFonts w:ascii="Verdana" w:hAnsi="Verdana"/>
          <w:sz w:val="18"/>
          <w:szCs w:val="18"/>
          <w:lang w:val="nl-NL"/>
        </w:rPr>
        <w:t>in de praktijk geen aanspraak op overgangsrecht bestaat</w:t>
      </w:r>
      <w:r w:rsidRPr="00946BD2" w:rsidR="009A4790">
        <w:rPr>
          <w:rFonts w:ascii="Verdana" w:hAnsi="Verdana"/>
          <w:sz w:val="18"/>
          <w:szCs w:val="18"/>
          <w:lang w:val="nl-NL"/>
        </w:rPr>
        <w:t>, gezien het feit dat in Bulgarije pensioenen niet zijn onderworpen aan belastingheffing.</w:t>
      </w:r>
      <w:r w:rsidRPr="00946BD2" w:rsidR="000B1658">
        <w:rPr>
          <w:rFonts w:ascii="Verdana" w:hAnsi="Verdana"/>
          <w:sz w:val="18"/>
          <w:szCs w:val="18"/>
          <w:lang w:val="nl-NL"/>
        </w:rPr>
        <w:t xml:space="preserve"> </w:t>
      </w:r>
      <w:r w:rsidRPr="00F74C97" w:rsidR="00F74C97">
        <w:rPr>
          <w:rFonts w:ascii="Verdana" w:hAnsi="Verdana"/>
          <w:sz w:val="18"/>
          <w:szCs w:val="18"/>
          <w:lang w:val="nl-NL"/>
        </w:rPr>
        <w:t>Bij bestaande pensioenen of andere soortgelijke beloningen gaat het om pensioenen, respectievelijk andere soortgelijke beloningen, die reeds zijn ingegaan op het moment van inwerkingtreding van het Verdrag</w:t>
      </w:r>
      <w:r w:rsidR="00F74C97">
        <w:rPr>
          <w:rFonts w:ascii="Verdana" w:hAnsi="Verdana"/>
          <w:sz w:val="18"/>
          <w:szCs w:val="18"/>
          <w:lang w:val="nl-NL"/>
        </w:rPr>
        <w:t>.</w:t>
      </w:r>
    </w:p>
    <w:p w:rsidRPr="007024F8" w:rsidR="00117E52" w:rsidP="00CD077B" w:rsidRDefault="00117E52" w14:paraId="0F5221AF" w14:textId="77777777">
      <w:pPr>
        <w:ind w:firstLine="0"/>
        <w:rPr>
          <w:rFonts w:ascii="Verdana" w:hAnsi="Verdana"/>
          <w:sz w:val="18"/>
          <w:szCs w:val="18"/>
          <w:lang w:val="nl-NL"/>
        </w:rPr>
      </w:pPr>
    </w:p>
    <w:p w:rsidRPr="00916448" w:rsidR="0098550F" w:rsidP="00CD077B" w:rsidRDefault="00873B6E" w14:paraId="5CE2E87A" w14:textId="77777777">
      <w:pPr>
        <w:pStyle w:val="Kop2"/>
        <w:numPr>
          <w:ilvl w:val="0"/>
          <w:numId w:val="0"/>
        </w:numPr>
        <w:spacing w:before="0" w:after="0"/>
        <w:rPr>
          <w:rFonts w:ascii="Verdana" w:hAnsi="Verdana"/>
          <w:sz w:val="18"/>
          <w:szCs w:val="18"/>
          <w:lang w:val="nl-NL"/>
        </w:rPr>
      </w:pPr>
      <w:r w:rsidRPr="00556990">
        <w:rPr>
          <w:rFonts w:ascii="Verdana" w:hAnsi="Verdana"/>
          <w:b w:val="0"/>
          <w:i/>
          <w:sz w:val="18"/>
          <w:szCs w:val="18"/>
          <w:lang w:val="nl-NL"/>
        </w:rPr>
        <w:t>II.18. Overheidsfuncties (artikel 18</w:t>
      </w:r>
      <w:r w:rsidRPr="00916448" w:rsidR="00916448">
        <w:rPr>
          <w:rFonts w:ascii="Verdana" w:hAnsi="Verdana"/>
          <w:b w:val="0"/>
          <w:i/>
          <w:sz w:val="18"/>
          <w:szCs w:val="18"/>
          <w:lang w:val="nl-NL"/>
        </w:rPr>
        <w:t xml:space="preserve"> van het Verdrag</w:t>
      </w:r>
      <w:r w:rsidRPr="00916448">
        <w:rPr>
          <w:rFonts w:ascii="Verdana" w:hAnsi="Verdana"/>
          <w:b w:val="0"/>
          <w:i/>
          <w:sz w:val="18"/>
          <w:szCs w:val="18"/>
          <w:lang w:val="nl-NL"/>
        </w:rPr>
        <w:t>)</w:t>
      </w:r>
      <w:r w:rsidRPr="00916448" w:rsidR="00500251">
        <w:rPr>
          <w:rFonts w:ascii="Verdana" w:hAnsi="Verdana"/>
          <w:b w:val="0"/>
          <w:i/>
          <w:sz w:val="18"/>
          <w:szCs w:val="18"/>
          <w:lang w:val="nl-NL"/>
        </w:rPr>
        <w:br/>
      </w:r>
    </w:p>
    <w:p w:rsidRPr="00BC6175" w:rsidR="00660A85" w:rsidP="00CD077B" w:rsidRDefault="0051196A" w14:paraId="07FD691D" w14:textId="77777777">
      <w:pPr>
        <w:ind w:firstLine="720"/>
        <w:rPr>
          <w:rFonts w:ascii="Verdana" w:hAnsi="Verdana"/>
          <w:sz w:val="18"/>
          <w:szCs w:val="18"/>
          <w:lang w:val="nl-NL"/>
        </w:rPr>
      </w:pPr>
      <w:r w:rsidRPr="00780A5E">
        <w:rPr>
          <w:rFonts w:ascii="Verdana" w:hAnsi="Verdana"/>
          <w:sz w:val="18"/>
          <w:szCs w:val="18"/>
          <w:lang w:val="nl-NL"/>
        </w:rPr>
        <w:t xml:space="preserve">Deze bepaling regelt de toewijzing van het heffingsrecht over alle inkomsten die worden ontvangen door een natuurlijk persoon vanwege werkzaamheden die (in dienstverband) voor de overheid zijn verricht. Volgens het eerste lid, onderdeel a, mogen deze inkomsten worden belast in de </w:t>
      </w:r>
      <w:r w:rsidR="0021450B">
        <w:rPr>
          <w:rFonts w:ascii="Verdana" w:hAnsi="Verdana"/>
          <w:sz w:val="18"/>
          <w:szCs w:val="18"/>
          <w:lang w:val="nl-NL"/>
        </w:rPr>
        <w:t>verdragsluitende staat</w:t>
      </w:r>
      <w:r w:rsidRPr="00780A5E">
        <w:rPr>
          <w:rFonts w:ascii="Verdana" w:hAnsi="Verdana"/>
          <w:sz w:val="18"/>
          <w:szCs w:val="18"/>
          <w:lang w:val="nl-NL"/>
        </w:rPr>
        <w:t xml:space="preserve"> die deze beloningen betaalt (de zogenoemde kasstaat). </w:t>
      </w:r>
    </w:p>
    <w:p w:rsidRPr="00780A5E" w:rsidR="00660A85" w:rsidP="00CD077B" w:rsidRDefault="0051196A" w14:paraId="1FB63A61" w14:textId="77777777">
      <w:pPr>
        <w:ind w:firstLine="720"/>
        <w:rPr>
          <w:rFonts w:ascii="Verdana" w:hAnsi="Verdana"/>
          <w:sz w:val="18"/>
          <w:szCs w:val="18"/>
          <w:lang w:val="nl-NL"/>
        </w:rPr>
      </w:pPr>
      <w:r w:rsidRPr="00BC6175">
        <w:rPr>
          <w:rFonts w:ascii="Verdana" w:hAnsi="Verdana" w:cs="Arial"/>
          <w:sz w:val="18"/>
          <w:szCs w:val="18"/>
          <w:lang w:val="nl-NL"/>
        </w:rPr>
        <w:t xml:space="preserve">Het eerste lid, onderdeel b, maakt op deze kasstaatheffing een uitzondering. De </w:t>
      </w:r>
      <w:r w:rsidR="003103E7">
        <w:rPr>
          <w:rFonts w:ascii="Verdana" w:hAnsi="Verdana" w:cs="Arial"/>
          <w:sz w:val="18"/>
          <w:szCs w:val="18"/>
          <w:lang w:val="nl-NL"/>
        </w:rPr>
        <w:t>staat</w:t>
      </w:r>
      <w:r w:rsidRPr="00CF22A8">
        <w:rPr>
          <w:rFonts w:ascii="Verdana" w:hAnsi="Verdana" w:cs="Arial"/>
          <w:sz w:val="18"/>
          <w:szCs w:val="18"/>
          <w:lang w:val="nl-NL"/>
        </w:rPr>
        <w:t xml:space="preserve"> waarin de werkzaamheden daadwerkelijk worden verricht (werkstaat) heeft het heffingsrecht indien de werknemer inwoner is van de werkstaat en tevens de nationaliteit heeft van die </w:t>
      </w:r>
      <w:r w:rsidR="003103E7">
        <w:rPr>
          <w:rFonts w:ascii="Verdana" w:hAnsi="Verdana" w:cs="Arial"/>
          <w:sz w:val="18"/>
          <w:szCs w:val="18"/>
          <w:lang w:val="nl-NL"/>
        </w:rPr>
        <w:t>staat</w:t>
      </w:r>
      <w:r w:rsidRPr="005C1870">
        <w:rPr>
          <w:rFonts w:ascii="Verdana" w:hAnsi="Verdana" w:cs="Arial"/>
          <w:sz w:val="18"/>
          <w:szCs w:val="18"/>
          <w:lang w:val="nl-NL"/>
        </w:rPr>
        <w:t xml:space="preserve">, of niet alleen inwoner van die </w:t>
      </w:r>
      <w:r w:rsidR="003103E7">
        <w:rPr>
          <w:rFonts w:ascii="Verdana" w:hAnsi="Verdana" w:cs="Arial"/>
          <w:sz w:val="18"/>
          <w:szCs w:val="18"/>
          <w:lang w:val="nl-NL"/>
        </w:rPr>
        <w:t>staat</w:t>
      </w:r>
      <w:r w:rsidRPr="00916448">
        <w:rPr>
          <w:rFonts w:ascii="Verdana" w:hAnsi="Verdana" w:cs="Arial"/>
          <w:sz w:val="18"/>
          <w:szCs w:val="18"/>
          <w:lang w:val="nl-NL"/>
        </w:rPr>
        <w:t xml:space="preserve"> is geworden om daar werk te verrichten voor de overheid van de andere </w:t>
      </w:r>
      <w:r w:rsidR="003103E7">
        <w:rPr>
          <w:rFonts w:ascii="Verdana" w:hAnsi="Verdana" w:cs="Arial"/>
          <w:sz w:val="18"/>
          <w:szCs w:val="18"/>
          <w:lang w:val="nl-NL"/>
        </w:rPr>
        <w:t>staat</w:t>
      </w:r>
      <w:r w:rsidRPr="00916448">
        <w:rPr>
          <w:rFonts w:ascii="Verdana" w:hAnsi="Verdana" w:cs="Arial"/>
          <w:sz w:val="18"/>
          <w:szCs w:val="18"/>
          <w:lang w:val="nl-NL"/>
        </w:rPr>
        <w:t>. Deze uitzondering strekt ertoe lokaal aangeworven medewerkers van bijvoorbeeld een ambassade</w:t>
      </w:r>
      <w:r w:rsidR="004120D8">
        <w:rPr>
          <w:rFonts w:ascii="Verdana" w:hAnsi="Verdana" w:cs="Arial"/>
          <w:sz w:val="18"/>
          <w:szCs w:val="18"/>
          <w:lang w:val="nl-NL"/>
        </w:rPr>
        <w:t xml:space="preserve"> enkel</w:t>
      </w:r>
      <w:r w:rsidRPr="00916448">
        <w:rPr>
          <w:rFonts w:ascii="Verdana" w:hAnsi="Verdana" w:cs="Arial"/>
          <w:sz w:val="18"/>
          <w:szCs w:val="18"/>
          <w:lang w:val="nl-NL"/>
        </w:rPr>
        <w:t xml:space="preserve"> in hun woonstaat belastingplichtig te laten zijn in plaats van</w:t>
      </w:r>
      <w:r w:rsidR="004120D8">
        <w:rPr>
          <w:rFonts w:ascii="Verdana" w:hAnsi="Verdana" w:cs="Arial"/>
          <w:sz w:val="18"/>
          <w:szCs w:val="18"/>
          <w:lang w:val="nl-NL"/>
        </w:rPr>
        <w:t xml:space="preserve"> ook</w:t>
      </w:r>
      <w:r w:rsidRPr="00916448">
        <w:rPr>
          <w:rFonts w:ascii="Verdana" w:hAnsi="Verdana" w:cs="Arial"/>
          <w:sz w:val="18"/>
          <w:szCs w:val="18"/>
          <w:lang w:val="nl-NL"/>
        </w:rPr>
        <w:t xml:space="preserve"> in de </w:t>
      </w:r>
      <w:r w:rsidR="003103E7">
        <w:rPr>
          <w:rFonts w:ascii="Verdana" w:hAnsi="Verdana" w:cs="Arial"/>
          <w:sz w:val="18"/>
          <w:szCs w:val="18"/>
          <w:lang w:val="nl-NL"/>
        </w:rPr>
        <w:t>staat</w:t>
      </w:r>
      <w:r w:rsidRPr="00916448">
        <w:rPr>
          <w:rFonts w:ascii="Verdana" w:hAnsi="Verdana" w:cs="Arial"/>
          <w:sz w:val="18"/>
          <w:szCs w:val="18"/>
          <w:lang w:val="nl-NL"/>
        </w:rPr>
        <w:t xml:space="preserve"> bij wiens ambassade zij werkzaam zijn. </w:t>
      </w:r>
    </w:p>
    <w:p w:rsidRPr="00BA2B89" w:rsidR="00A47BAE" w:rsidP="00CD077B" w:rsidRDefault="0051196A" w14:paraId="2CEA6199" w14:textId="77777777">
      <w:pPr>
        <w:rPr>
          <w:rFonts w:ascii="Verdana" w:hAnsi="Verdana"/>
          <w:sz w:val="18"/>
          <w:szCs w:val="18"/>
          <w:lang w:val="nl-NL"/>
        </w:rPr>
      </w:pPr>
      <w:r w:rsidRPr="00780A5E">
        <w:rPr>
          <w:rFonts w:ascii="Verdana" w:hAnsi="Verdana" w:cs="Arial"/>
          <w:sz w:val="18"/>
          <w:szCs w:val="18"/>
          <w:lang w:val="nl-NL"/>
        </w:rPr>
        <w:t xml:space="preserve">Ingevolge het tweede lid geldt de in het eerste lid opgenomen heffingsrechtverdeling niet voor inkomsten die worden ontvangen voor werkzaamheden die worden verricht voor een door de overheid gedreven onderneming. In dat geval gelden andere artikelen van het Verdrag: </w:t>
      </w:r>
      <w:r w:rsidRPr="00780A5E">
        <w:rPr>
          <w:rFonts w:ascii="Verdana" w:hAnsi="Verdana"/>
          <w:sz w:val="18"/>
          <w:szCs w:val="18"/>
          <w:lang w:val="nl-NL"/>
        </w:rPr>
        <w:t>artikel 14</w:t>
      </w:r>
      <w:r w:rsidRPr="000819E4">
        <w:rPr>
          <w:rFonts w:ascii="Verdana" w:hAnsi="Verdana" w:cs="Arial"/>
          <w:sz w:val="18"/>
          <w:szCs w:val="18"/>
          <w:lang w:val="nl-NL"/>
        </w:rPr>
        <w:t xml:space="preserve"> (inkomsten uit dienstbetrekking), artikel 15 (directeursbeloningen), artikel 16 (a</w:t>
      </w:r>
      <w:r w:rsidRPr="0021450B">
        <w:rPr>
          <w:rFonts w:ascii="Verdana" w:hAnsi="Verdana"/>
          <w:sz w:val="18"/>
          <w:szCs w:val="18"/>
          <w:lang w:val="nl-NL"/>
        </w:rPr>
        <w:t xml:space="preserve">rtiesten en sportbeoefenaars) </w:t>
      </w:r>
      <w:r w:rsidR="004120D8">
        <w:rPr>
          <w:rFonts w:ascii="Verdana" w:hAnsi="Verdana" w:cs="Arial"/>
          <w:sz w:val="18"/>
          <w:szCs w:val="18"/>
          <w:lang w:val="nl-NL"/>
        </w:rPr>
        <w:t>of artikel 1</w:t>
      </w:r>
      <w:r w:rsidR="003F4F94">
        <w:rPr>
          <w:rFonts w:ascii="Verdana" w:hAnsi="Verdana" w:cs="Arial"/>
          <w:sz w:val="18"/>
          <w:szCs w:val="18"/>
          <w:lang w:val="nl-NL"/>
        </w:rPr>
        <w:t>7</w:t>
      </w:r>
      <w:r w:rsidRPr="0021450B">
        <w:rPr>
          <w:rFonts w:ascii="Verdana" w:hAnsi="Verdana" w:cs="Arial"/>
          <w:sz w:val="18"/>
          <w:szCs w:val="18"/>
          <w:lang w:val="nl-NL"/>
        </w:rPr>
        <w:t xml:space="preserve"> (pe</w:t>
      </w:r>
      <w:r w:rsidRPr="0021450B" w:rsidR="00BD4A16">
        <w:rPr>
          <w:rFonts w:ascii="Verdana" w:hAnsi="Verdana" w:cs="Arial"/>
          <w:sz w:val="18"/>
          <w:szCs w:val="18"/>
          <w:lang w:val="nl-NL"/>
        </w:rPr>
        <w:t>nsioenen, lijfrenten en sociale</w:t>
      </w:r>
      <w:r w:rsidRPr="0021450B">
        <w:rPr>
          <w:rFonts w:ascii="Verdana" w:hAnsi="Verdana" w:cs="Arial"/>
          <w:sz w:val="18"/>
          <w:szCs w:val="18"/>
          <w:lang w:val="nl-NL"/>
        </w:rPr>
        <w:t>zekerheidsuitkeringen).</w:t>
      </w:r>
    </w:p>
    <w:p w:rsidRPr="003F7CD6" w:rsidR="00660A85" w:rsidP="00CD077B" w:rsidRDefault="0051196A" w14:paraId="36AEF390" w14:textId="473F9CF7">
      <w:pPr>
        <w:rPr>
          <w:rFonts w:ascii="Verdana" w:hAnsi="Verdana"/>
          <w:sz w:val="18"/>
          <w:szCs w:val="18"/>
          <w:lang w:val="nl-NL"/>
        </w:rPr>
      </w:pPr>
      <w:r w:rsidRPr="006C1373">
        <w:rPr>
          <w:rFonts w:ascii="Verdana" w:hAnsi="Verdana"/>
          <w:sz w:val="18"/>
          <w:szCs w:val="18"/>
          <w:lang w:val="nl-NL"/>
        </w:rPr>
        <w:lastRenderedPageBreak/>
        <w:t xml:space="preserve">Omdat een onbeperkte bronstaatheffing voor pensioenen, lijfrenten en socialezekerheidsuitkeringen is overeengekomen is, in lijn met onderdeel 2.11.2 van de </w:t>
      </w:r>
      <w:r w:rsidR="00B12C1F">
        <w:rPr>
          <w:rFonts w:ascii="Verdana" w:hAnsi="Verdana"/>
          <w:sz w:val="18"/>
          <w:szCs w:val="18"/>
          <w:lang w:val="nl-NL"/>
        </w:rPr>
        <w:t>NFV</w:t>
      </w:r>
      <w:r w:rsidRPr="00DD3563" w:rsidR="00B12C1F">
        <w:rPr>
          <w:rFonts w:ascii="Verdana" w:hAnsi="Verdana"/>
          <w:sz w:val="18"/>
          <w:szCs w:val="18"/>
          <w:lang w:val="nl-NL"/>
        </w:rPr>
        <w:t xml:space="preserve"> </w:t>
      </w:r>
      <w:r w:rsidRPr="00DD3563">
        <w:rPr>
          <w:rFonts w:ascii="Verdana" w:hAnsi="Verdana"/>
          <w:sz w:val="18"/>
          <w:szCs w:val="18"/>
          <w:lang w:val="nl-NL"/>
        </w:rPr>
        <w:t xml:space="preserve">2011, in artikel 18 geen </w:t>
      </w:r>
      <w:r w:rsidRPr="00DD3563" w:rsidR="00D123D2">
        <w:rPr>
          <w:rFonts w:ascii="Verdana" w:hAnsi="Verdana"/>
          <w:sz w:val="18"/>
          <w:szCs w:val="18"/>
          <w:lang w:val="nl-NL"/>
        </w:rPr>
        <w:t xml:space="preserve">bepaling opgenomen voor </w:t>
      </w:r>
      <w:r w:rsidR="00C34269">
        <w:rPr>
          <w:rFonts w:ascii="Verdana" w:hAnsi="Verdana"/>
          <w:sz w:val="18"/>
          <w:szCs w:val="18"/>
          <w:lang w:val="nl-NL"/>
        </w:rPr>
        <w:t>overheids</w:t>
      </w:r>
      <w:r w:rsidRPr="00DD3563">
        <w:rPr>
          <w:rFonts w:ascii="Verdana" w:hAnsi="Verdana"/>
          <w:sz w:val="18"/>
          <w:szCs w:val="18"/>
          <w:lang w:val="nl-NL"/>
        </w:rPr>
        <w:t>pensioenen.</w:t>
      </w:r>
    </w:p>
    <w:p w:rsidRPr="00606D22" w:rsidR="009854E5" w:rsidP="00CD077B" w:rsidRDefault="009854E5" w14:paraId="70C2B200" w14:textId="15B0DE5B">
      <w:pPr>
        <w:ind w:firstLine="720"/>
        <w:rPr>
          <w:rFonts w:ascii="Verdana" w:hAnsi="Verdana" w:cs="Arial"/>
          <w:sz w:val="18"/>
          <w:szCs w:val="18"/>
          <w:lang w:val="nl-NL"/>
        </w:rPr>
      </w:pPr>
    </w:p>
    <w:p w:rsidRPr="00916448" w:rsidR="009854E5" w:rsidP="00CD077B" w:rsidRDefault="009854E5" w14:paraId="7833B045" w14:textId="77777777">
      <w:pPr>
        <w:pStyle w:val="Kop2"/>
        <w:numPr>
          <w:ilvl w:val="0"/>
          <w:numId w:val="0"/>
        </w:numPr>
        <w:spacing w:before="0" w:after="0"/>
        <w:rPr>
          <w:rFonts w:ascii="Verdana" w:hAnsi="Verdana"/>
          <w:b w:val="0"/>
          <w:i/>
          <w:sz w:val="18"/>
          <w:szCs w:val="18"/>
          <w:lang w:val="nl-NL"/>
        </w:rPr>
      </w:pPr>
      <w:r w:rsidRPr="00606D22">
        <w:rPr>
          <w:rFonts w:ascii="Verdana" w:hAnsi="Verdana"/>
          <w:b w:val="0"/>
          <w:i/>
          <w:sz w:val="18"/>
          <w:szCs w:val="18"/>
          <w:lang w:val="nl-NL"/>
        </w:rPr>
        <w:t xml:space="preserve">II.19. Studenten </w:t>
      </w:r>
      <w:r w:rsidRPr="00FA4BC6">
        <w:rPr>
          <w:rFonts w:ascii="Verdana" w:hAnsi="Verdana" w:cs="Arial"/>
          <w:b w:val="0"/>
          <w:i/>
          <w:sz w:val="18"/>
          <w:szCs w:val="18"/>
          <w:lang w:val="nl-NL"/>
        </w:rPr>
        <w:t>(artikel 19</w:t>
      </w:r>
      <w:r w:rsidRPr="00916448" w:rsidR="00916448">
        <w:rPr>
          <w:rFonts w:ascii="Verdana" w:hAnsi="Verdana"/>
          <w:b w:val="0"/>
          <w:i/>
          <w:sz w:val="18"/>
          <w:szCs w:val="18"/>
          <w:lang w:val="nl-NL"/>
        </w:rPr>
        <w:t xml:space="preserve"> van het Verdrag</w:t>
      </w:r>
      <w:r w:rsidRPr="00916448">
        <w:rPr>
          <w:rFonts w:ascii="Verdana" w:hAnsi="Verdana" w:cs="Arial"/>
          <w:b w:val="0"/>
          <w:i/>
          <w:sz w:val="18"/>
          <w:szCs w:val="18"/>
          <w:lang w:val="nl-NL"/>
        </w:rPr>
        <w:t>)</w:t>
      </w:r>
      <w:r w:rsidRPr="00916448" w:rsidR="00500251">
        <w:rPr>
          <w:rFonts w:ascii="Verdana" w:hAnsi="Verdana" w:cs="Arial"/>
          <w:b w:val="0"/>
          <w:i/>
          <w:sz w:val="18"/>
          <w:szCs w:val="18"/>
          <w:lang w:val="nl-NL"/>
        </w:rPr>
        <w:br/>
      </w:r>
    </w:p>
    <w:p w:rsidRPr="00DD3563" w:rsidR="00E6451E" w:rsidP="00D123D2" w:rsidRDefault="009854E5" w14:paraId="71FE3416" w14:textId="77777777">
      <w:pPr>
        <w:ind w:firstLine="720"/>
        <w:rPr>
          <w:rFonts w:ascii="Verdana" w:hAnsi="Verdana" w:cs="Arial"/>
          <w:sz w:val="18"/>
          <w:szCs w:val="18"/>
          <w:lang w:val="nl-NL"/>
        </w:rPr>
      </w:pPr>
      <w:r w:rsidRPr="00780A5E">
        <w:rPr>
          <w:rFonts w:ascii="Verdana" w:hAnsi="Verdana" w:cs="Arial"/>
          <w:sz w:val="18"/>
          <w:szCs w:val="18"/>
          <w:lang w:val="nl-NL"/>
        </w:rPr>
        <w:t xml:space="preserve">Artikel 19 ziet op vergoedingen aan studenten </w:t>
      </w:r>
      <w:r w:rsidRPr="00780A5E" w:rsidR="00A44A3F">
        <w:rPr>
          <w:rFonts w:ascii="Verdana" w:hAnsi="Verdana" w:cs="Arial"/>
          <w:sz w:val="18"/>
          <w:szCs w:val="18"/>
          <w:lang w:val="nl-NL"/>
        </w:rPr>
        <w:t>en</w:t>
      </w:r>
      <w:r w:rsidRPr="00780A5E" w:rsidR="007413F0">
        <w:rPr>
          <w:rFonts w:ascii="Verdana" w:hAnsi="Verdana" w:cs="Arial"/>
          <w:sz w:val="18"/>
          <w:szCs w:val="18"/>
          <w:lang w:val="nl-NL"/>
        </w:rPr>
        <w:t xml:space="preserve"> </w:t>
      </w:r>
      <w:r w:rsidRPr="000819E4" w:rsidR="008124A8">
        <w:rPr>
          <w:rFonts w:ascii="Verdana" w:hAnsi="Verdana" w:cs="Arial"/>
          <w:sz w:val="18"/>
          <w:szCs w:val="18"/>
          <w:lang w:val="nl-NL"/>
        </w:rPr>
        <w:t>stagairs</w:t>
      </w:r>
      <w:r w:rsidRPr="000819E4">
        <w:rPr>
          <w:rFonts w:ascii="Verdana" w:hAnsi="Verdana" w:cs="Arial"/>
          <w:sz w:val="18"/>
          <w:szCs w:val="18"/>
          <w:lang w:val="nl-NL"/>
        </w:rPr>
        <w:t xml:space="preserve">. Indien een student </w:t>
      </w:r>
      <w:r w:rsidRPr="0021450B" w:rsidR="0058546E">
        <w:rPr>
          <w:rFonts w:ascii="Verdana" w:hAnsi="Verdana" w:cs="Arial"/>
          <w:sz w:val="18"/>
          <w:szCs w:val="18"/>
          <w:lang w:val="nl-NL"/>
        </w:rPr>
        <w:t xml:space="preserve">of een stagiair </w:t>
      </w:r>
      <w:r w:rsidRPr="0021450B">
        <w:rPr>
          <w:rFonts w:ascii="Verdana" w:hAnsi="Verdana" w:cs="Arial"/>
          <w:sz w:val="18"/>
          <w:szCs w:val="18"/>
          <w:lang w:val="nl-NL"/>
        </w:rPr>
        <w:t xml:space="preserve">een opleiding volgt in de ene </w:t>
      </w:r>
      <w:r w:rsidR="0021450B">
        <w:rPr>
          <w:rFonts w:ascii="Verdana" w:hAnsi="Verdana" w:cs="Arial"/>
          <w:sz w:val="18"/>
          <w:szCs w:val="18"/>
          <w:lang w:val="nl-NL"/>
        </w:rPr>
        <w:t>verdragsluitende staat</w:t>
      </w:r>
      <w:r w:rsidRPr="0021450B">
        <w:rPr>
          <w:rFonts w:ascii="Verdana" w:hAnsi="Verdana" w:cs="Arial"/>
          <w:sz w:val="18"/>
          <w:szCs w:val="18"/>
          <w:lang w:val="nl-NL"/>
        </w:rPr>
        <w:t xml:space="preserve"> en inwoner is (of direct voor zijn vertrek naar de eerstgenoemde </w:t>
      </w:r>
      <w:r w:rsidR="003103E7">
        <w:rPr>
          <w:rFonts w:ascii="Verdana" w:hAnsi="Verdana" w:cs="Arial"/>
          <w:sz w:val="18"/>
          <w:szCs w:val="18"/>
          <w:lang w:val="nl-NL"/>
        </w:rPr>
        <w:t>staat</w:t>
      </w:r>
      <w:r w:rsidRPr="0021450B">
        <w:rPr>
          <w:rFonts w:ascii="Verdana" w:hAnsi="Verdana" w:cs="Arial"/>
          <w:sz w:val="18"/>
          <w:szCs w:val="18"/>
          <w:lang w:val="nl-NL"/>
        </w:rPr>
        <w:t xml:space="preserve"> inwoner was) van de andere </w:t>
      </w:r>
      <w:r w:rsidR="0021450B">
        <w:rPr>
          <w:rFonts w:ascii="Verdana" w:hAnsi="Verdana" w:cs="Arial"/>
          <w:sz w:val="18"/>
          <w:szCs w:val="18"/>
          <w:lang w:val="nl-NL"/>
        </w:rPr>
        <w:t>verdragsluitende staat</w:t>
      </w:r>
      <w:r w:rsidRPr="0021450B">
        <w:rPr>
          <w:rFonts w:ascii="Verdana" w:hAnsi="Verdana" w:cs="Arial"/>
          <w:sz w:val="18"/>
          <w:szCs w:val="18"/>
          <w:lang w:val="nl-NL"/>
        </w:rPr>
        <w:t xml:space="preserve">, dan mag de eerstgenoemde </w:t>
      </w:r>
      <w:r w:rsidR="003103E7">
        <w:rPr>
          <w:rFonts w:ascii="Verdana" w:hAnsi="Verdana" w:cs="Arial"/>
          <w:sz w:val="18"/>
          <w:szCs w:val="18"/>
          <w:lang w:val="nl-NL"/>
        </w:rPr>
        <w:t>staat</w:t>
      </w:r>
      <w:r w:rsidRPr="0021450B">
        <w:rPr>
          <w:rFonts w:ascii="Verdana" w:hAnsi="Verdana" w:cs="Arial"/>
          <w:sz w:val="18"/>
          <w:szCs w:val="18"/>
          <w:lang w:val="nl-NL"/>
        </w:rPr>
        <w:t xml:space="preserve"> de vergoedingen die de student </w:t>
      </w:r>
      <w:r w:rsidR="0034419F">
        <w:rPr>
          <w:rFonts w:ascii="Verdana" w:hAnsi="Verdana" w:cs="Arial"/>
          <w:sz w:val="18"/>
          <w:szCs w:val="18"/>
          <w:lang w:val="nl-NL"/>
        </w:rPr>
        <w:t xml:space="preserve">of stagiair </w:t>
      </w:r>
      <w:r w:rsidRPr="0021450B">
        <w:rPr>
          <w:rFonts w:ascii="Verdana" w:hAnsi="Verdana" w:cs="Arial"/>
          <w:sz w:val="18"/>
          <w:szCs w:val="18"/>
          <w:lang w:val="nl-NL"/>
        </w:rPr>
        <w:t xml:space="preserve">ontvangt voor zijn onderhoud, studie of opleiding niet belasten als deze vergoedingen afkomstig zijn uit bronnen buiten die </w:t>
      </w:r>
      <w:r w:rsidR="003103E7">
        <w:rPr>
          <w:rFonts w:ascii="Verdana" w:hAnsi="Verdana" w:cs="Arial"/>
          <w:sz w:val="18"/>
          <w:szCs w:val="18"/>
          <w:lang w:val="nl-NL"/>
        </w:rPr>
        <w:t>staat</w:t>
      </w:r>
      <w:r w:rsidRPr="0021450B">
        <w:rPr>
          <w:rFonts w:ascii="Verdana" w:hAnsi="Verdana" w:cs="Arial"/>
          <w:sz w:val="18"/>
          <w:szCs w:val="18"/>
          <w:lang w:val="nl-NL"/>
        </w:rPr>
        <w:t xml:space="preserve">. De bepaling </w:t>
      </w:r>
      <w:r w:rsidRPr="00BA2B89" w:rsidR="008124A8">
        <w:rPr>
          <w:rFonts w:ascii="Verdana" w:hAnsi="Verdana" w:cs="Arial"/>
          <w:sz w:val="18"/>
          <w:szCs w:val="18"/>
          <w:lang w:val="nl-NL"/>
        </w:rPr>
        <w:t>komt overeen met</w:t>
      </w:r>
      <w:r w:rsidRPr="00B6639D">
        <w:rPr>
          <w:rFonts w:ascii="Verdana" w:hAnsi="Verdana" w:cs="Arial"/>
          <w:sz w:val="18"/>
          <w:szCs w:val="18"/>
          <w:lang w:val="nl-NL"/>
        </w:rPr>
        <w:t xml:space="preserve"> artikel 20 van het OESO-modelverdrag</w:t>
      </w:r>
      <w:r w:rsidRPr="006C1373" w:rsidR="00405A7C">
        <w:rPr>
          <w:rFonts w:ascii="Verdana" w:hAnsi="Verdana" w:cs="Arial"/>
          <w:sz w:val="18"/>
          <w:szCs w:val="18"/>
          <w:lang w:val="nl-NL"/>
        </w:rPr>
        <w:t>.</w:t>
      </w:r>
      <w:r w:rsidRPr="00DD3563" w:rsidR="00294960">
        <w:rPr>
          <w:rFonts w:ascii="Verdana" w:hAnsi="Verdana" w:cs="Arial"/>
          <w:sz w:val="18"/>
          <w:szCs w:val="18"/>
          <w:lang w:val="nl-NL"/>
        </w:rPr>
        <w:t xml:space="preserve"> </w:t>
      </w:r>
      <w:r w:rsidRPr="00DD3563" w:rsidR="00E6451E">
        <w:rPr>
          <w:rFonts w:ascii="Verdana" w:hAnsi="Verdana" w:cs="Arial"/>
          <w:sz w:val="18"/>
          <w:szCs w:val="18"/>
          <w:lang w:val="nl-NL"/>
        </w:rPr>
        <w:br/>
      </w:r>
    </w:p>
    <w:p w:rsidRPr="00916448" w:rsidR="0098550F" w:rsidP="00CD077B" w:rsidRDefault="00E6451E" w14:paraId="402114EC" w14:textId="77777777">
      <w:pPr>
        <w:pStyle w:val="Kop2"/>
        <w:numPr>
          <w:ilvl w:val="0"/>
          <w:numId w:val="0"/>
        </w:numPr>
        <w:spacing w:before="0" w:after="0"/>
        <w:rPr>
          <w:rFonts w:ascii="Verdana" w:hAnsi="Verdana"/>
          <w:b w:val="0"/>
          <w:i/>
          <w:sz w:val="18"/>
          <w:szCs w:val="18"/>
          <w:lang w:val="nl-NL"/>
        </w:rPr>
      </w:pPr>
      <w:r w:rsidRPr="00DD3563">
        <w:rPr>
          <w:rFonts w:ascii="Verdana" w:hAnsi="Verdana"/>
          <w:b w:val="0"/>
          <w:i/>
          <w:sz w:val="18"/>
          <w:szCs w:val="18"/>
          <w:lang w:val="nl-NL"/>
        </w:rPr>
        <w:t>II.</w:t>
      </w:r>
      <w:r w:rsidRPr="003F7CD6" w:rsidR="00FF6E43">
        <w:rPr>
          <w:rFonts w:ascii="Verdana" w:hAnsi="Verdana"/>
          <w:b w:val="0"/>
          <w:i/>
          <w:sz w:val="18"/>
          <w:szCs w:val="18"/>
          <w:lang w:val="nl-NL"/>
        </w:rPr>
        <w:t>20</w:t>
      </w:r>
      <w:r w:rsidRPr="00606D22">
        <w:rPr>
          <w:rFonts w:ascii="Verdana" w:hAnsi="Verdana"/>
          <w:b w:val="0"/>
          <w:i/>
          <w:sz w:val="18"/>
          <w:szCs w:val="18"/>
          <w:lang w:val="nl-NL"/>
        </w:rPr>
        <w:t>.</w:t>
      </w:r>
      <w:r w:rsidRPr="00606D22" w:rsidR="0051196A">
        <w:rPr>
          <w:rFonts w:ascii="Verdana" w:hAnsi="Verdana"/>
          <w:b w:val="0"/>
          <w:i/>
          <w:sz w:val="18"/>
          <w:szCs w:val="18"/>
          <w:lang w:val="nl-NL"/>
        </w:rPr>
        <w:t xml:space="preserve"> </w:t>
      </w:r>
      <w:r w:rsidRPr="00FA4BC6" w:rsidR="00CD3027">
        <w:rPr>
          <w:rFonts w:ascii="Verdana" w:hAnsi="Verdana"/>
          <w:b w:val="0"/>
          <w:i/>
          <w:sz w:val="18"/>
          <w:szCs w:val="18"/>
          <w:lang w:val="nl-NL"/>
        </w:rPr>
        <w:t xml:space="preserve">Docenten </w:t>
      </w:r>
      <w:r w:rsidRPr="00BD4E1D">
        <w:rPr>
          <w:rFonts w:ascii="Verdana" w:hAnsi="Verdana" w:cs="Arial"/>
          <w:b w:val="0"/>
          <w:i/>
          <w:sz w:val="18"/>
          <w:szCs w:val="18"/>
          <w:lang w:val="nl-NL"/>
        </w:rPr>
        <w:t xml:space="preserve">en </w:t>
      </w:r>
      <w:r w:rsidRPr="00BD4E1D" w:rsidR="0051196A">
        <w:rPr>
          <w:rFonts w:ascii="Verdana" w:hAnsi="Verdana" w:cs="Arial"/>
          <w:b w:val="0"/>
          <w:i/>
          <w:sz w:val="18"/>
          <w:szCs w:val="18"/>
          <w:lang w:val="nl-NL"/>
        </w:rPr>
        <w:t xml:space="preserve">onderzoekers </w:t>
      </w:r>
      <w:r w:rsidRPr="00BD4E1D">
        <w:rPr>
          <w:rFonts w:ascii="Verdana" w:hAnsi="Verdana" w:cs="Arial"/>
          <w:b w:val="0"/>
          <w:i/>
          <w:sz w:val="18"/>
          <w:szCs w:val="18"/>
          <w:lang w:val="nl-NL"/>
        </w:rPr>
        <w:t>(ar</w:t>
      </w:r>
      <w:r w:rsidRPr="00E01754">
        <w:rPr>
          <w:rFonts w:ascii="Verdana" w:hAnsi="Verdana" w:cs="Arial"/>
          <w:b w:val="0"/>
          <w:i/>
          <w:sz w:val="18"/>
          <w:szCs w:val="18"/>
          <w:lang w:val="nl-NL"/>
        </w:rPr>
        <w:t>tikel 20</w:t>
      </w:r>
      <w:r w:rsidRPr="00916448" w:rsidR="00916448">
        <w:rPr>
          <w:rFonts w:ascii="Verdana" w:hAnsi="Verdana"/>
          <w:b w:val="0"/>
          <w:i/>
          <w:sz w:val="18"/>
          <w:szCs w:val="18"/>
          <w:lang w:val="nl-NL"/>
        </w:rPr>
        <w:t xml:space="preserve"> van het Verdrag</w:t>
      </w:r>
      <w:r w:rsidRPr="00916448">
        <w:rPr>
          <w:rFonts w:ascii="Verdana" w:hAnsi="Verdana" w:cs="Arial"/>
          <w:b w:val="0"/>
          <w:i/>
          <w:sz w:val="18"/>
          <w:szCs w:val="18"/>
          <w:lang w:val="nl-NL"/>
        </w:rPr>
        <w:t>)</w:t>
      </w:r>
    </w:p>
    <w:p w:rsidRPr="00780A5E" w:rsidR="00117E52" w:rsidP="00CD077B" w:rsidRDefault="00117E52" w14:paraId="502C6EFC" w14:textId="77777777">
      <w:pPr>
        <w:rPr>
          <w:rFonts w:ascii="Verdana" w:hAnsi="Verdana"/>
          <w:sz w:val="18"/>
          <w:szCs w:val="18"/>
          <w:lang w:val="nl-NL"/>
        </w:rPr>
      </w:pPr>
    </w:p>
    <w:p w:rsidRPr="00E01754" w:rsidR="00E6451E" w:rsidP="00CD077B" w:rsidRDefault="00E6451E" w14:paraId="53AA9DCD" w14:textId="77777777">
      <w:pPr>
        <w:ind w:firstLine="720"/>
        <w:rPr>
          <w:rFonts w:ascii="Verdana" w:hAnsi="Verdana" w:cs="Arial"/>
          <w:sz w:val="18"/>
          <w:szCs w:val="18"/>
          <w:lang w:val="nl-NL"/>
        </w:rPr>
      </w:pPr>
      <w:r w:rsidRPr="00780A5E">
        <w:rPr>
          <w:rFonts w:ascii="Verdana" w:hAnsi="Verdana" w:cs="Arial"/>
          <w:sz w:val="18"/>
          <w:szCs w:val="18"/>
          <w:lang w:val="nl-NL"/>
        </w:rPr>
        <w:t xml:space="preserve">Artikel 20 ziet op inkomen voor onderwijs of wetenschappelijk onderzoek door </w:t>
      </w:r>
      <w:r w:rsidRPr="00780A5E" w:rsidR="00CD3027">
        <w:rPr>
          <w:rFonts w:ascii="Verdana" w:hAnsi="Verdana" w:cs="Arial"/>
          <w:sz w:val="18"/>
          <w:szCs w:val="18"/>
          <w:lang w:val="nl-NL"/>
        </w:rPr>
        <w:t xml:space="preserve">docenten </w:t>
      </w:r>
      <w:r w:rsidRPr="000819E4">
        <w:rPr>
          <w:rFonts w:ascii="Verdana" w:hAnsi="Verdana" w:cs="Arial"/>
          <w:sz w:val="18"/>
          <w:szCs w:val="18"/>
          <w:lang w:val="nl-NL"/>
        </w:rPr>
        <w:t xml:space="preserve">en </w:t>
      </w:r>
      <w:r w:rsidRPr="0021450B" w:rsidR="00CD3027">
        <w:rPr>
          <w:rFonts w:ascii="Verdana" w:hAnsi="Verdana" w:cs="Arial"/>
          <w:sz w:val="18"/>
          <w:szCs w:val="18"/>
          <w:lang w:val="nl-NL"/>
        </w:rPr>
        <w:t>onderzoekers</w:t>
      </w:r>
      <w:r w:rsidRPr="0021450B">
        <w:rPr>
          <w:rFonts w:ascii="Verdana" w:hAnsi="Verdana" w:cs="Arial"/>
          <w:sz w:val="18"/>
          <w:szCs w:val="18"/>
          <w:lang w:val="nl-NL"/>
        </w:rPr>
        <w:t>. Een dergelijke bepaling ontb</w:t>
      </w:r>
      <w:r w:rsidR="0034419F">
        <w:rPr>
          <w:rFonts w:ascii="Verdana" w:hAnsi="Verdana" w:cs="Arial"/>
          <w:sz w:val="18"/>
          <w:szCs w:val="18"/>
          <w:lang w:val="nl-NL"/>
        </w:rPr>
        <w:t>reekt in het OESO-modelverdrag en i</w:t>
      </w:r>
      <w:r w:rsidRPr="0021450B">
        <w:rPr>
          <w:rFonts w:ascii="Verdana" w:hAnsi="Verdana" w:cs="Arial"/>
          <w:sz w:val="18"/>
          <w:szCs w:val="18"/>
          <w:lang w:val="nl-NL"/>
        </w:rPr>
        <w:t xml:space="preserve">n onderdeel 2.13 van de NFV 2011 is aangegeven dat Nederland niet langer streeft naar de opname van een </w:t>
      </w:r>
      <w:r w:rsidR="0034419F">
        <w:rPr>
          <w:rFonts w:ascii="Verdana" w:hAnsi="Verdana" w:cs="Arial"/>
          <w:sz w:val="18"/>
          <w:szCs w:val="18"/>
          <w:lang w:val="nl-NL"/>
        </w:rPr>
        <w:t>dergelijke</w:t>
      </w:r>
      <w:r w:rsidRPr="0021450B" w:rsidR="00FC4C24">
        <w:rPr>
          <w:rFonts w:ascii="Verdana" w:hAnsi="Verdana" w:cs="Arial"/>
          <w:sz w:val="18"/>
          <w:szCs w:val="18"/>
          <w:lang w:val="nl-NL"/>
        </w:rPr>
        <w:t xml:space="preserve"> </w:t>
      </w:r>
      <w:r w:rsidRPr="0021450B">
        <w:rPr>
          <w:rFonts w:ascii="Verdana" w:hAnsi="Verdana" w:cs="Arial"/>
          <w:sz w:val="18"/>
          <w:szCs w:val="18"/>
          <w:lang w:val="nl-NL"/>
        </w:rPr>
        <w:t xml:space="preserve">bepaling </w:t>
      </w:r>
      <w:r w:rsidRPr="006C1373">
        <w:rPr>
          <w:rFonts w:ascii="Verdana" w:hAnsi="Verdana" w:cs="Arial"/>
          <w:sz w:val="18"/>
          <w:szCs w:val="18"/>
          <w:lang w:val="nl-NL"/>
        </w:rPr>
        <w:t>in belastingverdragen</w:t>
      </w:r>
      <w:r w:rsidRPr="00DD3563" w:rsidR="00FC4C24">
        <w:rPr>
          <w:rFonts w:ascii="Verdana" w:hAnsi="Verdana" w:cs="Arial"/>
          <w:sz w:val="18"/>
          <w:szCs w:val="18"/>
          <w:lang w:val="nl-NL"/>
        </w:rPr>
        <w:t xml:space="preserve">. </w:t>
      </w:r>
      <w:r w:rsidRPr="00606D22" w:rsidR="00CD3027">
        <w:rPr>
          <w:rFonts w:ascii="Verdana" w:hAnsi="Verdana" w:cs="Arial"/>
          <w:sz w:val="18"/>
          <w:szCs w:val="18"/>
          <w:lang w:val="nl-NL"/>
        </w:rPr>
        <w:t xml:space="preserve">Bulgarije </w:t>
      </w:r>
      <w:r w:rsidRPr="00606D22">
        <w:rPr>
          <w:rFonts w:ascii="Verdana" w:hAnsi="Verdana" w:cs="Arial"/>
          <w:sz w:val="18"/>
          <w:szCs w:val="18"/>
          <w:lang w:val="nl-NL"/>
        </w:rPr>
        <w:t xml:space="preserve">hechtte aan </w:t>
      </w:r>
      <w:r w:rsidR="0034419F">
        <w:rPr>
          <w:rFonts w:ascii="Verdana" w:hAnsi="Verdana" w:cs="Arial"/>
          <w:sz w:val="18"/>
          <w:szCs w:val="18"/>
          <w:lang w:val="nl-NL"/>
        </w:rPr>
        <w:t xml:space="preserve">de </w:t>
      </w:r>
      <w:r w:rsidRPr="00606D22">
        <w:rPr>
          <w:rFonts w:ascii="Verdana" w:hAnsi="Verdana" w:cs="Arial"/>
          <w:sz w:val="18"/>
          <w:szCs w:val="18"/>
          <w:lang w:val="nl-NL"/>
        </w:rPr>
        <w:t>o</w:t>
      </w:r>
      <w:r w:rsidRPr="00FA4BC6">
        <w:rPr>
          <w:rFonts w:ascii="Verdana" w:hAnsi="Verdana" w:cs="Arial"/>
          <w:sz w:val="18"/>
          <w:szCs w:val="18"/>
          <w:lang w:val="nl-NL"/>
        </w:rPr>
        <w:t>pname van de</w:t>
      </w:r>
      <w:r w:rsidR="0034419F">
        <w:rPr>
          <w:rFonts w:ascii="Verdana" w:hAnsi="Verdana" w:cs="Arial"/>
          <w:sz w:val="18"/>
          <w:szCs w:val="18"/>
          <w:lang w:val="nl-NL"/>
        </w:rPr>
        <w:t>ze</w:t>
      </w:r>
      <w:r w:rsidRPr="00FA4BC6">
        <w:rPr>
          <w:rFonts w:ascii="Verdana" w:hAnsi="Verdana" w:cs="Arial"/>
          <w:sz w:val="18"/>
          <w:szCs w:val="18"/>
          <w:lang w:val="nl-NL"/>
        </w:rPr>
        <w:t xml:space="preserve"> bepaling, </w:t>
      </w:r>
      <w:r w:rsidR="0034419F">
        <w:rPr>
          <w:rFonts w:ascii="Verdana" w:hAnsi="Verdana" w:cs="Arial"/>
          <w:sz w:val="18"/>
          <w:szCs w:val="18"/>
          <w:lang w:val="nl-NL"/>
        </w:rPr>
        <w:t>vanwege de mogelijke</w:t>
      </w:r>
      <w:r w:rsidRPr="00FA4BC6">
        <w:rPr>
          <w:rFonts w:ascii="Verdana" w:hAnsi="Verdana" w:cs="Arial"/>
          <w:sz w:val="18"/>
          <w:szCs w:val="18"/>
          <w:lang w:val="nl-NL"/>
        </w:rPr>
        <w:t xml:space="preserve"> positieve invloed op de uitwisseling van </w:t>
      </w:r>
      <w:r w:rsidRPr="00BD4E1D" w:rsidR="00CD3027">
        <w:rPr>
          <w:rFonts w:ascii="Verdana" w:hAnsi="Verdana" w:cs="Arial"/>
          <w:sz w:val="18"/>
          <w:szCs w:val="18"/>
          <w:lang w:val="nl-NL"/>
        </w:rPr>
        <w:t>docenten e</w:t>
      </w:r>
      <w:r w:rsidRPr="00BD4E1D">
        <w:rPr>
          <w:rFonts w:ascii="Verdana" w:hAnsi="Verdana" w:cs="Arial"/>
          <w:sz w:val="18"/>
          <w:szCs w:val="18"/>
          <w:lang w:val="nl-NL"/>
        </w:rPr>
        <w:t xml:space="preserve">n </w:t>
      </w:r>
      <w:r w:rsidRPr="00BD4E1D" w:rsidR="00CD3027">
        <w:rPr>
          <w:rFonts w:ascii="Verdana" w:hAnsi="Verdana" w:cs="Arial"/>
          <w:sz w:val="18"/>
          <w:szCs w:val="18"/>
          <w:lang w:val="nl-NL"/>
        </w:rPr>
        <w:t xml:space="preserve">onderzoekers </w:t>
      </w:r>
      <w:r w:rsidRPr="00E01754">
        <w:rPr>
          <w:rFonts w:ascii="Verdana" w:hAnsi="Verdana" w:cs="Arial"/>
          <w:sz w:val="18"/>
          <w:szCs w:val="18"/>
          <w:lang w:val="nl-NL"/>
        </w:rPr>
        <w:t xml:space="preserve">en </w:t>
      </w:r>
      <w:r w:rsidR="0034419F">
        <w:rPr>
          <w:rFonts w:ascii="Verdana" w:hAnsi="Verdana" w:cs="Arial"/>
          <w:sz w:val="18"/>
          <w:szCs w:val="18"/>
          <w:lang w:val="nl-NL"/>
        </w:rPr>
        <w:t>daarmee de bevordering van kennisoverdracht</w:t>
      </w:r>
      <w:r w:rsidRPr="00E01754">
        <w:rPr>
          <w:rFonts w:ascii="Verdana" w:hAnsi="Verdana" w:cs="Arial"/>
          <w:sz w:val="18"/>
          <w:szCs w:val="18"/>
          <w:lang w:val="nl-NL"/>
        </w:rPr>
        <w:t>. Nederland kon hiermee instemmen.</w:t>
      </w:r>
    </w:p>
    <w:p w:rsidRPr="00F578EC" w:rsidR="00E6451E" w:rsidP="00CD077B" w:rsidRDefault="00E6451E" w14:paraId="53749CA9" w14:textId="6A8CDD44">
      <w:pPr>
        <w:ind w:firstLine="720"/>
        <w:rPr>
          <w:rFonts w:ascii="Verdana" w:hAnsi="Verdana" w:cs="Arial"/>
          <w:sz w:val="18"/>
          <w:szCs w:val="18"/>
          <w:lang w:val="nl-NL"/>
        </w:rPr>
      </w:pPr>
      <w:r w:rsidRPr="00E01754">
        <w:rPr>
          <w:rFonts w:ascii="Verdana" w:hAnsi="Verdana" w:cs="Arial"/>
          <w:sz w:val="18"/>
          <w:szCs w:val="18"/>
          <w:lang w:val="nl-NL"/>
        </w:rPr>
        <w:t>Het eerste lid regelt dat betalingen en andere vergoedingen die worde</w:t>
      </w:r>
      <w:r w:rsidRPr="003103E7">
        <w:rPr>
          <w:rFonts w:ascii="Verdana" w:hAnsi="Verdana" w:cs="Arial"/>
          <w:sz w:val="18"/>
          <w:szCs w:val="18"/>
          <w:lang w:val="nl-NL"/>
        </w:rPr>
        <w:t xml:space="preserve">n ontvangen door </w:t>
      </w:r>
      <w:r w:rsidRPr="003103E7" w:rsidR="00CD3027">
        <w:rPr>
          <w:rFonts w:ascii="Verdana" w:hAnsi="Verdana" w:cs="Arial"/>
          <w:sz w:val="18"/>
          <w:szCs w:val="18"/>
          <w:lang w:val="nl-NL"/>
        </w:rPr>
        <w:t>docenten</w:t>
      </w:r>
      <w:r w:rsidRPr="003103E7">
        <w:rPr>
          <w:rFonts w:ascii="Verdana" w:hAnsi="Verdana" w:cs="Arial"/>
          <w:sz w:val="18"/>
          <w:szCs w:val="18"/>
          <w:lang w:val="nl-NL"/>
        </w:rPr>
        <w:t xml:space="preserve"> of </w:t>
      </w:r>
      <w:r w:rsidRPr="003103E7" w:rsidR="00CD3027">
        <w:rPr>
          <w:rFonts w:ascii="Verdana" w:hAnsi="Verdana" w:cs="Arial"/>
          <w:sz w:val="18"/>
          <w:szCs w:val="18"/>
          <w:lang w:val="nl-NL"/>
        </w:rPr>
        <w:t xml:space="preserve">onderzoekers </w:t>
      </w:r>
      <w:r w:rsidRPr="003103E7">
        <w:rPr>
          <w:rFonts w:ascii="Verdana" w:hAnsi="Verdana" w:cs="Arial"/>
          <w:sz w:val="18"/>
          <w:szCs w:val="18"/>
          <w:lang w:val="nl-NL"/>
        </w:rPr>
        <w:t xml:space="preserve">die inwoner zijn van </w:t>
      </w:r>
      <w:r w:rsidRPr="003103E7" w:rsidR="00EE5E60">
        <w:rPr>
          <w:rFonts w:ascii="Verdana" w:hAnsi="Verdana" w:cs="Arial"/>
          <w:sz w:val="18"/>
          <w:szCs w:val="18"/>
          <w:lang w:val="nl-NL"/>
        </w:rPr>
        <w:t>een</w:t>
      </w:r>
      <w:r w:rsidRPr="003103E7">
        <w:rPr>
          <w:rFonts w:ascii="Verdana" w:hAnsi="Verdana" w:cs="Arial"/>
          <w:sz w:val="18"/>
          <w:szCs w:val="18"/>
          <w:lang w:val="nl-NL"/>
        </w:rPr>
        <w:t xml:space="preserve"> </w:t>
      </w:r>
      <w:r w:rsidR="0021450B">
        <w:rPr>
          <w:rFonts w:ascii="Verdana" w:hAnsi="Verdana" w:cs="Arial"/>
          <w:sz w:val="18"/>
          <w:szCs w:val="18"/>
          <w:lang w:val="nl-NL"/>
        </w:rPr>
        <w:t>verdragsluitende staat</w:t>
      </w:r>
      <w:r w:rsidRPr="0021450B">
        <w:rPr>
          <w:rFonts w:ascii="Verdana" w:hAnsi="Verdana" w:cs="Arial"/>
          <w:sz w:val="18"/>
          <w:szCs w:val="18"/>
          <w:lang w:val="nl-NL"/>
        </w:rPr>
        <w:t xml:space="preserve"> en tijdelijk </w:t>
      </w:r>
      <w:r w:rsidR="007A6E4F">
        <w:rPr>
          <w:rFonts w:ascii="Verdana" w:hAnsi="Verdana" w:cs="Arial"/>
          <w:sz w:val="18"/>
          <w:szCs w:val="18"/>
          <w:lang w:val="nl-NL"/>
        </w:rPr>
        <w:t xml:space="preserve">(dat wil zeggen </w:t>
      </w:r>
      <w:r w:rsidRPr="007A6E4F" w:rsidR="007A6E4F">
        <w:rPr>
          <w:rFonts w:ascii="Verdana" w:hAnsi="Verdana" w:cs="Arial"/>
          <w:sz w:val="18"/>
          <w:szCs w:val="18"/>
          <w:lang w:val="nl-NL"/>
        </w:rPr>
        <w:t xml:space="preserve">gedurende een </w:t>
      </w:r>
      <w:r w:rsidR="00C34269">
        <w:rPr>
          <w:rFonts w:ascii="Verdana" w:hAnsi="Verdana" w:cs="Arial"/>
          <w:sz w:val="18"/>
          <w:szCs w:val="18"/>
          <w:lang w:val="nl-NL"/>
        </w:rPr>
        <w:t>periode</w:t>
      </w:r>
      <w:r w:rsidRPr="007A6E4F" w:rsidR="007A6E4F">
        <w:rPr>
          <w:rFonts w:ascii="Verdana" w:hAnsi="Verdana" w:cs="Arial"/>
          <w:sz w:val="18"/>
          <w:szCs w:val="18"/>
          <w:lang w:val="nl-NL"/>
        </w:rPr>
        <w:t xml:space="preserve"> van ten hoogste twee jaar</w:t>
      </w:r>
      <w:r w:rsidR="007A6E4F">
        <w:rPr>
          <w:rStyle w:val="Voetnootmarkering"/>
          <w:rFonts w:ascii="Verdana" w:hAnsi="Verdana" w:cs="Arial"/>
          <w:sz w:val="18"/>
          <w:szCs w:val="18"/>
          <w:lang w:val="nl-NL"/>
        </w:rPr>
        <w:footnoteReference w:id="17"/>
      </w:r>
      <w:r w:rsidR="007A6E4F">
        <w:rPr>
          <w:rFonts w:ascii="Verdana" w:hAnsi="Verdana" w:cs="Arial"/>
          <w:sz w:val="18"/>
          <w:szCs w:val="18"/>
          <w:lang w:val="nl-NL"/>
        </w:rPr>
        <w:t>)</w:t>
      </w:r>
      <w:r w:rsidRPr="007A6E4F" w:rsidR="007A6E4F">
        <w:rPr>
          <w:rFonts w:ascii="Verdana" w:hAnsi="Verdana" w:cs="Arial"/>
          <w:sz w:val="18"/>
          <w:szCs w:val="18"/>
          <w:lang w:val="nl-NL"/>
        </w:rPr>
        <w:t xml:space="preserve"> </w:t>
      </w:r>
      <w:r w:rsidRPr="0021450B">
        <w:rPr>
          <w:rFonts w:ascii="Verdana" w:hAnsi="Verdana" w:cs="Arial"/>
          <w:sz w:val="18"/>
          <w:szCs w:val="18"/>
          <w:lang w:val="nl-NL"/>
        </w:rPr>
        <w:t xml:space="preserve">in de andere </w:t>
      </w:r>
      <w:r w:rsidR="003103E7">
        <w:rPr>
          <w:rFonts w:ascii="Verdana" w:hAnsi="Verdana" w:cs="Arial"/>
          <w:sz w:val="18"/>
          <w:szCs w:val="18"/>
          <w:lang w:val="nl-NL"/>
        </w:rPr>
        <w:t>staat</w:t>
      </w:r>
      <w:r w:rsidRPr="0021450B">
        <w:rPr>
          <w:rFonts w:ascii="Verdana" w:hAnsi="Verdana" w:cs="Arial"/>
          <w:sz w:val="18"/>
          <w:szCs w:val="18"/>
          <w:lang w:val="nl-NL"/>
        </w:rPr>
        <w:t xml:space="preserve"> verblijven voor het geven van onderwijs of voor </w:t>
      </w:r>
      <w:r w:rsidRPr="0021450B" w:rsidR="00EE5E60">
        <w:rPr>
          <w:rFonts w:ascii="Verdana" w:hAnsi="Verdana" w:cs="Arial"/>
          <w:sz w:val="18"/>
          <w:szCs w:val="18"/>
          <w:lang w:val="nl-NL"/>
        </w:rPr>
        <w:t xml:space="preserve">het verrichten van </w:t>
      </w:r>
      <w:r w:rsidRPr="00BA2B89">
        <w:rPr>
          <w:rFonts w:ascii="Verdana" w:hAnsi="Verdana" w:cs="Arial"/>
          <w:sz w:val="18"/>
          <w:szCs w:val="18"/>
          <w:lang w:val="nl-NL"/>
        </w:rPr>
        <w:t>wetenschappelijk onderzoek aan een onderwijsi</w:t>
      </w:r>
      <w:r w:rsidRPr="00B6639D">
        <w:rPr>
          <w:rFonts w:ascii="Verdana" w:hAnsi="Verdana" w:cs="Arial"/>
          <w:sz w:val="18"/>
          <w:szCs w:val="18"/>
          <w:lang w:val="nl-NL"/>
        </w:rPr>
        <w:t xml:space="preserve">nstelling, in die andere </w:t>
      </w:r>
      <w:r w:rsidR="003103E7">
        <w:rPr>
          <w:rFonts w:ascii="Verdana" w:hAnsi="Verdana" w:cs="Arial"/>
          <w:sz w:val="18"/>
          <w:szCs w:val="18"/>
          <w:lang w:val="nl-NL"/>
        </w:rPr>
        <w:t>staat</w:t>
      </w:r>
      <w:r w:rsidRPr="00DD3563">
        <w:rPr>
          <w:rFonts w:ascii="Verdana" w:hAnsi="Verdana" w:cs="Arial"/>
          <w:sz w:val="18"/>
          <w:szCs w:val="18"/>
          <w:lang w:val="nl-NL"/>
        </w:rPr>
        <w:t xml:space="preserve"> zijn vr</w:t>
      </w:r>
      <w:r w:rsidRPr="00DD3563" w:rsidR="00FF6E43">
        <w:rPr>
          <w:rFonts w:ascii="Verdana" w:hAnsi="Verdana" w:cs="Arial"/>
          <w:sz w:val="18"/>
          <w:szCs w:val="18"/>
          <w:lang w:val="nl-NL"/>
        </w:rPr>
        <w:t>ijgesteld van belastingheffing</w:t>
      </w:r>
      <w:r w:rsidRPr="007A6E4F" w:rsidR="007A6E4F">
        <w:rPr>
          <w:lang w:val="nl-NL"/>
        </w:rPr>
        <w:t xml:space="preserve"> </w:t>
      </w:r>
      <w:r w:rsidRPr="007A6E4F" w:rsidR="007A6E4F">
        <w:rPr>
          <w:rFonts w:ascii="Verdana" w:hAnsi="Verdana" w:cs="Arial"/>
          <w:sz w:val="18"/>
          <w:szCs w:val="18"/>
          <w:lang w:val="nl-NL"/>
        </w:rPr>
        <w:t>over de beloning voor het geven van onderwijs of het verrichten van onderzoek</w:t>
      </w:r>
      <w:r w:rsidR="007A6E4F">
        <w:rPr>
          <w:rFonts w:ascii="Verdana" w:hAnsi="Verdana" w:cs="Arial"/>
          <w:sz w:val="18"/>
          <w:szCs w:val="18"/>
          <w:lang w:val="nl-NL"/>
        </w:rPr>
        <w:t>, mits deze beloning</w:t>
      </w:r>
      <w:r w:rsidR="000268D9">
        <w:rPr>
          <w:rFonts w:ascii="Verdana" w:hAnsi="Verdana" w:cs="Arial"/>
          <w:sz w:val="18"/>
          <w:szCs w:val="18"/>
          <w:lang w:val="nl-NL"/>
        </w:rPr>
        <w:t xml:space="preserve"> afkomstig is uit bronnen buiten d</w:t>
      </w:r>
      <w:r w:rsidR="007A6E4F">
        <w:rPr>
          <w:rFonts w:ascii="Verdana" w:hAnsi="Verdana" w:cs="Arial"/>
          <w:sz w:val="18"/>
          <w:szCs w:val="18"/>
          <w:lang w:val="nl-NL"/>
        </w:rPr>
        <w:t>i</w:t>
      </w:r>
      <w:r w:rsidR="000268D9">
        <w:rPr>
          <w:rFonts w:ascii="Verdana" w:hAnsi="Verdana" w:cs="Arial"/>
          <w:sz w:val="18"/>
          <w:szCs w:val="18"/>
          <w:lang w:val="nl-NL"/>
        </w:rPr>
        <w:t xml:space="preserve">e andere staat. </w:t>
      </w:r>
    </w:p>
    <w:p w:rsidRPr="00CF22A8" w:rsidR="00660A85" w:rsidP="00CD077B" w:rsidRDefault="00E6451E" w14:paraId="3BAADB68" w14:textId="77777777">
      <w:pPr>
        <w:ind w:firstLine="720"/>
        <w:rPr>
          <w:rFonts w:ascii="Verdana" w:hAnsi="Verdana" w:cs="Arial"/>
          <w:sz w:val="18"/>
          <w:szCs w:val="18"/>
          <w:lang w:val="nl-NL"/>
        </w:rPr>
      </w:pPr>
      <w:r w:rsidRPr="00BC6175">
        <w:rPr>
          <w:rFonts w:ascii="Verdana" w:hAnsi="Verdana" w:cs="Arial"/>
          <w:sz w:val="18"/>
          <w:szCs w:val="18"/>
          <w:lang w:val="nl-NL"/>
        </w:rPr>
        <w:t>Op grond van het tweede lid vindt de in het eerste lid opgenomen vrijstelling geen toepassing indien het onderzoek niet het algemeen belang dient, maar voornamelijk wordt verricht voor het persoonlijke nut van een bepaalde persoon of personen, zoals het geval is bij commercieel onderzoek.</w:t>
      </w:r>
      <w:r w:rsidRPr="00CF22A8" w:rsidR="00A66A33">
        <w:rPr>
          <w:rFonts w:ascii="Verdana" w:hAnsi="Verdana" w:cs="Arial"/>
          <w:b/>
          <w:bCs/>
          <w:iCs/>
          <w:sz w:val="18"/>
          <w:szCs w:val="18"/>
          <w:lang w:val="nl-NL"/>
        </w:rPr>
        <w:br/>
      </w:r>
    </w:p>
    <w:p w:rsidRPr="005C1870" w:rsidR="00FF2326" w:rsidP="00CD077B" w:rsidRDefault="00A66A33" w14:paraId="24B000B8" w14:textId="77777777">
      <w:pPr>
        <w:pStyle w:val="Kop2"/>
        <w:numPr>
          <w:ilvl w:val="0"/>
          <w:numId w:val="0"/>
        </w:numPr>
        <w:spacing w:before="0" w:after="0"/>
        <w:rPr>
          <w:rFonts w:ascii="Verdana" w:hAnsi="Verdana" w:cs="Arial"/>
          <w:sz w:val="18"/>
          <w:szCs w:val="18"/>
          <w:lang w:val="nl-NL"/>
        </w:rPr>
      </w:pPr>
      <w:r w:rsidRPr="005C1870">
        <w:rPr>
          <w:rFonts w:ascii="Verdana" w:hAnsi="Verdana"/>
          <w:b w:val="0"/>
          <w:i/>
          <w:sz w:val="18"/>
          <w:szCs w:val="18"/>
          <w:lang w:val="nl-NL"/>
        </w:rPr>
        <w:t>II.2</w:t>
      </w:r>
      <w:r w:rsidRPr="005C1870" w:rsidR="005F46A2">
        <w:rPr>
          <w:rFonts w:ascii="Verdana" w:hAnsi="Verdana"/>
          <w:b w:val="0"/>
          <w:i/>
          <w:sz w:val="18"/>
          <w:szCs w:val="18"/>
          <w:lang w:val="nl-NL"/>
        </w:rPr>
        <w:t>1</w:t>
      </w:r>
      <w:r w:rsidRPr="005C1870">
        <w:rPr>
          <w:rFonts w:ascii="Verdana" w:hAnsi="Verdana"/>
          <w:b w:val="0"/>
          <w:i/>
          <w:sz w:val="18"/>
          <w:szCs w:val="18"/>
          <w:lang w:val="nl-NL"/>
        </w:rPr>
        <w:t>.</w:t>
      </w:r>
      <w:r w:rsidRPr="005C1870" w:rsidR="00EF7507">
        <w:rPr>
          <w:rFonts w:ascii="Verdana" w:hAnsi="Verdana"/>
          <w:b w:val="0"/>
          <w:i/>
          <w:sz w:val="18"/>
          <w:szCs w:val="18"/>
          <w:lang w:val="nl-NL"/>
        </w:rPr>
        <w:t xml:space="preserve"> </w:t>
      </w:r>
      <w:r w:rsidRPr="005C1870">
        <w:rPr>
          <w:rFonts w:ascii="Verdana" w:hAnsi="Verdana" w:cs="Arial"/>
          <w:b w:val="0"/>
          <w:i/>
          <w:sz w:val="18"/>
          <w:szCs w:val="18"/>
          <w:lang w:val="nl-NL"/>
        </w:rPr>
        <w:t>Overige inkomsten (artikel 2</w:t>
      </w:r>
      <w:r w:rsidRPr="005C1870" w:rsidR="005F46A2">
        <w:rPr>
          <w:rFonts w:ascii="Verdana" w:hAnsi="Verdana" w:cs="Arial"/>
          <w:b w:val="0"/>
          <w:i/>
          <w:sz w:val="18"/>
          <w:szCs w:val="18"/>
          <w:lang w:val="nl-NL"/>
        </w:rPr>
        <w:t>1</w:t>
      </w:r>
      <w:r w:rsidRPr="005C1870" w:rsidR="00897566">
        <w:rPr>
          <w:rFonts w:ascii="Verdana" w:hAnsi="Verdana" w:cs="Arial"/>
          <w:b w:val="0"/>
          <w:i/>
          <w:sz w:val="18"/>
          <w:szCs w:val="18"/>
          <w:lang w:val="nl-NL"/>
        </w:rPr>
        <w:t xml:space="preserve"> </w:t>
      </w:r>
      <w:r w:rsidRPr="00916448" w:rsidR="00916448">
        <w:rPr>
          <w:rFonts w:ascii="Verdana" w:hAnsi="Verdana"/>
          <w:b w:val="0"/>
          <w:i/>
          <w:sz w:val="18"/>
          <w:szCs w:val="18"/>
          <w:lang w:val="nl-NL"/>
        </w:rPr>
        <w:t>van het Verdrag</w:t>
      </w:r>
      <w:r w:rsidRPr="005C1870" w:rsidR="00916448">
        <w:rPr>
          <w:rFonts w:ascii="Verdana" w:hAnsi="Verdana" w:cs="Arial"/>
          <w:b w:val="0"/>
          <w:i/>
          <w:sz w:val="18"/>
          <w:szCs w:val="18"/>
          <w:lang w:val="nl-NL"/>
        </w:rPr>
        <w:t xml:space="preserve"> </w:t>
      </w:r>
      <w:r w:rsidRPr="005C1870" w:rsidR="00897566">
        <w:rPr>
          <w:rFonts w:ascii="Verdana" w:hAnsi="Verdana" w:cs="Arial"/>
          <w:b w:val="0"/>
          <w:i/>
          <w:sz w:val="18"/>
          <w:szCs w:val="18"/>
          <w:lang w:val="nl-NL"/>
        </w:rPr>
        <w:t>en artikel II</w:t>
      </w:r>
      <w:r w:rsidRPr="00916448" w:rsidR="00916448">
        <w:rPr>
          <w:rFonts w:ascii="Verdana" w:hAnsi="Verdana" w:cs="Arial"/>
          <w:b w:val="0"/>
          <w:i/>
          <w:sz w:val="18"/>
          <w:szCs w:val="18"/>
          <w:lang w:val="nl-NL"/>
        </w:rPr>
        <w:t xml:space="preserve"> </w:t>
      </w:r>
      <w:r w:rsidR="00916448">
        <w:rPr>
          <w:rFonts w:ascii="Verdana" w:hAnsi="Verdana" w:cs="Arial"/>
          <w:b w:val="0"/>
          <w:i/>
          <w:sz w:val="18"/>
          <w:szCs w:val="18"/>
          <w:lang w:val="nl-NL"/>
        </w:rPr>
        <w:t xml:space="preserve">van het </w:t>
      </w:r>
      <w:r w:rsidRPr="005C1870" w:rsidR="00916448">
        <w:rPr>
          <w:rFonts w:ascii="Verdana" w:hAnsi="Verdana" w:cs="Arial"/>
          <w:b w:val="0"/>
          <w:i/>
          <w:sz w:val="18"/>
          <w:szCs w:val="18"/>
          <w:lang w:val="nl-NL"/>
        </w:rPr>
        <w:t>Protocol</w:t>
      </w:r>
      <w:r w:rsidRPr="005C1870">
        <w:rPr>
          <w:rFonts w:ascii="Verdana" w:hAnsi="Verdana" w:cs="Arial"/>
          <w:b w:val="0"/>
          <w:i/>
          <w:sz w:val="18"/>
          <w:szCs w:val="18"/>
          <w:lang w:val="nl-NL"/>
        </w:rPr>
        <w:t>)</w:t>
      </w:r>
      <w:r w:rsidRPr="005C1870" w:rsidR="00FF2326">
        <w:rPr>
          <w:rFonts w:ascii="Verdana" w:hAnsi="Verdana" w:cs="Arial"/>
          <w:sz w:val="18"/>
          <w:szCs w:val="18"/>
          <w:lang w:val="nl-NL"/>
        </w:rPr>
        <w:br/>
      </w:r>
    </w:p>
    <w:p w:rsidRPr="00916448" w:rsidR="00A66A33" w:rsidP="00CD077B" w:rsidRDefault="00A66A33" w14:paraId="0F1867D1" w14:textId="77777777">
      <w:pPr>
        <w:ind w:firstLine="708"/>
        <w:rPr>
          <w:rFonts w:ascii="Verdana" w:hAnsi="Verdana" w:cs="Arial"/>
          <w:sz w:val="18"/>
          <w:szCs w:val="18"/>
          <w:lang w:val="nl-NL"/>
        </w:rPr>
      </w:pPr>
      <w:r w:rsidRPr="00916448">
        <w:rPr>
          <w:rFonts w:ascii="Verdana" w:hAnsi="Verdana" w:cs="Arial"/>
          <w:sz w:val="18"/>
          <w:szCs w:val="18"/>
          <w:lang w:val="nl-NL"/>
        </w:rPr>
        <w:t>Artikel 2</w:t>
      </w:r>
      <w:r w:rsidRPr="00916448" w:rsidR="005F46A2">
        <w:rPr>
          <w:rFonts w:ascii="Verdana" w:hAnsi="Verdana" w:cs="Arial"/>
          <w:sz w:val="18"/>
          <w:szCs w:val="18"/>
          <w:lang w:val="nl-NL"/>
        </w:rPr>
        <w:t>1</w:t>
      </w:r>
      <w:r w:rsidRPr="00916448">
        <w:rPr>
          <w:rFonts w:ascii="Verdana" w:hAnsi="Verdana" w:cs="Arial"/>
          <w:sz w:val="18"/>
          <w:szCs w:val="18"/>
          <w:lang w:val="nl-NL"/>
        </w:rPr>
        <w:t xml:space="preserve"> verdeelt het heffingsrecht over inkomsten</w:t>
      </w:r>
      <w:r w:rsidRPr="00916448" w:rsidR="004528ED">
        <w:rPr>
          <w:rFonts w:ascii="Verdana" w:hAnsi="Verdana" w:cs="Arial"/>
          <w:sz w:val="18"/>
          <w:szCs w:val="18"/>
          <w:lang w:val="nl-NL"/>
        </w:rPr>
        <w:t xml:space="preserve"> ter zake waarvan het heffingsrecht</w:t>
      </w:r>
      <w:r w:rsidRPr="00916448">
        <w:rPr>
          <w:rFonts w:ascii="Verdana" w:hAnsi="Verdana" w:cs="Arial"/>
          <w:sz w:val="18"/>
          <w:szCs w:val="18"/>
          <w:lang w:val="nl-NL"/>
        </w:rPr>
        <w:t xml:space="preserve"> niet in de voorgaande artikelen van het Verdrag </w:t>
      </w:r>
      <w:r w:rsidRPr="00916448" w:rsidR="004528ED">
        <w:rPr>
          <w:rFonts w:ascii="Verdana" w:hAnsi="Verdana" w:cs="Arial"/>
          <w:sz w:val="18"/>
          <w:szCs w:val="18"/>
          <w:lang w:val="nl-NL"/>
        </w:rPr>
        <w:t xml:space="preserve">is </w:t>
      </w:r>
      <w:r w:rsidRPr="00916448">
        <w:rPr>
          <w:rFonts w:ascii="Verdana" w:hAnsi="Verdana" w:cs="Arial"/>
          <w:sz w:val="18"/>
          <w:szCs w:val="18"/>
          <w:lang w:val="nl-NL"/>
        </w:rPr>
        <w:t xml:space="preserve">behandeld (‘overige inkomsten’). In lijn met het OESO-modelverdrag bepaalt het eerste </w:t>
      </w:r>
      <w:r w:rsidR="0034419F">
        <w:rPr>
          <w:rFonts w:ascii="Verdana" w:hAnsi="Verdana" w:cs="Arial"/>
          <w:sz w:val="18"/>
          <w:szCs w:val="18"/>
          <w:lang w:val="nl-NL"/>
        </w:rPr>
        <w:t>lid dat het heffingsrecht over deze inkomsten</w:t>
      </w:r>
      <w:r w:rsidRPr="00916448">
        <w:rPr>
          <w:rFonts w:ascii="Verdana" w:hAnsi="Verdana" w:cs="Arial"/>
          <w:sz w:val="18"/>
          <w:szCs w:val="18"/>
          <w:lang w:val="nl-NL"/>
        </w:rPr>
        <w:t>, ongeacht de herkomst ervan, exclusief t</w:t>
      </w:r>
      <w:r w:rsidRPr="00916448" w:rsidR="00964DD0">
        <w:rPr>
          <w:rFonts w:ascii="Verdana" w:hAnsi="Verdana" w:cs="Arial"/>
          <w:sz w:val="18"/>
          <w:szCs w:val="18"/>
          <w:lang w:val="nl-NL"/>
        </w:rPr>
        <w:t xml:space="preserve">oekomt aan de </w:t>
      </w:r>
      <w:r w:rsidR="0021450B">
        <w:rPr>
          <w:rFonts w:ascii="Verdana" w:hAnsi="Verdana" w:cs="Arial"/>
          <w:sz w:val="18"/>
          <w:szCs w:val="18"/>
          <w:lang w:val="nl-NL"/>
        </w:rPr>
        <w:t>verdragsluitende staat</w:t>
      </w:r>
      <w:r w:rsidRPr="00916448">
        <w:rPr>
          <w:rFonts w:ascii="Verdana" w:hAnsi="Verdana" w:cs="Arial"/>
          <w:sz w:val="18"/>
          <w:szCs w:val="18"/>
          <w:lang w:val="nl-NL"/>
        </w:rPr>
        <w:t xml:space="preserve"> waar de </w:t>
      </w:r>
      <w:r w:rsidRPr="00916448" w:rsidR="00FE3D9A">
        <w:rPr>
          <w:rFonts w:ascii="Verdana" w:hAnsi="Verdana" w:cs="Arial"/>
          <w:sz w:val="18"/>
          <w:szCs w:val="18"/>
          <w:lang w:val="nl-NL"/>
        </w:rPr>
        <w:t>ontvanger</w:t>
      </w:r>
      <w:r w:rsidRPr="00916448">
        <w:rPr>
          <w:rFonts w:ascii="Verdana" w:hAnsi="Verdana" w:cs="Arial"/>
          <w:sz w:val="18"/>
          <w:szCs w:val="18"/>
          <w:lang w:val="nl-NL"/>
        </w:rPr>
        <w:t xml:space="preserve"> </w:t>
      </w:r>
      <w:r w:rsidRPr="00916448" w:rsidR="00FE3D9A">
        <w:rPr>
          <w:rFonts w:ascii="Verdana" w:hAnsi="Verdana" w:cs="Arial"/>
          <w:sz w:val="18"/>
          <w:szCs w:val="18"/>
          <w:lang w:val="nl-NL"/>
        </w:rPr>
        <w:t>van</w:t>
      </w:r>
      <w:r w:rsidRPr="00916448">
        <w:rPr>
          <w:rFonts w:ascii="Verdana" w:hAnsi="Verdana" w:cs="Arial"/>
          <w:sz w:val="18"/>
          <w:szCs w:val="18"/>
          <w:lang w:val="nl-NL"/>
        </w:rPr>
        <w:t xml:space="preserve"> die inkomsten woont. </w:t>
      </w:r>
    </w:p>
    <w:p w:rsidRPr="0021450B" w:rsidR="00897566" w:rsidP="009B275E" w:rsidRDefault="00A66A33" w14:paraId="36536FA7" w14:textId="77777777">
      <w:pPr>
        <w:ind w:firstLine="720"/>
        <w:rPr>
          <w:rFonts w:ascii="Verdana" w:hAnsi="Verdana" w:cs="Arial"/>
          <w:sz w:val="18"/>
          <w:szCs w:val="18"/>
          <w:lang w:val="nl-NL"/>
        </w:rPr>
      </w:pPr>
      <w:r w:rsidRPr="00780A5E">
        <w:rPr>
          <w:rFonts w:ascii="Verdana" w:hAnsi="Verdana" w:cs="Arial"/>
          <w:sz w:val="18"/>
          <w:szCs w:val="18"/>
          <w:lang w:val="nl-NL"/>
        </w:rPr>
        <w:lastRenderedPageBreak/>
        <w:t>Ingevolge het tweede lid is het eerste lid niet van toepassing op inkomsten die</w:t>
      </w:r>
      <w:r w:rsidRPr="00780A5E" w:rsidR="009A4B48">
        <w:rPr>
          <w:rFonts w:ascii="Verdana" w:hAnsi="Verdana" w:cs="Arial"/>
          <w:sz w:val="18"/>
          <w:szCs w:val="18"/>
          <w:lang w:val="nl-NL"/>
        </w:rPr>
        <w:t xml:space="preserve"> </w:t>
      </w:r>
      <w:r w:rsidRPr="00780A5E" w:rsidR="005978F6">
        <w:rPr>
          <w:rFonts w:ascii="Verdana" w:hAnsi="Verdana" w:cs="Arial"/>
          <w:sz w:val="18"/>
          <w:szCs w:val="18"/>
          <w:lang w:val="nl-NL"/>
        </w:rPr>
        <w:t xml:space="preserve">toerekenbaar zijn aan </w:t>
      </w:r>
      <w:r w:rsidRPr="00780A5E" w:rsidR="009A4B48">
        <w:rPr>
          <w:rFonts w:ascii="Verdana" w:hAnsi="Verdana" w:cs="Arial"/>
          <w:sz w:val="18"/>
          <w:szCs w:val="18"/>
          <w:lang w:val="nl-NL"/>
        </w:rPr>
        <w:t xml:space="preserve">een vaste inrichting </w:t>
      </w:r>
      <w:r w:rsidRPr="000819E4" w:rsidR="005978F6">
        <w:rPr>
          <w:rFonts w:ascii="Verdana" w:hAnsi="Verdana" w:cs="Arial"/>
          <w:sz w:val="18"/>
          <w:szCs w:val="18"/>
          <w:lang w:val="nl-NL"/>
        </w:rPr>
        <w:t xml:space="preserve">gelegen in een </w:t>
      </w:r>
      <w:r w:rsidR="0021450B">
        <w:rPr>
          <w:rFonts w:ascii="Verdana" w:hAnsi="Verdana" w:cs="Arial"/>
          <w:sz w:val="18"/>
          <w:szCs w:val="18"/>
          <w:lang w:val="nl-NL"/>
        </w:rPr>
        <w:t>verdragsluitende staat</w:t>
      </w:r>
      <w:r w:rsidRPr="000819E4" w:rsidR="009A4B48">
        <w:rPr>
          <w:rFonts w:ascii="Verdana" w:hAnsi="Verdana" w:cs="Arial"/>
          <w:sz w:val="18"/>
          <w:szCs w:val="18"/>
          <w:lang w:val="nl-NL"/>
        </w:rPr>
        <w:t xml:space="preserve">. </w:t>
      </w:r>
      <w:r w:rsidRPr="000819E4">
        <w:rPr>
          <w:rFonts w:ascii="Verdana" w:hAnsi="Verdana" w:cs="Arial"/>
          <w:sz w:val="18"/>
          <w:szCs w:val="18"/>
          <w:lang w:val="nl-NL"/>
        </w:rPr>
        <w:t xml:space="preserve">De </w:t>
      </w:r>
      <w:r w:rsidRPr="0021450B" w:rsidR="005978F6">
        <w:rPr>
          <w:rFonts w:ascii="Verdana" w:hAnsi="Verdana" w:cs="Arial"/>
          <w:sz w:val="18"/>
          <w:szCs w:val="18"/>
          <w:lang w:val="nl-NL"/>
        </w:rPr>
        <w:t xml:space="preserve">verdeling van het heffingsrecht </w:t>
      </w:r>
      <w:r w:rsidRPr="0021450B">
        <w:rPr>
          <w:rFonts w:ascii="Verdana" w:hAnsi="Verdana" w:cs="Arial"/>
          <w:sz w:val="18"/>
          <w:szCs w:val="18"/>
          <w:lang w:val="nl-NL"/>
        </w:rPr>
        <w:t>over die inkomsten volgt uit artikel 7 van het Verdrag, tenzij het inkomsten betreft uit onroerende zaken in de zin van artikel 6. In dat geval is artikel 6 van toepassing.</w:t>
      </w:r>
    </w:p>
    <w:p w:rsidRPr="006C1373" w:rsidR="00A47BAE" w:rsidP="004E2B58" w:rsidRDefault="00897566" w14:paraId="39EF3262" w14:textId="77777777">
      <w:pPr>
        <w:rPr>
          <w:rFonts w:ascii="Verdana" w:hAnsi="Verdana" w:cs="Arial"/>
          <w:sz w:val="18"/>
          <w:szCs w:val="18"/>
          <w:lang w:val="nl-NL"/>
        </w:rPr>
      </w:pPr>
      <w:r w:rsidRPr="0021450B">
        <w:rPr>
          <w:rFonts w:ascii="Verdana" w:hAnsi="Verdana" w:cs="Arial"/>
          <w:sz w:val="18"/>
          <w:szCs w:val="18"/>
          <w:lang w:val="nl-NL"/>
        </w:rPr>
        <w:t>Voor de toelichting op artikel II van het Protocol wordt verwezen naar de toelichting op artikel 1.</w:t>
      </w:r>
      <w:r w:rsidRPr="00BA2B89" w:rsidR="009B275E">
        <w:rPr>
          <w:rFonts w:ascii="Verdana" w:hAnsi="Verdana" w:cs="Arial"/>
          <w:sz w:val="18"/>
          <w:szCs w:val="18"/>
          <w:lang w:val="nl-NL"/>
        </w:rPr>
        <w:br/>
      </w:r>
    </w:p>
    <w:p w:rsidRPr="00916448" w:rsidR="005F46A2" w:rsidP="00EE5E60" w:rsidRDefault="005F46A2" w14:paraId="286CB5D7" w14:textId="77777777">
      <w:pPr>
        <w:pStyle w:val="Kop2"/>
        <w:numPr>
          <w:ilvl w:val="0"/>
          <w:numId w:val="0"/>
        </w:numPr>
        <w:spacing w:before="0" w:after="0"/>
        <w:rPr>
          <w:rFonts w:ascii="Verdana" w:hAnsi="Verdana"/>
          <w:sz w:val="18"/>
          <w:szCs w:val="18"/>
          <w:lang w:val="nl-NL"/>
        </w:rPr>
      </w:pPr>
      <w:r w:rsidRPr="00DD3563">
        <w:rPr>
          <w:rFonts w:ascii="Verdana" w:hAnsi="Verdana"/>
          <w:b w:val="0"/>
          <w:i/>
          <w:sz w:val="18"/>
          <w:szCs w:val="18"/>
          <w:lang w:val="nl-NL"/>
        </w:rPr>
        <w:t>II.</w:t>
      </w:r>
      <w:r w:rsidRPr="00DD3563">
        <w:rPr>
          <w:rFonts w:ascii="Verdana" w:hAnsi="Verdana" w:cs="Arial"/>
          <w:b w:val="0"/>
          <w:i/>
          <w:sz w:val="18"/>
          <w:szCs w:val="18"/>
          <w:lang w:val="nl-NL"/>
        </w:rPr>
        <w:t xml:space="preserve">22. </w:t>
      </w:r>
      <w:r w:rsidRPr="00DD3563" w:rsidR="00CF457A">
        <w:rPr>
          <w:rFonts w:ascii="Verdana" w:hAnsi="Verdana" w:cs="Arial"/>
          <w:b w:val="0"/>
          <w:i/>
          <w:sz w:val="18"/>
          <w:szCs w:val="18"/>
          <w:lang w:val="nl-NL"/>
        </w:rPr>
        <w:t>Vermijden van dubbele belasting</w:t>
      </w:r>
      <w:r w:rsidRPr="003F7CD6">
        <w:rPr>
          <w:rFonts w:ascii="Verdana" w:hAnsi="Verdana" w:cs="Arial"/>
          <w:b w:val="0"/>
          <w:i/>
          <w:sz w:val="18"/>
          <w:szCs w:val="18"/>
          <w:lang w:val="nl-NL"/>
        </w:rPr>
        <w:t xml:space="preserve"> (artikel 22</w:t>
      </w:r>
      <w:r w:rsidR="00916448">
        <w:rPr>
          <w:rFonts w:ascii="Verdana" w:hAnsi="Verdana" w:cs="Arial"/>
          <w:b w:val="0"/>
          <w:i/>
          <w:sz w:val="18"/>
          <w:szCs w:val="18"/>
          <w:lang w:val="nl-NL"/>
        </w:rPr>
        <w:t xml:space="preserve"> van het Verdrag</w:t>
      </w:r>
      <w:r w:rsidRPr="00916448">
        <w:rPr>
          <w:rFonts w:ascii="Verdana" w:hAnsi="Verdana" w:cs="Arial"/>
          <w:b w:val="0"/>
          <w:i/>
          <w:sz w:val="18"/>
          <w:szCs w:val="18"/>
          <w:lang w:val="nl-NL"/>
        </w:rPr>
        <w:t>)</w:t>
      </w:r>
      <w:r w:rsidRPr="00916448" w:rsidR="009B275E">
        <w:rPr>
          <w:rFonts w:ascii="Verdana" w:hAnsi="Verdana" w:cs="Arial"/>
          <w:b w:val="0"/>
          <w:i/>
          <w:sz w:val="18"/>
          <w:szCs w:val="18"/>
          <w:lang w:val="nl-NL"/>
        </w:rPr>
        <w:br/>
      </w:r>
    </w:p>
    <w:p w:rsidRPr="00780A5E" w:rsidR="00CF457A" w:rsidP="00CF457A" w:rsidRDefault="00CF457A" w14:paraId="6D88C395" w14:textId="0D01AD27">
      <w:pPr>
        <w:ind w:firstLine="720"/>
        <w:rPr>
          <w:rFonts w:ascii="Verdana" w:hAnsi="Verdana" w:cs="Arial"/>
          <w:sz w:val="18"/>
          <w:szCs w:val="18"/>
          <w:lang w:val="nl-NL"/>
        </w:rPr>
      </w:pPr>
      <w:r w:rsidRPr="00780A5E">
        <w:rPr>
          <w:rFonts w:ascii="Verdana" w:hAnsi="Verdana" w:cs="Arial"/>
          <w:sz w:val="18"/>
          <w:szCs w:val="18"/>
          <w:lang w:val="nl-NL"/>
        </w:rPr>
        <w:t xml:space="preserve">Artikel 23 geeft aan op welke manier beide </w:t>
      </w:r>
      <w:r w:rsidR="003103E7">
        <w:rPr>
          <w:rFonts w:ascii="Verdana" w:hAnsi="Verdana" w:cs="Arial"/>
          <w:sz w:val="18"/>
          <w:szCs w:val="18"/>
          <w:lang w:val="nl-NL"/>
        </w:rPr>
        <w:t>staten</w:t>
      </w:r>
      <w:r w:rsidRPr="00780A5E">
        <w:rPr>
          <w:rFonts w:ascii="Verdana" w:hAnsi="Verdana" w:cs="Arial"/>
          <w:sz w:val="18"/>
          <w:szCs w:val="18"/>
          <w:lang w:val="nl-NL"/>
        </w:rPr>
        <w:t xml:space="preserve"> dubbele belasting vermijden. Het eerste tot en met het </w:t>
      </w:r>
      <w:r w:rsidR="000268D9">
        <w:rPr>
          <w:rFonts w:ascii="Verdana" w:hAnsi="Verdana" w:cs="Arial"/>
          <w:sz w:val="18"/>
          <w:szCs w:val="18"/>
          <w:lang w:val="nl-NL"/>
        </w:rPr>
        <w:t>vijfde</w:t>
      </w:r>
      <w:r w:rsidRPr="00780A5E">
        <w:rPr>
          <w:rFonts w:ascii="Verdana" w:hAnsi="Verdana" w:cs="Arial"/>
          <w:sz w:val="18"/>
          <w:szCs w:val="18"/>
          <w:lang w:val="nl-NL"/>
        </w:rPr>
        <w:t xml:space="preserve"> lid bepalen hoe Nederland voorziet in het vermijden van dubbele belasting voor inkomsten genoten door een inwoner van Nederland die volgens het Verdrag (ook) in Bulgarije mogen worden belast.</w:t>
      </w:r>
    </w:p>
    <w:p w:rsidRPr="0021450B" w:rsidR="00CF457A" w:rsidP="00CF457A" w:rsidRDefault="00CF457A" w14:paraId="32C41A19" w14:textId="77777777">
      <w:pPr>
        <w:ind w:firstLine="720"/>
        <w:rPr>
          <w:rFonts w:ascii="Verdana" w:hAnsi="Verdana" w:cs="Arial"/>
          <w:sz w:val="18"/>
          <w:szCs w:val="18"/>
          <w:lang w:val="nl-NL"/>
        </w:rPr>
      </w:pPr>
      <w:r w:rsidRPr="00780A5E">
        <w:rPr>
          <w:rFonts w:ascii="Verdana" w:hAnsi="Verdana" w:cs="Arial"/>
          <w:sz w:val="18"/>
          <w:szCs w:val="18"/>
          <w:lang w:val="nl-NL"/>
        </w:rPr>
        <w:t xml:space="preserve">Uit het eerste lid volgt expliciet dat Nederland de inkomsten die ook in Bulgarije mogen worden belast in de grondslag mag betrekken waarnaar de Nederlandse belasting wordt geheven. Dit betreft het Nederlandse </w:t>
      </w:r>
      <w:r w:rsidRPr="00780A5E" w:rsidR="000B2ADE">
        <w:rPr>
          <w:rFonts w:ascii="Verdana" w:hAnsi="Verdana" w:cs="Arial"/>
          <w:sz w:val="18"/>
          <w:szCs w:val="18"/>
          <w:lang w:val="nl-NL"/>
        </w:rPr>
        <w:t>grondslagvoorbehou</w:t>
      </w:r>
      <w:r w:rsidRPr="000819E4" w:rsidR="000B2ADE">
        <w:rPr>
          <w:rFonts w:ascii="Verdana" w:hAnsi="Verdana" w:cs="Arial"/>
          <w:sz w:val="18"/>
          <w:szCs w:val="18"/>
          <w:lang w:val="nl-NL"/>
        </w:rPr>
        <w:t>d</w:t>
      </w:r>
      <w:r w:rsidRPr="000819E4">
        <w:rPr>
          <w:rFonts w:ascii="Verdana" w:hAnsi="Verdana" w:cs="Arial"/>
          <w:sz w:val="18"/>
          <w:szCs w:val="18"/>
          <w:lang w:val="nl-NL"/>
        </w:rPr>
        <w:t xml:space="preserve">. </w:t>
      </w:r>
      <w:r w:rsidRPr="000819E4" w:rsidR="00E73765">
        <w:rPr>
          <w:rFonts w:ascii="Verdana" w:hAnsi="Verdana" w:cs="Arial"/>
          <w:sz w:val="18"/>
          <w:szCs w:val="18"/>
          <w:lang w:val="nl-NL"/>
        </w:rPr>
        <w:t>Hierbij is</w:t>
      </w:r>
      <w:r w:rsidR="008524E1">
        <w:rPr>
          <w:rFonts w:ascii="Verdana" w:hAnsi="Verdana" w:cs="Arial"/>
          <w:sz w:val="18"/>
          <w:szCs w:val="18"/>
          <w:lang w:val="nl-NL"/>
        </w:rPr>
        <w:t xml:space="preserve"> als verduidelijking</w:t>
      </w:r>
      <w:r w:rsidRPr="000819E4" w:rsidR="00E73765">
        <w:rPr>
          <w:rFonts w:ascii="Verdana" w:hAnsi="Verdana" w:cs="Arial"/>
          <w:sz w:val="18"/>
          <w:szCs w:val="18"/>
          <w:lang w:val="nl-NL"/>
        </w:rPr>
        <w:t xml:space="preserve"> opgenomen dat Nederland geen</w:t>
      </w:r>
      <w:r w:rsidR="008524E1">
        <w:rPr>
          <w:rFonts w:ascii="Verdana" w:hAnsi="Verdana" w:cs="Arial"/>
          <w:sz w:val="18"/>
          <w:szCs w:val="18"/>
          <w:lang w:val="nl-NL"/>
        </w:rPr>
        <w:t xml:space="preserve"> vermindering ter vermijding </w:t>
      </w:r>
      <w:r w:rsidRPr="000819E4" w:rsidR="00E73765">
        <w:rPr>
          <w:rFonts w:ascii="Verdana" w:hAnsi="Verdana" w:cs="Arial"/>
          <w:sz w:val="18"/>
          <w:szCs w:val="18"/>
          <w:lang w:val="nl-NL"/>
        </w:rPr>
        <w:t xml:space="preserve">van dubbele belasting verleent </w:t>
      </w:r>
      <w:r w:rsidR="008524E1">
        <w:rPr>
          <w:rFonts w:ascii="Verdana" w:hAnsi="Verdana" w:cs="Arial"/>
          <w:sz w:val="18"/>
          <w:szCs w:val="18"/>
          <w:lang w:val="nl-NL"/>
        </w:rPr>
        <w:t>als sprake is van inkomsten die ook door Bulgarije mogen worden belast enkel omdat de inkomsten ook door een inwoner van Bulgarije worden genoten.</w:t>
      </w:r>
      <w:r w:rsidRPr="000819E4" w:rsidR="00E73765">
        <w:rPr>
          <w:rFonts w:ascii="Verdana" w:hAnsi="Verdana" w:cs="Arial"/>
          <w:sz w:val="18"/>
          <w:szCs w:val="18"/>
          <w:lang w:val="nl-NL"/>
        </w:rPr>
        <w:t xml:space="preserve"> Deze passage is ontleend aan het rapport bij BEPS-actie 6 en komt inhoudelijk overeen met artikel 1, tweede l</w:t>
      </w:r>
      <w:r w:rsidRPr="0021450B" w:rsidR="00E73765">
        <w:rPr>
          <w:rFonts w:ascii="Verdana" w:hAnsi="Verdana" w:cs="Arial"/>
          <w:sz w:val="18"/>
          <w:szCs w:val="18"/>
          <w:lang w:val="nl-NL"/>
        </w:rPr>
        <w:t>id, van het MLI.</w:t>
      </w:r>
      <w:r w:rsidR="008524E1">
        <w:rPr>
          <w:rFonts w:ascii="Verdana" w:hAnsi="Verdana" w:cs="Arial"/>
          <w:sz w:val="18"/>
          <w:szCs w:val="18"/>
          <w:lang w:val="nl-NL"/>
        </w:rPr>
        <w:t xml:space="preserve"> De toevoeging heeft als achtergrond de in artikel 1, tweede en derde lid, van het Verdrag opgenomen bepalingen over de behandeling van hybride entiteiten en de bevestiging dat daaruit niet voortvloeit dat een verdragsluitende staat niet gerechtigd zou zijn belasting te heffen van eigen inwoners.</w:t>
      </w:r>
    </w:p>
    <w:p w:rsidRPr="00DD3563" w:rsidR="00F951FD" w:rsidP="00CF457A" w:rsidRDefault="00CF457A" w14:paraId="282A0B5F" w14:textId="2EE97E4C">
      <w:pPr>
        <w:ind w:firstLine="720"/>
        <w:rPr>
          <w:rFonts w:ascii="Verdana" w:hAnsi="Verdana" w:cs="Arial"/>
          <w:sz w:val="18"/>
          <w:szCs w:val="18"/>
          <w:lang w:val="nl-NL"/>
        </w:rPr>
      </w:pPr>
      <w:r w:rsidRPr="0021450B">
        <w:rPr>
          <w:rFonts w:ascii="Verdana" w:hAnsi="Verdana" w:cs="Arial"/>
          <w:sz w:val="18"/>
          <w:szCs w:val="18"/>
          <w:lang w:val="nl-NL"/>
        </w:rPr>
        <w:t xml:space="preserve">Het tweede lid bepaalt vervolgens dat voor de daar genoemde inkomsten, belastingvermindering wordt verleend volgens de vrijstellingsmethode. Met betrekking tot de vennootschapsbelasting wordt daarbij het volgende opgemerkt. Met ingang van 1 januari 2012 is in afdeling 2.10a </w:t>
      </w:r>
      <w:r w:rsidRPr="00B05719" w:rsidR="000268D9">
        <w:rPr>
          <w:rFonts w:ascii="Verdana" w:hAnsi="Verdana" w:cs="Arial"/>
          <w:sz w:val="18"/>
          <w:szCs w:val="18"/>
          <w:lang w:val="nl-NL"/>
        </w:rPr>
        <w:t>Wet Vpb 1969</w:t>
      </w:r>
      <w:r w:rsidRPr="00B05719" w:rsidR="000268D9">
        <w:rPr>
          <w:rFonts w:ascii="Univers" w:hAnsi="Univers"/>
          <w:lang w:val="nl-NL"/>
        </w:rPr>
        <w:t xml:space="preserve"> </w:t>
      </w:r>
      <w:r w:rsidRPr="0021450B">
        <w:rPr>
          <w:rFonts w:ascii="Verdana" w:hAnsi="Verdana" w:cs="Arial"/>
          <w:sz w:val="18"/>
          <w:szCs w:val="18"/>
          <w:lang w:val="nl-NL"/>
        </w:rPr>
        <w:t>de zogenoemde objectvrijstelling voor buitenlandse ondernemingswinsten opgenomen. Toegespitst op het Verdrag wordt op basis van deze objectvrijstelling bij een belastingplichtige met winst uit Bulgarije de winst verminderd met de positieve en de negatieve bedragen van de winst uit Bulgarije die op basis van het Verdrag mede aan Bulgarije ter heffing is toegewezen en waarvoor Nederland op basis van de onderhavige bep</w:t>
      </w:r>
      <w:r w:rsidRPr="00BA2B89">
        <w:rPr>
          <w:rFonts w:ascii="Verdana" w:hAnsi="Verdana" w:cs="Arial"/>
          <w:sz w:val="18"/>
          <w:szCs w:val="18"/>
          <w:lang w:val="nl-NL"/>
        </w:rPr>
        <w:t xml:space="preserve">aling voor positieve bedragen een vrijstelling </w:t>
      </w:r>
      <w:r w:rsidRPr="00B6639D">
        <w:rPr>
          <w:rFonts w:ascii="Verdana" w:hAnsi="Verdana" w:cs="Arial"/>
          <w:sz w:val="18"/>
          <w:szCs w:val="18"/>
          <w:lang w:val="nl-NL"/>
        </w:rPr>
        <w:t>dient te verlenen. Voor de toepassing van het tweede lid houdt dit in dat door de objectvrijstelling de desbetreffende uit Bulgarije afkomstige (en aan Bulgarije ter heffing toegewezen) winsten per saldo geen deel meer uitmaken van de in het eerste lid bed</w:t>
      </w:r>
      <w:r w:rsidRPr="006C1373">
        <w:rPr>
          <w:rFonts w:ascii="Verdana" w:hAnsi="Verdana" w:cs="Arial"/>
          <w:sz w:val="18"/>
          <w:szCs w:val="18"/>
          <w:lang w:val="nl-NL"/>
        </w:rPr>
        <w:t>oelde grondslag waarover de vennootschapsbelasting wordt geheven. Mitsdien behoeft de in het tweede lid opgenomen vrijstellingsmethode hierop geen toepassing meer te vinden en wordt door de toepassing van de objectvrijstelling in feite voorzien in het verm</w:t>
      </w:r>
      <w:r w:rsidRPr="00DD3563">
        <w:rPr>
          <w:rFonts w:ascii="Verdana" w:hAnsi="Verdana" w:cs="Arial"/>
          <w:sz w:val="18"/>
          <w:szCs w:val="18"/>
          <w:lang w:val="nl-NL"/>
        </w:rPr>
        <w:t>ijden van dubbele belastingheffing. Aangezien de objectvrijstelling niet geldt voor de inkomstenbelasting blijft de in het derde lid opgenomen vrijstellingsmethode onverkort van belang voor de in dit onderdeel bedoelde inkomsten van natuurlijke personen.</w:t>
      </w:r>
      <w:r w:rsidRPr="00DD3563" w:rsidR="000C3C01">
        <w:rPr>
          <w:rFonts w:ascii="Verdana" w:hAnsi="Verdana" w:cs="Arial"/>
          <w:sz w:val="18"/>
          <w:szCs w:val="18"/>
          <w:lang w:val="nl-NL"/>
        </w:rPr>
        <w:t xml:space="preserve"> </w:t>
      </w:r>
    </w:p>
    <w:p w:rsidRPr="006515E9" w:rsidR="00CF457A" w:rsidP="00CF457A" w:rsidRDefault="000C3C01" w14:paraId="700310A1" w14:textId="77777777">
      <w:pPr>
        <w:ind w:firstLine="720"/>
        <w:rPr>
          <w:rFonts w:ascii="Verdana" w:hAnsi="Verdana" w:cs="Arial"/>
          <w:sz w:val="18"/>
          <w:szCs w:val="18"/>
          <w:lang w:val="nl-NL"/>
        </w:rPr>
      </w:pPr>
      <w:r w:rsidRPr="003F7CD6">
        <w:rPr>
          <w:rFonts w:ascii="Verdana" w:hAnsi="Verdana" w:cs="Arial"/>
          <w:sz w:val="18"/>
          <w:szCs w:val="18"/>
          <w:lang w:val="nl-NL"/>
        </w:rPr>
        <w:t>Het derde lid bevat een aanvulling op de vrijstellingsmethode. Op grond van deze bepaling</w:t>
      </w:r>
      <w:r w:rsidRPr="00606D22" w:rsidR="007B7047">
        <w:rPr>
          <w:rFonts w:ascii="Verdana" w:hAnsi="Verdana" w:cs="Arial"/>
          <w:sz w:val="18"/>
          <w:szCs w:val="18"/>
          <w:lang w:val="nl-NL"/>
        </w:rPr>
        <w:t xml:space="preserve"> </w:t>
      </w:r>
      <w:r w:rsidRPr="00606D22" w:rsidR="00F951FD">
        <w:rPr>
          <w:rFonts w:ascii="Verdana" w:hAnsi="Verdana" w:cs="Arial"/>
          <w:sz w:val="18"/>
          <w:szCs w:val="18"/>
          <w:lang w:val="nl-NL"/>
        </w:rPr>
        <w:t xml:space="preserve">is Nederland niet gehouden </w:t>
      </w:r>
      <w:r w:rsidRPr="00FA4BC6" w:rsidR="007B7047">
        <w:rPr>
          <w:rFonts w:ascii="Verdana" w:hAnsi="Verdana" w:cs="Arial"/>
          <w:sz w:val="18"/>
          <w:szCs w:val="18"/>
          <w:lang w:val="nl-NL"/>
        </w:rPr>
        <w:t>de vrijstellingsmeth</w:t>
      </w:r>
      <w:r w:rsidRPr="00BD4E1D" w:rsidR="00DF49E1">
        <w:rPr>
          <w:rFonts w:ascii="Verdana" w:hAnsi="Verdana" w:cs="Arial"/>
          <w:sz w:val="18"/>
          <w:szCs w:val="18"/>
          <w:lang w:val="nl-NL"/>
        </w:rPr>
        <w:t>ode</w:t>
      </w:r>
      <w:r w:rsidRPr="00BD4E1D" w:rsidR="00F951FD">
        <w:rPr>
          <w:rFonts w:ascii="Verdana" w:hAnsi="Verdana" w:cs="Arial"/>
          <w:sz w:val="18"/>
          <w:szCs w:val="18"/>
          <w:lang w:val="nl-NL"/>
        </w:rPr>
        <w:t xml:space="preserve"> toe te passen </w:t>
      </w:r>
      <w:r w:rsidRPr="00BD4E1D" w:rsidR="00DF49E1">
        <w:rPr>
          <w:rFonts w:ascii="Verdana" w:hAnsi="Verdana" w:cs="Arial"/>
          <w:sz w:val="18"/>
          <w:szCs w:val="18"/>
          <w:lang w:val="nl-NL"/>
        </w:rPr>
        <w:t>voor inkom</w:t>
      </w:r>
      <w:r w:rsidRPr="00E01754" w:rsidR="007B7047">
        <w:rPr>
          <w:rFonts w:ascii="Verdana" w:hAnsi="Verdana" w:cs="Arial"/>
          <w:sz w:val="18"/>
          <w:szCs w:val="18"/>
          <w:lang w:val="nl-NL"/>
        </w:rPr>
        <w:t xml:space="preserve">en </w:t>
      </w:r>
      <w:r w:rsidRPr="00E01754">
        <w:rPr>
          <w:rFonts w:ascii="Verdana" w:hAnsi="Verdana" w:cs="Arial"/>
          <w:sz w:val="18"/>
          <w:szCs w:val="18"/>
          <w:lang w:val="nl-NL"/>
        </w:rPr>
        <w:t xml:space="preserve">dat </w:t>
      </w:r>
      <w:r w:rsidRPr="003103E7" w:rsidR="00F951FD">
        <w:rPr>
          <w:rFonts w:ascii="Verdana" w:hAnsi="Verdana" w:cs="Arial"/>
          <w:sz w:val="18"/>
          <w:szCs w:val="18"/>
          <w:lang w:val="nl-NL"/>
        </w:rPr>
        <w:t>op basis</w:t>
      </w:r>
      <w:r w:rsidRPr="003103E7">
        <w:rPr>
          <w:rFonts w:ascii="Verdana" w:hAnsi="Verdana" w:cs="Arial"/>
          <w:sz w:val="18"/>
          <w:szCs w:val="18"/>
          <w:lang w:val="nl-NL"/>
        </w:rPr>
        <w:t xml:space="preserve"> van de bepalingen van het Verdrag door Bulgarije wordt</w:t>
      </w:r>
      <w:r w:rsidRPr="003103E7" w:rsidR="007B7047">
        <w:rPr>
          <w:rFonts w:ascii="Verdana" w:hAnsi="Verdana" w:cs="Arial"/>
          <w:sz w:val="18"/>
          <w:szCs w:val="18"/>
          <w:lang w:val="nl-NL"/>
        </w:rPr>
        <w:t xml:space="preserve"> vrijgesteld of </w:t>
      </w:r>
      <w:r w:rsidRPr="003103E7" w:rsidR="00F951FD">
        <w:rPr>
          <w:rFonts w:ascii="Verdana" w:hAnsi="Verdana" w:cs="Arial"/>
          <w:sz w:val="18"/>
          <w:szCs w:val="18"/>
          <w:lang w:val="nl-NL"/>
        </w:rPr>
        <w:t>tegen een lager tarief wordt</w:t>
      </w:r>
      <w:r w:rsidRPr="003103E7" w:rsidR="00DF49E1">
        <w:rPr>
          <w:rFonts w:ascii="Verdana" w:hAnsi="Verdana" w:cs="Arial"/>
          <w:sz w:val="18"/>
          <w:szCs w:val="18"/>
          <w:lang w:val="nl-NL"/>
        </w:rPr>
        <w:t xml:space="preserve"> </w:t>
      </w:r>
      <w:r w:rsidRPr="003103E7" w:rsidR="00DF49E1">
        <w:rPr>
          <w:rFonts w:ascii="Verdana" w:hAnsi="Verdana" w:cs="Arial"/>
          <w:sz w:val="18"/>
          <w:szCs w:val="18"/>
          <w:lang w:val="nl-NL"/>
        </w:rPr>
        <w:lastRenderedPageBreak/>
        <w:t>belast</w:t>
      </w:r>
      <w:r w:rsidRPr="003657E3" w:rsidR="00F951FD">
        <w:rPr>
          <w:rFonts w:ascii="Verdana" w:hAnsi="Verdana" w:cs="Arial"/>
          <w:sz w:val="18"/>
          <w:szCs w:val="18"/>
          <w:lang w:val="nl-NL"/>
        </w:rPr>
        <w:t xml:space="preserve"> op grond van artikel </w:t>
      </w:r>
      <w:r w:rsidRPr="00CB4452" w:rsidR="003823AC">
        <w:rPr>
          <w:rFonts w:ascii="Verdana" w:hAnsi="Verdana" w:cs="Arial"/>
          <w:sz w:val="18"/>
          <w:szCs w:val="18"/>
          <w:lang w:val="nl-NL"/>
        </w:rPr>
        <w:t>10, tweede of derde lid, artikel 11, tweede lid, of artikel 12, tweede lid</w:t>
      </w:r>
      <w:r w:rsidRPr="00CB4452" w:rsidR="007B7047">
        <w:rPr>
          <w:rFonts w:ascii="Verdana" w:hAnsi="Verdana" w:cs="Arial"/>
          <w:sz w:val="18"/>
          <w:szCs w:val="18"/>
          <w:lang w:val="nl-NL"/>
        </w:rPr>
        <w:t xml:space="preserve">. </w:t>
      </w:r>
      <w:r w:rsidRPr="00CB4452" w:rsidR="00DF49E1">
        <w:rPr>
          <w:rFonts w:ascii="Verdana" w:hAnsi="Verdana" w:cs="Arial"/>
          <w:sz w:val="18"/>
          <w:szCs w:val="18"/>
          <w:lang w:val="nl-NL"/>
        </w:rPr>
        <w:t xml:space="preserve">In dat geval zijn de bepalingen van het vierde lid (verrekeningsmethode) van toepassing. </w:t>
      </w:r>
      <w:r w:rsidRPr="00CB4452" w:rsidR="00A40C16">
        <w:rPr>
          <w:rFonts w:ascii="Verdana" w:hAnsi="Verdana" w:cs="Arial"/>
          <w:sz w:val="18"/>
          <w:szCs w:val="18"/>
          <w:lang w:val="nl-NL"/>
        </w:rPr>
        <w:t>Deze bepaling is gebaseerd op een voorstel uit het rapport bij BEPS-actie 2</w:t>
      </w:r>
      <w:r w:rsidR="0034419F">
        <w:rPr>
          <w:rFonts w:ascii="Verdana" w:hAnsi="Verdana" w:cs="Arial"/>
          <w:sz w:val="18"/>
          <w:szCs w:val="18"/>
          <w:lang w:val="nl-NL"/>
        </w:rPr>
        <w:t xml:space="preserve"> en in lijn met de keuze die</w:t>
      </w:r>
      <w:r w:rsidRPr="00CB4452" w:rsidR="00F951FD">
        <w:rPr>
          <w:rFonts w:ascii="Verdana" w:hAnsi="Verdana" w:cs="Arial"/>
          <w:sz w:val="18"/>
          <w:szCs w:val="18"/>
          <w:lang w:val="nl-NL"/>
        </w:rPr>
        <w:t xml:space="preserve"> Nederland</w:t>
      </w:r>
      <w:r w:rsidR="0034419F">
        <w:rPr>
          <w:rFonts w:ascii="Verdana" w:hAnsi="Verdana" w:cs="Arial"/>
          <w:sz w:val="18"/>
          <w:szCs w:val="18"/>
          <w:lang w:val="nl-NL"/>
        </w:rPr>
        <w:t xml:space="preserve"> op dit punt bij </w:t>
      </w:r>
      <w:r w:rsidRPr="00CB4452" w:rsidR="00F951FD">
        <w:rPr>
          <w:rFonts w:ascii="Verdana" w:hAnsi="Verdana" w:cs="Arial"/>
          <w:sz w:val="18"/>
          <w:szCs w:val="18"/>
          <w:lang w:val="nl-NL"/>
        </w:rPr>
        <w:t xml:space="preserve">het MLI </w:t>
      </w:r>
      <w:r w:rsidR="0034419F">
        <w:rPr>
          <w:rFonts w:ascii="Verdana" w:hAnsi="Verdana" w:cs="Arial"/>
          <w:sz w:val="18"/>
          <w:szCs w:val="18"/>
          <w:lang w:val="nl-NL"/>
        </w:rPr>
        <w:t>heeft gemaakt</w:t>
      </w:r>
      <w:r w:rsidRPr="00CB4452" w:rsidR="00F951FD">
        <w:rPr>
          <w:rFonts w:ascii="Verdana" w:hAnsi="Verdana" w:cs="Arial"/>
          <w:sz w:val="18"/>
          <w:szCs w:val="18"/>
          <w:lang w:val="nl-NL"/>
        </w:rPr>
        <w:t>.</w:t>
      </w:r>
      <w:r w:rsidRPr="006515E9" w:rsidR="008C113B">
        <w:rPr>
          <w:rFonts w:ascii="Verdana" w:hAnsi="Verdana" w:cs="Arial"/>
          <w:sz w:val="18"/>
          <w:szCs w:val="18"/>
          <w:lang w:val="nl-NL"/>
        </w:rPr>
        <w:t xml:space="preserve"> </w:t>
      </w:r>
    </w:p>
    <w:p w:rsidRPr="001F1D4E" w:rsidR="00CF457A" w:rsidP="00CF457A" w:rsidRDefault="00CF457A" w14:paraId="40A1D784" w14:textId="61485FF5">
      <w:pPr>
        <w:ind w:firstLine="720"/>
        <w:rPr>
          <w:rFonts w:ascii="Verdana" w:hAnsi="Verdana" w:cs="Arial"/>
          <w:sz w:val="18"/>
          <w:szCs w:val="18"/>
          <w:lang w:val="nl-NL"/>
        </w:rPr>
      </w:pPr>
      <w:r w:rsidRPr="0018301C">
        <w:rPr>
          <w:rFonts w:ascii="Verdana" w:hAnsi="Verdana" w:cs="Arial"/>
          <w:sz w:val="18"/>
          <w:szCs w:val="18"/>
          <w:lang w:val="nl-NL"/>
        </w:rPr>
        <w:t xml:space="preserve">In het </w:t>
      </w:r>
      <w:r w:rsidRPr="0018301C" w:rsidR="000C3C01">
        <w:rPr>
          <w:rFonts w:ascii="Verdana" w:hAnsi="Verdana" w:cs="Arial"/>
          <w:sz w:val="18"/>
          <w:szCs w:val="18"/>
          <w:lang w:val="nl-NL"/>
        </w:rPr>
        <w:t>vier</w:t>
      </w:r>
      <w:r w:rsidRPr="0018301C">
        <w:rPr>
          <w:rFonts w:ascii="Verdana" w:hAnsi="Verdana" w:cs="Arial"/>
          <w:sz w:val="18"/>
          <w:szCs w:val="18"/>
          <w:lang w:val="nl-NL"/>
        </w:rPr>
        <w:t xml:space="preserve">de lid wordt voor andere inkomsten waarover Bulgarije belasting mag heffen, uitgewerkt dat Nederland in die gevallen een </w:t>
      </w:r>
      <w:r w:rsidR="00F83D97">
        <w:rPr>
          <w:rFonts w:ascii="Verdana" w:hAnsi="Verdana" w:cs="Arial"/>
          <w:sz w:val="18"/>
          <w:szCs w:val="18"/>
          <w:lang w:val="nl-NL"/>
        </w:rPr>
        <w:t>aftrek</w:t>
      </w:r>
      <w:r w:rsidRPr="00EC1AE5" w:rsidR="00F83D97">
        <w:rPr>
          <w:rFonts w:ascii="Verdana" w:hAnsi="Verdana" w:cs="Arial"/>
          <w:sz w:val="18"/>
          <w:szCs w:val="18"/>
          <w:lang w:val="nl-NL"/>
        </w:rPr>
        <w:t xml:space="preserve"> </w:t>
      </w:r>
      <w:r w:rsidRPr="00EC1AE5">
        <w:rPr>
          <w:rFonts w:ascii="Verdana" w:hAnsi="Verdana" w:cs="Arial"/>
          <w:sz w:val="18"/>
          <w:szCs w:val="18"/>
          <w:lang w:val="nl-NL"/>
        </w:rPr>
        <w:t xml:space="preserve">ter vermijding van dubbele belasting verleent volgens de verrekeningsmethode met evenredigheidslimiet. </w:t>
      </w:r>
      <w:r w:rsidRPr="00EC1AE5" w:rsidR="00DF49E1">
        <w:rPr>
          <w:rFonts w:ascii="Verdana" w:hAnsi="Verdana" w:cs="Arial"/>
          <w:sz w:val="18"/>
          <w:szCs w:val="18"/>
          <w:lang w:val="nl-NL"/>
        </w:rPr>
        <w:t>Dit geldt</w:t>
      </w:r>
      <w:r w:rsidRPr="00EC1AE5">
        <w:rPr>
          <w:rFonts w:ascii="Verdana" w:hAnsi="Verdana" w:cs="Arial"/>
          <w:sz w:val="18"/>
          <w:szCs w:val="18"/>
          <w:lang w:val="nl-NL"/>
        </w:rPr>
        <w:t>, kort gezegd,</w:t>
      </w:r>
      <w:r w:rsidRPr="00EC1AE5" w:rsidR="00DF49E1">
        <w:rPr>
          <w:rFonts w:ascii="Verdana" w:hAnsi="Verdana" w:cs="Arial"/>
          <w:sz w:val="18"/>
          <w:szCs w:val="18"/>
          <w:lang w:val="nl-NL"/>
        </w:rPr>
        <w:t xml:space="preserve"> voor</w:t>
      </w:r>
      <w:r w:rsidRPr="001F1D4E">
        <w:rPr>
          <w:rFonts w:ascii="Verdana" w:hAnsi="Verdana" w:cs="Arial"/>
          <w:sz w:val="18"/>
          <w:szCs w:val="18"/>
          <w:lang w:val="nl-NL"/>
        </w:rPr>
        <w:t xml:space="preserve"> passieve inkomsten, zoals dividenden, rente en royalty’s, maar ook</w:t>
      </w:r>
      <w:r w:rsidR="00340BF3">
        <w:rPr>
          <w:rFonts w:ascii="Verdana" w:hAnsi="Verdana" w:cs="Arial"/>
          <w:sz w:val="18"/>
          <w:szCs w:val="18"/>
          <w:lang w:val="nl-NL"/>
        </w:rPr>
        <w:t xml:space="preserve"> voor bepaalde</w:t>
      </w:r>
      <w:r w:rsidRPr="001F1D4E">
        <w:rPr>
          <w:rFonts w:ascii="Verdana" w:hAnsi="Verdana" w:cs="Arial"/>
          <w:sz w:val="18"/>
          <w:szCs w:val="18"/>
          <w:lang w:val="nl-NL"/>
        </w:rPr>
        <w:t xml:space="preserve"> vervreemdingswinsten, bestuurdersinkomsten, inkomsten van artiesten en sportbeoefenaars, afkoopsommen van pensioenen en dergelijke waarvoor een bronstaatheffing geldt. </w:t>
      </w:r>
      <w:r w:rsidR="00340BF3">
        <w:rPr>
          <w:rFonts w:ascii="Verdana" w:hAnsi="Verdana" w:cs="Arial"/>
          <w:sz w:val="18"/>
          <w:szCs w:val="18"/>
          <w:lang w:val="nl-NL"/>
        </w:rPr>
        <w:t>V</w:t>
      </w:r>
      <w:r w:rsidRPr="009C1B4D" w:rsidR="00340BF3">
        <w:rPr>
          <w:rFonts w:ascii="Verdana" w:hAnsi="Verdana" w:cs="Arial"/>
          <w:sz w:val="18"/>
          <w:szCs w:val="18"/>
          <w:lang w:val="nl-NL"/>
        </w:rPr>
        <w:t xml:space="preserve">oorts </w:t>
      </w:r>
      <w:r w:rsidR="00340BF3">
        <w:rPr>
          <w:rFonts w:ascii="Verdana" w:hAnsi="Verdana" w:cs="Arial"/>
          <w:sz w:val="18"/>
          <w:szCs w:val="18"/>
          <w:lang w:val="nl-NL"/>
        </w:rPr>
        <w:t xml:space="preserve">wordt in de derde zin van dit derde lid </w:t>
      </w:r>
      <w:r w:rsidRPr="009C1B4D" w:rsidR="00340BF3">
        <w:rPr>
          <w:rFonts w:ascii="Verdana" w:hAnsi="Verdana" w:cs="Arial"/>
          <w:sz w:val="18"/>
          <w:szCs w:val="18"/>
          <w:lang w:val="nl-NL"/>
        </w:rPr>
        <w:t>expliciet</w:t>
      </w:r>
      <w:r w:rsidR="00340BF3">
        <w:rPr>
          <w:rFonts w:ascii="Verdana" w:hAnsi="Verdana" w:cs="Arial"/>
          <w:sz w:val="18"/>
          <w:szCs w:val="18"/>
          <w:lang w:val="nl-NL"/>
        </w:rPr>
        <w:t xml:space="preserve"> </w:t>
      </w:r>
      <w:r w:rsidRPr="009C1B4D" w:rsidR="00340BF3">
        <w:rPr>
          <w:rFonts w:ascii="Verdana" w:hAnsi="Verdana" w:cs="Arial"/>
          <w:sz w:val="18"/>
          <w:szCs w:val="18"/>
          <w:lang w:val="nl-NL"/>
        </w:rPr>
        <w:t xml:space="preserve">vastgelegd dat het Verdrag niet afdoet aan de </w:t>
      </w:r>
      <w:r w:rsidR="00340BF3">
        <w:rPr>
          <w:rFonts w:ascii="Verdana" w:hAnsi="Verdana" w:cs="Arial"/>
          <w:sz w:val="18"/>
          <w:szCs w:val="18"/>
          <w:lang w:val="nl-NL"/>
        </w:rPr>
        <w:t xml:space="preserve">toepassing van de </w:t>
      </w:r>
      <w:r w:rsidRPr="009C1B4D" w:rsidR="00340BF3">
        <w:rPr>
          <w:rFonts w:ascii="Verdana" w:hAnsi="Verdana" w:cs="Arial"/>
          <w:sz w:val="18"/>
          <w:szCs w:val="18"/>
          <w:lang w:val="nl-NL"/>
        </w:rPr>
        <w:t>in de Nederlandse regelgeving</w:t>
      </w:r>
      <w:r w:rsidR="00340BF3">
        <w:rPr>
          <w:rFonts w:ascii="Verdana" w:hAnsi="Verdana" w:cs="Arial"/>
          <w:sz w:val="18"/>
          <w:szCs w:val="18"/>
          <w:lang w:val="nl-NL"/>
        </w:rPr>
        <w:t xml:space="preserve"> </w:t>
      </w:r>
      <w:r w:rsidRPr="009C1B4D" w:rsidR="00340BF3">
        <w:rPr>
          <w:rFonts w:ascii="Verdana" w:hAnsi="Verdana" w:cs="Arial"/>
          <w:sz w:val="18"/>
          <w:szCs w:val="18"/>
          <w:lang w:val="nl-NL"/>
        </w:rPr>
        <w:t xml:space="preserve">vastgelegde </w:t>
      </w:r>
      <w:r w:rsidR="00340BF3">
        <w:rPr>
          <w:rFonts w:ascii="Verdana" w:hAnsi="Verdana" w:cs="Arial"/>
          <w:sz w:val="18"/>
          <w:szCs w:val="18"/>
          <w:lang w:val="nl-NL"/>
        </w:rPr>
        <w:t>‘gezamenlijke methode’</w:t>
      </w:r>
      <w:r w:rsidRPr="009C1B4D" w:rsidR="00340BF3">
        <w:rPr>
          <w:rFonts w:ascii="Verdana" w:hAnsi="Verdana" w:cs="Arial"/>
          <w:sz w:val="18"/>
          <w:szCs w:val="18"/>
          <w:lang w:val="nl-NL"/>
        </w:rPr>
        <w:t xml:space="preserve"> en voortwentelingsmogelijkhe</w:t>
      </w:r>
      <w:r w:rsidR="00340BF3">
        <w:rPr>
          <w:rFonts w:ascii="Verdana" w:hAnsi="Verdana" w:cs="Arial"/>
          <w:sz w:val="18"/>
          <w:szCs w:val="18"/>
          <w:lang w:val="nl-NL"/>
        </w:rPr>
        <w:t xml:space="preserve">den </w:t>
      </w:r>
      <w:r w:rsidRPr="009C1B4D" w:rsidR="00340BF3">
        <w:rPr>
          <w:rFonts w:ascii="Verdana" w:hAnsi="Verdana" w:cs="Arial"/>
          <w:sz w:val="18"/>
          <w:szCs w:val="18"/>
          <w:lang w:val="nl-NL"/>
        </w:rPr>
        <w:t>bij de verrekening van</w:t>
      </w:r>
      <w:r w:rsidR="00340BF3">
        <w:rPr>
          <w:rFonts w:ascii="Verdana" w:hAnsi="Verdana" w:cs="Arial"/>
          <w:sz w:val="18"/>
          <w:szCs w:val="18"/>
          <w:lang w:val="nl-NL"/>
        </w:rPr>
        <w:t xml:space="preserve">, in dit geval, Bulgaarse </w:t>
      </w:r>
      <w:r w:rsidRPr="009C1B4D" w:rsidR="00340BF3">
        <w:rPr>
          <w:rFonts w:ascii="Verdana" w:hAnsi="Verdana" w:cs="Arial"/>
          <w:sz w:val="18"/>
          <w:szCs w:val="18"/>
          <w:lang w:val="nl-NL"/>
        </w:rPr>
        <w:t>belasting.</w:t>
      </w:r>
    </w:p>
    <w:p w:rsidRPr="00F578EC" w:rsidR="00CF457A" w:rsidP="00CF457A" w:rsidRDefault="00CF457A" w14:paraId="1BD5B381" w14:textId="77AB57A0">
      <w:pPr>
        <w:ind w:firstLine="720"/>
        <w:rPr>
          <w:rFonts w:ascii="Verdana" w:hAnsi="Verdana" w:cs="Arial"/>
          <w:sz w:val="18"/>
          <w:szCs w:val="18"/>
          <w:lang w:val="nl-NL"/>
        </w:rPr>
      </w:pPr>
      <w:r w:rsidRPr="00946BD2">
        <w:rPr>
          <w:rFonts w:ascii="Verdana" w:hAnsi="Verdana" w:cs="Arial"/>
          <w:sz w:val="18"/>
          <w:szCs w:val="18"/>
          <w:lang w:val="nl-NL"/>
        </w:rPr>
        <w:t>In het vi</w:t>
      </w:r>
      <w:r w:rsidRPr="00946BD2" w:rsidR="00A40C16">
        <w:rPr>
          <w:rFonts w:ascii="Verdana" w:hAnsi="Verdana" w:cs="Arial"/>
          <w:sz w:val="18"/>
          <w:szCs w:val="18"/>
          <w:lang w:val="nl-NL"/>
        </w:rPr>
        <w:t>jfde</w:t>
      </w:r>
      <w:r w:rsidRPr="00BD0016">
        <w:rPr>
          <w:rFonts w:ascii="Verdana" w:hAnsi="Verdana" w:cs="Arial"/>
          <w:sz w:val="18"/>
          <w:szCs w:val="18"/>
          <w:lang w:val="nl-NL"/>
        </w:rPr>
        <w:t xml:space="preserve"> lid is ten slotte neergelegd dat Nederland bij het vermijden van dubbele belasting over winst behaald met een in Bulgarije ge</w:t>
      </w:r>
      <w:r w:rsidRPr="007024F8">
        <w:rPr>
          <w:rFonts w:ascii="Verdana" w:hAnsi="Verdana" w:cs="Arial"/>
          <w:sz w:val="18"/>
          <w:szCs w:val="18"/>
          <w:lang w:val="nl-NL"/>
        </w:rPr>
        <w:t>legen vaste inrichting</w:t>
      </w:r>
      <w:r w:rsidR="00340BF3">
        <w:rPr>
          <w:rFonts w:ascii="Verdana" w:hAnsi="Verdana" w:cs="Arial"/>
          <w:sz w:val="18"/>
          <w:szCs w:val="18"/>
          <w:lang w:val="nl-NL"/>
        </w:rPr>
        <w:t xml:space="preserve"> en bij de vervreemding van belangen in Bulgaarse vastgoedvennootschappen,</w:t>
      </w:r>
      <w:r w:rsidRPr="007024F8">
        <w:rPr>
          <w:rFonts w:ascii="Verdana" w:hAnsi="Verdana" w:cs="Arial"/>
          <w:sz w:val="18"/>
          <w:szCs w:val="18"/>
          <w:lang w:val="nl-NL"/>
        </w:rPr>
        <w:t xml:space="preserve"> de verrekeningsmethode hanteert in plaats van de vrijstellingsmethode, indien op grond van de vermijdingsregelingen in de Nederlandse regelgeving die methode toepassing vindt bij het vermijden van dubbele belasting over dat inkomen. Dit is de zogenoemde ‘zwarte</w:t>
      </w:r>
      <w:r w:rsidRPr="00556990">
        <w:rPr>
          <w:rFonts w:ascii="Verdana" w:hAnsi="Verdana" w:cs="Arial"/>
          <w:sz w:val="18"/>
          <w:szCs w:val="18"/>
          <w:lang w:val="nl-NL"/>
        </w:rPr>
        <w:t>gatenbepaling’. Zo is bij de hiervoor beschreven objectvrijstelling bepaald dat de objectvrijstel</w:t>
      </w:r>
      <w:r w:rsidRPr="001C6327">
        <w:rPr>
          <w:rFonts w:ascii="Verdana" w:hAnsi="Verdana" w:cs="Arial"/>
          <w:sz w:val="18"/>
          <w:szCs w:val="18"/>
          <w:lang w:val="nl-NL"/>
        </w:rPr>
        <w:t xml:space="preserve">ling niet geldt voor winst uit een laagbelaste buitenlandse beleggingsonderneming als bedoeld in artikel 15g van de </w:t>
      </w:r>
      <w:r w:rsidRPr="00B05719" w:rsidR="003F557E">
        <w:rPr>
          <w:rFonts w:ascii="Verdana" w:hAnsi="Verdana" w:cs="Arial"/>
          <w:sz w:val="18"/>
          <w:szCs w:val="18"/>
          <w:lang w:val="nl-NL"/>
        </w:rPr>
        <w:t>Wet Vpb 1969</w:t>
      </w:r>
      <w:r w:rsidRPr="001C6327">
        <w:rPr>
          <w:rFonts w:ascii="Verdana" w:hAnsi="Verdana" w:cs="Arial"/>
          <w:sz w:val="18"/>
          <w:szCs w:val="18"/>
          <w:lang w:val="nl-NL"/>
        </w:rPr>
        <w:t>; in dat geval wordt voorzien in een verrekening van de op die winst drukkende buitenlandse belasting o</w:t>
      </w:r>
      <w:r w:rsidRPr="00F578EC">
        <w:rPr>
          <w:rFonts w:ascii="Verdana" w:hAnsi="Verdana" w:cs="Arial"/>
          <w:sz w:val="18"/>
          <w:szCs w:val="18"/>
          <w:lang w:val="nl-NL"/>
        </w:rPr>
        <w:t xml:space="preserve">p </w:t>
      </w:r>
      <w:r w:rsidR="00DD734F">
        <w:rPr>
          <w:rFonts w:ascii="Verdana" w:hAnsi="Verdana" w:cs="Arial"/>
          <w:sz w:val="18"/>
          <w:szCs w:val="18"/>
          <w:lang w:val="nl-NL"/>
        </w:rPr>
        <w:t>grond</w:t>
      </w:r>
      <w:r w:rsidRPr="00F578EC">
        <w:rPr>
          <w:rFonts w:ascii="Verdana" w:hAnsi="Verdana" w:cs="Arial"/>
          <w:sz w:val="18"/>
          <w:szCs w:val="18"/>
          <w:lang w:val="nl-NL"/>
        </w:rPr>
        <w:t xml:space="preserve"> van de in artikel 23d van die wet getroffen regeling. Door het opnemen van het vi</w:t>
      </w:r>
      <w:r w:rsidR="00DD734F">
        <w:rPr>
          <w:rFonts w:ascii="Verdana" w:hAnsi="Verdana" w:cs="Arial"/>
          <w:sz w:val="18"/>
          <w:szCs w:val="18"/>
          <w:lang w:val="nl-NL"/>
        </w:rPr>
        <w:t>jfde</w:t>
      </w:r>
      <w:r w:rsidRPr="00F578EC">
        <w:rPr>
          <w:rFonts w:ascii="Verdana" w:hAnsi="Verdana" w:cs="Arial"/>
          <w:sz w:val="18"/>
          <w:szCs w:val="18"/>
          <w:lang w:val="nl-NL"/>
        </w:rPr>
        <w:t xml:space="preserve"> lid kan Nederland deze in de Nederlandse wetgeving opgenomen regeling ter vermijding van dubbele belasting ook in relatie tot Bulgarije toepassen.</w:t>
      </w:r>
    </w:p>
    <w:p w:rsidRPr="005C1870" w:rsidR="00CF457A" w:rsidP="006C286E" w:rsidRDefault="00CF457A" w14:paraId="70541974" w14:textId="77777777">
      <w:pPr>
        <w:rPr>
          <w:rFonts w:ascii="Verdana" w:hAnsi="Verdana"/>
          <w:sz w:val="18"/>
          <w:szCs w:val="18"/>
          <w:lang w:val="nl-NL"/>
        </w:rPr>
      </w:pPr>
      <w:r w:rsidRPr="00BC6175">
        <w:rPr>
          <w:rFonts w:ascii="Verdana" w:hAnsi="Verdana" w:cs="Arial"/>
          <w:sz w:val="18"/>
          <w:szCs w:val="18"/>
          <w:lang w:val="nl-NL"/>
        </w:rPr>
        <w:t xml:space="preserve">Het </w:t>
      </w:r>
      <w:r w:rsidRPr="00BC6175" w:rsidR="00A40C16">
        <w:rPr>
          <w:rFonts w:ascii="Verdana" w:hAnsi="Verdana" w:cs="Arial"/>
          <w:sz w:val="18"/>
          <w:szCs w:val="18"/>
          <w:lang w:val="nl-NL"/>
        </w:rPr>
        <w:t>zesde</w:t>
      </w:r>
      <w:r w:rsidRPr="00BC6175">
        <w:rPr>
          <w:rFonts w:ascii="Verdana" w:hAnsi="Verdana" w:cs="Arial"/>
          <w:sz w:val="18"/>
          <w:szCs w:val="18"/>
          <w:lang w:val="nl-NL"/>
        </w:rPr>
        <w:t xml:space="preserve"> lid</w:t>
      </w:r>
      <w:r w:rsidR="00533DFA">
        <w:rPr>
          <w:rFonts w:ascii="Verdana" w:hAnsi="Verdana" w:cs="Arial"/>
          <w:sz w:val="18"/>
          <w:szCs w:val="18"/>
          <w:lang w:val="nl-NL"/>
        </w:rPr>
        <w:t xml:space="preserve"> bepaalt </w:t>
      </w:r>
      <w:r w:rsidRPr="00533DFA" w:rsidR="00533DFA">
        <w:rPr>
          <w:rFonts w:ascii="Verdana" w:hAnsi="Verdana" w:cs="Arial"/>
          <w:sz w:val="18"/>
          <w:szCs w:val="18"/>
          <w:lang w:val="nl-NL"/>
        </w:rPr>
        <w:t xml:space="preserve">hoe </w:t>
      </w:r>
      <w:r w:rsidR="00533DFA">
        <w:rPr>
          <w:rFonts w:ascii="Verdana" w:hAnsi="Verdana" w:cs="Arial"/>
          <w:sz w:val="18"/>
          <w:szCs w:val="18"/>
          <w:lang w:val="nl-NL"/>
        </w:rPr>
        <w:t xml:space="preserve">Bulgarije </w:t>
      </w:r>
      <w:r w:rsidRPr="00533DFA" w:rsidR="00533DFA">
        <w:rPr>
          <w:rFonts w:ascii="Verdana" w:hAnsi="Verdana" w:cs="Arial"/>
          <w:sz w:val="18"/>
          <w:szCs w:val="18"/>
          <w:lang w:val="nl-NL"/>
        </w:rPr>
        <w:t xml:space="preserve">voorziet in het vermijden van dubbele belasting voor inkomsten genoten door een inwoner van </w:t>
      </w:r>
      <w:r w:rsidR="00533DFA">
        <w:rPr>
          <w:rFonts w:ascii="Verdana" w:hAnsi="Verdana" w:cs="Arial"/>
          <w:sz w:val="18"/>
          <w:szCs w:val="18"/>
          <w:lang w:val="nl-NL"/>
        </w:rPr>
        <w:t xml:space="preserve">Bulgarije </w:t>
      </w:r>
      <w:r w:rsidRPr="00533DFA" w:rsidR="00533DFA">
        <w:rPr>
          <w:rFonts w:ascii="Verdana" w:hAnsi="Verdana" w:cs="Arial"/>
          <w:sz w:val="18"/>
          <w:szCs w:val="18"/>
          <w:lang w:val="nl-NL"/>
        </w:rPr>
        <w:t xml:space="preserve">die volgens het Verdrag (ook) in </w:t>
      </w:r>
      <w:r w:rsidR="00533DFA">
        <w:rPr>
          <w:rFonts w:ascii="Verdana" w:hAnsi="Verdana" w:cs="Arial"/>
          <w:sz w:val="18"/>
          <w:szCs w:val="18"/>
          <w:lang w:val="nl-NL"/>
        </w:rPr>
        <w:t xml:space="preserve">Nederland </w:t>
      </w:r>
      <w:r w:rsidRPr="00533DFA" w:rsidR="00533DFA">
        <w:rPr>
          <w:rFonts w:ascii="Verdana" w:hAnsi="Verdana" w:cs="Arial"/>
          <w:sz w:val="18"/>
          <w:szCs w:val="18"/>
          <w:lang w:val="nl-NL"/>
        </w:rPr>
        <w:t>mogen worden belast.</w:t>
      </w:r>
      <w:r w:rsidR="00533DFA">
        <w:rPr>
          <w:rFonts w:ascii="Verdana" w:hAnsi="Verdana" w:cs="Arial"/>
          <w:sz w:val="18"/>
          <w:szCs w:val="18"/>
          <w:lang w:val="nl-NL"/>
        </w:rPr>
        <w:t xml:space="preserve"> O</w:t>
      </w:r>
      <w:r w:rsidRPr="00BC6175">
        <w:rPr>
          <w:rFonts w:ascii="Verdana" w:hAnsi="Verdana" w:cs="Arial"/>
          <w:sz w:val="18"/>
          <w:szCs w:val="18"/>
          <w:lang w:val="nl-NL"/>
        </w:rPr>
        <w:t>nderdeel a geeft aan dat als een inwoner van Bulgarije inkomen ontvangt dat v</w:t>
      </w:r>
      <w:r w:rsidRPr="00CF22A8">
        <w:rPr>
          <w:rFonts w:ascii="Verdana" w:hAnsi="Verdana" w:cs="Arial"/>
          <w:sz w:val="18"/>
          <w:szCs w:val="18"/>
          <w:lang w:val="nl-NL"/>
        </w:rPr>
        <w:t xml:space="preserve">olgens dit Verdrag mag worden belast in Nederland, Bulgarije vermindering ter vermijding van dubbele belasting verleent in overeenstemming met de fiscale wetgeving in Bulgarije. Bulgarije hanteert hierbij de verrekeningsmethode op basis van de zogenoemde </w:t>
      </w:r>
      <w:r w:rsidRPr="0066320E">
        <w:rPr>
          <w:rFonts w:ascii="Verdana" w:hAnsi="Verdana" w:cs="Arial"/>
          <w:iCs/>
          <w:sz w:val="18"/>
          <w:szCs w:val="18"/>
          <w:lang w:val="nl-NL"/>
        </w:rPr>
        <w:t>ordinary</w:t>
      </w:r>
      <w:r w:rsidR="00BD0016">
        <w:rPr>
          <w:rFonts w:ascii="Verdana" w:hAnsi="Verdana" w:cs="Arial"/>
          <w:iCs/>
          <w:sz w:val="18"/>
          <w:szCs w:val="18"/>
          <w:lang w:val="nl-NL"/>
        </w:rPr>
        <w:t>-</w:t>
      </w:r>
      <w:r w:rsidRPr="0066320E">
        <w:rPr>
          <w:rFonts w:ascii="Verdana" w:hAnsi="Verdana" w:cs="Arial"/>
          <w:iCs/>
          <w:sz w:val="18"/>
          <w:szCs w:val="18"/>
          <w:lang w:val="nl-NL"/>
        </w:rPr>
        <w:t>credit</w:t>
      </w:r>
      <w:r w:rsidRPr="005C1870">
        <w:rPr>
          <w:rFonts w:ascii="Verdana" w:hAnsi="Verdana" w:cs="Arial"/>
          <w:sz w:val="18"/>
          <w:szCs w:val="18"/>
          <w:lang w:val="nl-NL"/>
        </w:rPr>
        <w:t xml:space="preserve">-methode, waarbij Bulgarije niet meer aftrek verleent dan de Bulgaarse belasting die toerekenbaar is aan het inkomen dat belast mag worden door Nederland. </w:t>
      </w:r>
      <w:r w:rsidR="00533DFA">
        <w:rPr>
          <w:rFonts w:ascii="Verdana" w:hAnsi="Verdana" w:cs="Arial"/>
          <w:sz w:val="18"/>
          <w:szCs w:val="18"/>
          <w:lang w:val="nl-NL"/>
        </w:rPr>
        <w:t>O</w:t>
      </w:r>
      <w:r w:rsidRPr="005C1870">
        <w:rPr>
          <w:rFonts w:ascii="Verdana" w:hAnsi="Verdana" w:cs="Arial"/>
          <w:sz w:val="18"/>
          <w:szCs w:val="18"/>
          <w:lang w:val="nl-NL"/>
        </w:rPr>
        <w:t xml:space="preserve">nderdeel b geeft aan dat Bulgarije </w:t>
      </w:r>
      <w:r w:rsidRPr="00916448" w:rsidR="00E12D18">
        <w:rPr>
          <w:rFonts w:ascii="Verdana" w:hAnsi="Verdana" w:cs="Arial"/>
          <w:sz w:val="18"/>
          <w:szCs w:val="18"/>
          <w:lang w:val="nl-NL"/>
        </w:rPr>
        <w:t>zich het recht voorbehoud</w:t>
      </w:r>
      <w:r w:rsidR="00533DFA">
        <w:rPr>
          <w:rFonts w:ascii="Verdana" w:hAnsi="Verdana" w:cs="Arial"/>
          <w:sz w:val="18"/>
          <w:szCs w:val="18"/>
          <w:lang w:val="nl-NL"/>
        </w:rPr>
        <w:t>t</w:t>
      </w:r>
      <w:r w:rsidRPr="00916448" w:rsidR="00E12D18">
        <w:rPr>
          <w:rFonts w:ascii="Verdana" w:hAnsi="Verdana" w:cs="Arial"/>
          <w:sz w:val="18"/>
          <w:szCs w:val="18"/>
          <w:lang w:val="nl-NL"/>
        </w:rPr>
        <w:t xml:space="preserve"> om</w:t>
      </w:r>
      <w:r w:rsidRPr="00916448" w:rsidR="008C113B">
        <w:rPr>
          <w:rFonts w:ascii="Verdana" w:hAnsi="Verdana" w:cs="Arial"/>
          <w:sz w:val="18"/>
          <w:szCs w:val="18"/>
          <w:lang w:val="nl-NL"/>
        </w:rPr>
        <w:t xml:space="preserve"> </w:t>
      </w:r>
      <w:r w:rsidRPr="00916448" w:rsidR="00E12D18">
        <w:rPr>
          <w:rFonts w:ascii="Verdana" w:hAnsi="Verdana" w:cs="Arial"/>
          <w:sz w:val="18"/>
          <w:szCs w:val="18"/>
          <w:lang w:val="nl-NL"/>
        </w:rPr>
        <w:t>inkomen dat op grond van het Verdrag in Bulgarije niet mag worden belast wel in aanmerking te nemen bij de bepaling van de belasting over het overige inkomen van de Bu</w:t>
      </w:r>
      <w:r w:rsidRPr="00916448" w:rsidR="00C92F06">
        <w:rPr>
          <w:rFonts w:ascii="Verdana" w:hAnsi="Verdana" w:cs="Arial"/>
          <w:sz w:val="18"/>
          <w:szCs w:val="18"/>
          <w:lang w:val="nl-NL"/>
        </w:rPr>
        <w:t>lgaarse inwoner (progressievoorbehoud)</w:t>
      </w:r>
      <w:r w:rsidRPr="00916448">
        <w:rPr>
          <w:rFonts w:ascii="Verdana" w:hAnsi="Verdana" w:cs="Arial"/>
          <w:sz w:val="18"/>
          <w:szCs w:val="18"/>
          <w:lang w:val="nl-NL"/>
        </w:rPr>
        <w:t xml:space="preserve">. </w:t>
      </w:r>
      <w:r w:rsidRPr="00916448">
        <w:rPr>
          <w:rFonts w:ascii="Verdana" w:hAnsi="Verdana" w:cs="Arial"/>
          <w:sz w:val="18"/>
          <w:szCs w:val="18"/>
          <w:lang w:val="nl-NL"/>
        </w:rPr>
        <w:br/>
      </w:r>
    </w:p>
    <w:p w:rsidRPr="005C1870" w:rsidR="00500251" w:rsidP="00500251" w:rsidRDefault="00500251" w14:paraId="65615CD1" w14:textId="77777777">
      <w:pPr>
        <w:rPr>
          <w:rFonts w:ascii="Verdana" w:hAnsi="Verdana"/>
          <w:sz w:val="18"/>
          <w:szCs w:val="18"/>
          <w:lang w:val="nl-NL"/>
        </w:rPr>
      </w:pPr>
    </w:p>
    <w:p w:rsidRPr="006E5CFF" w:rsidR="00A66A33" w:rsidP="00500251" w:rsidRDefault="00A06FA7" w14:paraId="6332AA7F" w14:textId="77777777">
      <w:pPr>
        <w:pStyle w:val="Kop2"/>
        <w:numPr>
          <w:ilvl w:val="0"/>
          <w:numId w:val="0"/>
        </w:numPr>
        <w:spacing w:before="0" w:after="0"/>
        <w:rPr>
          <w:rFonts w:ascii="Verdana" w:hAnsi="Verdana" w:cs="Arial"/>
          <w:b w:val="0"/>
          <w:i/>
          <w:sz w:val="18"/>
          <w:szCs w:val="18"/>
          <w:lang w:val="nl-NL"/>
        </w:rPr>
      </w:pPr>
      <w:r w:rsidRPr="00556990">
        <w:rPr>
          <w:rFonts w:ascii="Verdana" w:hAnsi="Verdana"/>
          <w:b w:val="0"/>
          <w:i/>
          <w:sz w:val="18"/>
          <w:szCs w:val="18"/>
          <w:lang w:val="nl-NL"/>
        </w:rPr>
        <w:t>II.</w:t>
      </w:r>
      <w:r w:rsidRPr="001C6327">
        <w:rPr>
          <w:rFonts w:ascii="Verdana" w:hAnsi="Verdana" w:cs="Arial"/>
          <w:b w:val="0"/>
          <w:i/>
          <w:sz w:val="18"/>
          <w:szCs w:val="18"/>
          <w:lang w:val="nl-NL"/>
        </w:rPr>
        <w:t>2</w:t>
      </w:r>
      <w:r w:rsidRPr="00F578EC" w:rsidR="00091C6D">
        <w:rPr>
          <w:rFonts w:ascii="Verdana" w:hAnsi="Verdana" w:cs="Arial"/>
          <w:b w:val="0"/>
          <w:i/>
          <w:sz w:val="18"/>
          <w:szCs w:val="18"/>
          <w:lang w:val="nl-NL"/>
        </w:rPr>
        <w:t>3</w:t>
      </w:r>
      <w:r w:rsidRPr="00F578EC">
        <w:rPr>
          <w:rFonts w:ascii="Verdana" w:hAnsi="Verdana" w:cs="Arial"/>
          <w:b w:val="0"/>
          <w:i/>
          <w:sz w:val="18"/>
          <w:szCs w:val="18"/>
          <w:lang w:val="nl-NL"/>
        </w:rPr>
        <w:t xml:space="preserve">. </w:t>
      </w:r>
      <w:r w:rsidRPr="00F578EC" w:rsidR="00CF457A">
        <w:rPr>
          <w:rFonts w:ascii="Verdana" w:hAnsi="Verdana" w:cs="Arial"/>
          <w:b w:val="0"/>
          <w:i/>
          <w:sz w:val="18"/>
          <w:szCs w:val="18"/>
          <w:lang w:val="nl-NL"/>
        </w:rPr>
        <w:t>Recht op voordelen</w:t>
      </w:r>
      <w:r w:rsidRPr="00323312" w:rsidR="00091C6D">
        <w:rPr>
          <w:rFonts w:ascii="Verdana" w:hAnsi="Verdana" w:cs="Arial"/>
          <w:b w:val="0"/>
          <w:i/>
          <w:sz w:val="18"/>
          <w:szCs w:val="18"/>
          <w:lang w:val="nl-NL"/>
        </w:rPr>
        <w:t xml:space="preserve"> </w:t>
      </w:r>
      <w:r w:rsidRPr="00323312">
        <w:rPr>
          <w:rFonts w:ascii="Verdana" w:hAnsi="Verdana" w:cs="Arial"/>
          <w:b w:val="0"/>
          <w:i/>
          <w:sz w:val="18"/>
          <w:szCs w:val="18"/>
          <w:lang w:val="nl-NL"/>
        </w:rPr>
        <w:t>(artikel 2</w:t>
      </w:r>
      <w:r w:rsidRPr="00323312" w:rsidR="00091C6D">
        <w:rPr>
          <w:rFonts w:ascii="Verdana" w:hAnsi="Verdana" w:cs="Arial"/>
          <w:b w:val="0"/>
          <w:i/>
          <w:sz w:val="18"/>
          <w:szCs w:val="18"/>
          <w:lang w:val="nl-NL"/>
        </w:rPr>
        <w:t>3</w:t>
      </w:r>
      <w:r w:rsidRPr="00916448" w:rsidR="00916448">
        <w:rPr>
          <w:rFonts w:ascii="Verdana" w:hAnsi="Verdana" w:cs="Arial"/>
          <w:b w:val="0"/>
          <w:i/>
          <w:sz w:val="18"/>
          <w:szCs w:val="18"/>
          <w:lang w:val="nl-NL"/>
        </w:rPr>
        <w:t xml:space="preserve"> </w:t>
      </w:r>
      <w:r w:rsidR="00916448">
        <w:rPr>
          <w:rFonts w:ascii="Verdana" w:hAnsi="Verdana" w:cs="Arial"/>
          <w:b w:val="0"/>
          <w:i/>
          <w:sz w:val="18"/>
          <w:szCs w:val="18"/>
          <w:lang w:val="nl-NL"/>
        </w:rPr>
        <w:t>van het Verdrag</w:t>
      </w:r>
      <w:r w:rsidRPr="00323312">
        <w:rPr>
          <w:rFonts w:ascii="Verdana" w:hAnsi="Verdana" w:cs="Arial"/>
          <w:b w:val="0"/>
          <w:i/>
          <w:sz w:val="18"/>
          <w:szCs w:val="18"/>
          <w:lang w:val="nl-NL"/>
        </w:rPr>
        <w:t>)</w:t>
      </w:r>
    </w:p>
    <w:p w:rsidRPr="005C1870" w:rsidR="00393BD8" w:rsidP="00393BD8" w:rsidRDefault="00393BD8" w14:paraId="29C3AB8C" w14:textId="77777777">
      <w:pPr>
        <w:rPr>
          <w:rFonts w:ascii="Verdana" w:hAnsi="Verdana"/>
          <w:sz w:val="18"/>
          <w:szCs w:val="18"/>
          <w:lang w:val="nl-NL"/>
        </w:rPr>
      </w:pPr>
    </w:p>
    <w:p w:rsidRPr="00916448" w:rsidR="0047144B" w:rsidP="00CD077B" w:rsidRDefault="002C387B" w14:paraId="5298D26E" w14:textId="27EE5C70">
      <w:pPr>
        <w:ind w:firstLine="720"/>
        <w:rPr>
          <w:rFonts w:ascii="Verdana" w:hAnsi="Verdana" w:cs="Arial"/>
          <w:sz w:val="18"/>
          <w:szCs w:val="18"/>
          <w:lang w:val="nl-NL"/>
        </w:rPr>
      </w:pPr>
      <w:r w:rsidRPr="00556990">
        <w:rPr>
          <w:rFonts w:ascii="Verdana" w:hAnsi="Verdana" w:cs="Arial"/>
          <w:sz w:val="18"/>
          <w:szCs w:val="18"/>
          <w:lang w:val="nl-NL"/>
        </w:rPr>
        <w:t>In het rapport van BEPS-actie 6 (</w:t>
      </w:r>
      <w:r w:rsidRPr="001C6327">
        <w:rPr>
          <w:rFonts w:ascii="Verdana" w:hAnsi="Verdana" w:cs="Arial"/>
          <w:i/>
          <w:sz w:val="18"/>
          <w:szCs w:val="18"/>
          <w:lang w:val="nl-NL"/>
        </w:rPr>
        <w:t>‘Preventing the Granting of Treaty Benefits in Inapproriate Circumstances</w:t>
      </w:r>
      <w:r w:rsidRPr="00F578EC">
        <w:rPr>
          <w:rFonts w:ascii="Verdana" w:hAnsi="Verdana" w:cs="Arial"/>
          <w:i/>
          <w:sz w:val="18"/>
          <w:szCs w:val="18"/>
          <w:lang w:val="nl-NL"/>
        </w:rPr>
        <w:t xml:space="preserve">’) </w:t>
      </w:r>
      <w:r w:rsidRPr="00F578EC">
        <w:rPr>
          <w:rFonts w:ascii="Verdana" w:hAnsi="Verdana" w:cs="Arial"/>
          <w:sz w:val="18"/>
          <w:szCs w:val="18"/>
          <w:lang w:val="nl-NL"/>
        </w:rPr>
        <w:t>is een minimumstandaard opgenomen om verdragsmisbruik tegen te gaan. Aan deze mini</w:t>
      </w:r>
      <w:r w:rsidRPr="00BC6175" w:rsidR="00DE3FD9">
        <w:rPr>
          <w:rFonts w:ascii="Verdana" w:hAnsi="Verdana" w:cs="Arial"/>
          <w:sz w:val="18"/>
          <w:szCs w:val="18"/>
          <w:lang w:val="nl-NL"/>
        </w:rPr>
        <w:t>m</w:t>
      </w:r>
      <w:r w:rsidRPr="00BC6175">
        <w:rPr>
          <w:rFonts w:ascii="Verdana" w:hAnsi="Verdana" w:cs="Arial"/>
          <w:sz w:val="18"/>
          <w:szCs w:val="18"/>
          <w:lang w:val="nl-NL"/>
        </w:rPr>
        <w:t xml:space="preserve">umstandaard kan worden voldaan door in een belastingverdrag een </w:t>
      </w:r>
      <w:r w:rsidR="006C115A">
        <w:rPr>
          <w:rFonts w:ascii="Verdana" w:hAnsi="Verdana" w:cs="Arial"/>
          <w:sz w:val="18"/>
          <w:szCs w:val="18"/>
          <w:lang w:val="nl-NL"/>
        </w:rPr>
        <w:t xml:space="preserve">PPT </w:t>
      </w:r>
      <w:r w:rsidRPr="00CF22A8">
        <w:rPr>
          <w:rFonts w:ascii="Verdana" w:hAnsi="Verdana" w:cs="Arial"/>
          <w:sz w:val="18"/>
          <w:szCs w:val="18"/>
          <w:lang w:val="nl-NL"/>
        </w:rPr>
        <w:t xml:space="preserve">op te nemen. </w:t>
      </w:r>
      <w:r w:rsidRPr="00CF22A8">
        <w:rPr>
          <w:rFonts w:ascii="Verdana" w:hAnsi="Verdana" w:cs="Arial"/>
          <w:sz w:val="18"/>
          <w:szCs w:val="18"/>
          <w:lang w:val="nl-NL"/>
        </w:rPr>
        <w:lastRenderedPageBreak/>
        <w:t xml:space="preserve">Het rapport bij BEPS-actie 6 bevat ook </w:t>
      </w:r>
      <w:r w:rsidR="00533DFA">
        <w:rPr>
          <w:rFonts w:ascii="Verdana" w:hAnsi="Verdana" w:cs="Arial"/>
          <w:sz w:val="18"/>
          <w:szCs w:val="18"/>
          <w:lang w:val="nl-NL"/>
        </w:rPr>
        <w:t xml:space="preserve">een </w:t>
      </w:r>
      <w:r w:rsidRPr="00CF22A8">
        <w:rPr>
          <w:rFonts w:ascii="Verdana" w:hAnsi="Verdana" w:cs="Arial"/>
          <w:sz w:val="18"/>
          <w:szCs w:val="18"/>
          <w:lang w:val="nl-NL"/>
        </w:rPr>
        <w:t>alternatieve wijze waarop aan de minimumstandaard kan worden voldaan</w:t>
      </w:r>
      <w:r w:rsidR="00533DFA">
        <w:rPr>
          <w:rFonts w:ascii="Verdana" w:hAnsi="Verdana" w:cs="Arial"/>
          <w:sz w:val="18"/>
          <w:szCs w:val="18"/>
          <w:lang w:val="nl-NL"/>
        </w:rPr>
        <w:t>, maar z</w:t>
      </w:r>
      <w:r w:rsidRPr="00CF22A8">
        <w:rPr>
          <w:rFonts w:ascii="Verdana" w:hAnsi="Verdana" w:cs="Arial"/>
          <w:sz w:val="18"/>
          <w:szCs w:val="18"/>
          <w:lang w:val="nl-NL"/>
        </w:rPr>
        <w:t xml:space="preserve">oals </w:t>
      </w:r>
      <w:r w:rsidRPr="005C1870" w:rsidR="00DE3FD9">
        <w:rPr>
          <w:rFonts w:ascii="Verdana" w:hAnsi="Verdana" w:cs="Arial"/>
          <w:sz w:val="18"/>
          <w:szCs w:val="18"/>
          <w:lang w:val="nl-NL"/>
        </w:rPr>
        <w:t xml:space="preserve">aangegeven </w:t>
      </w:r>
      <w:r w:rsidRPr="005C1870">
        <w:rPr>
          <w:rFonts w:ascii="Verdana" w:hAnsi="Verdana" w:cs="Arial"/>
          <w:sz w:val="18"/>
          <w:szCs w:val="18"/>
          <w:lang w:val="nl-NL"/>
        </w:rPr>
        <w:t xml:space="preserve">in de </w:t>
      </w:r>
      <w:r w:rsidR="00533DFA">
        <w:rPr>
          <w:rFonts w:ascii="Verdana" w:hAnsi="Verdana" w:cs="Arial"/>
          <w:sz w:val="18"/>
          <w:szCs w:val="18"/>
          <w:lang w:val="nl-NL"/>
        </w:rPr>
        <w:t xml:space="preserve">eerder genoemde </w:t>
      </w:r>
      <w:r w:rsidRPr="005C1870">
        <w:rPr>
          <w:rFonts w:ascii="Verdana" w:hAnsi="Verdana" w:cs="Arial"/>
          <w:sz w:val="18"/>
          <w:szCs w:val="18"/>
          <w:lang w:val="nl-NL"/>
        </w:rPr>
        <w:t xml:space="preserve">brief van 28 oktober 2016 over de Nederlandse </w:t>
      </w:r>
      <w:r w:rsidRPr="00916448" w:rsidR="0047144B">
        <w:rPr>
          <w:rFonts w:ascii="Verdana" w:hAnsi="Verdana" w:cs="Arial"/>
          <w:sz w:val="18"/>
          <w:szCs w:val="18"/>
          <w:lang w:val="nl-NL"/>
        </w:rPr>
        <w:t>positie bij het MLI</w:t>
      </w:r>
      <w:r w:rsidRPr="00916448" w:rsidR="00DE3FD9">
        <w:rPr>
          <w:rFonts w:ascii="Verdana" w:hAnsi="Verdana" w:cs="Arial"/>
          <w:sz w:val="18"/>
          <w:szCs w:val="18"/>
          <w:lang w:val="nl-NL"/>
        </w:rPr>
        <w:t xml:space="preserve">, </w:t>
      </w:r>
      <w:r w:rsidRPr="00916448" w:rsidR="0047144B">
        <w:rPr>
          <w:rFonts w:ascii="Verdana" w:hAnsi="Verdana" w:cs="Arial"/>
          <w:sz w:val="18"/>
          <w:szCs w:val="18"/>
          <w:lang w:val="nl-NL"/>
        </w:rPr>
        <w:t xml:space="preserve">heeft Nederland </w:t>
      </w:r>
      <w:r w:rsidRPr="00916448" w:rsidR="00DE3FD9">
        <w:rPr>
          <w:rFonts w:ascii="Verdana" w:hAnsi="Verdana" w:cs="Arial"/>
          <w:sz w:val="18"/>
          <w:szCs w:val="18"/>
          <w:lang w:val="nl-NL"/>
        </w:rPr>
        <w:t>een</w:t>
      </w:r>
      <w:r w:rsidRPr="00916448" w:rsidR="0047144B">
        <w:rPr>
          <w:rFonts w:ascii="Verdana" w:hAnsi="Verdana" w:cs="Arial"/>
          <w:sz w:val="18"/>
          <w:szCs w:val="18"/>
          <w:lang w:val="nl-NL"/>
        </w:rPr>
        <w:t xml:space="preserve"> voorkeur voor de </w:t>
      </w:r>
      <w:r w:rsidRPr="00916448" w:rsidR="00DE3FD9">
        <w:rPr>
          <w:rFonts w:ascii="Verdana" w:hAnsi="Verdana" w:cs="Arial"/>
          <w:sz w:val="18"/>
          <w:szCs w:val="18"/>
          <w:lang w:val="nl-NL"/>
        </w:rPr>
        <w:t>PPT</w:t>
      </w:r>
      <w:r w:rsidRPr="00916448" w:rsidR="0047144B">
        <w:rPr>
          <w:rFonts w:ascii="Verdana" w:hAnsi="Verdana" w:cs="Arial"/>
          <w:sz w:val="18"/>
          <w:szCs w:val="18"/>
          <w:lang w:val="nl-NL"/>
        </w:rPr>
        <w:t xml:space="preserve">. </w:t>
      </w:r>
    </w:p>
    <w:p w:rsidRPr="00BC6175" w:rsidR="00742B5A" w:rsidP="00742B5A" w:rsidRDefault="0047144B" w14:paraId="4BCDA51F" w14:textId="77777777">
      <w:pPr>
        <w:ind w:firstLine="720"/>
        <w:rPr>
          <w:rFonts w:ascii="Verdana" w:hAnsi="Verdana" w:cs="Arial"/>
          <w:sz w:val="18"/>
          <w:szCs w:val="18"/>
          <w:lang w:val="nl-NL"/>
        </w:rPr>
      </w:pPr>
      <w:r w:rsidRPr="00780A5E">
        <w:rPr>
          <w:rFonts w:ascii="Verdana" w:hAnsi="Verdana" w:cs="Arial"/>
          <w:sz w:val="18"/>
          <w:szCs w:val="18"/>
          <w:lang w:val="nl-NL"/>
        </w:rPr>
        <w:t xml:space="preserve">In het eerste lid is de </w:t>
      </w:r>
      <w:r w:rsidRPr="00780A5E" w:rsidR="00DE3FD9">
        <w:rPr>
          <w:rFonts w:ascii="Verdana" w:hAnsi="Verdana" w:cs="Arial"/>
          <w:sz w:val="18"/>
          <w:szCs w:val="18"/>
          <w:lang w:val="nl-NL"/>
        </w:rPr>
        <w:t>PPT</w:t>
      </w:r>
      <w:r w:rsidRPr="00780A5E">
        <w:rPr>
          <w:rFonts w:ascii="Verdana" w:hAnsi="Verdana" w:cs="Arial"/>
          <w:i/>
          <w:sz w:val="18"/>
          <w:szCs w:val="18"/>
          <w:lang w:val="nl-NL"/>
        </w:rPr>
        <w:t xml:space="preserve"> </w:t>
      </w:r>
      <w:r w:rsidRPr="00780A5E">
        <w:rPr>
          <w:rFonts w:ascii="Verdana" w:hAnsi="Verdana" w:cs="Arial"/>
          <w:sz w:val="18"/>
          <w:szCs w:val="18"/>
          <w:lang w:val="nl-NL"/>
        </w:rPr>
        <w:t>opgenomen</w:t>
      </w:r>
      <w:r w:rsidRPr="00780A5E">
        <w:rPr>
          <w:rFonts w:ascii="Verdana" w:hAnsi="Verdana" w:cs="Arial"/>
          <w:i/>
          <w:sz w:val="18"/>
          <w:szCs w:val="18"/>
          <w:lang w:val="nl-NL"/>
        </w:rPr>
        <w:t xml:space="preserve">. </w:t>
      </w:r>
      <w:r w:rsidRPr="000819E4">
        <w:rPr>
          <w:rFonts w:ascii="Verdana" w:hAnsi="Verdana" w:cs="Arial"/>
          <w:sz w:val="18"/>
          <w:szCs w:val="18"/>
          <w:lang w:val="nl-NL"/>
        </w:rPr>
        <w:t>Op grond van deze bepaling worden verdragsvoordelen niet toegekend indien het verkrijgen van een verdragsvoordeel één van de voornaamste redene</w:t>
      </w:r>
      <w:r w:rsidRPr="0021450B" w:rsidR="00742B5A">
        <w:rPr>
          <w:rFonts w:ascii="Verdana" w:hAnsi="Verdana" w:cs="Arial"/>
          <w:sz w:val="18"/>
          <w:szCs w:val="18"/>
          <w:lang w:val="nl-NL"/>
        </w:rPr>
        <w:t>n was voor een constructie of transactie die tot dat voordeel heeft geleid</w:t>
      </w:r>
      <w:r w:rsidRPr="005C1870" w:rsidR="007359CC">
        <w:rPr>
          <w:rFonts w:ascii="Verdana" w:hAnsi="Verdana"/>
          <w:sz w:val="18"/>
          <w:szCs w:val="18"/>
          <w:lang w:val="nl-NL"/>
        </w:rPr>
        <w:t>, tenzij wordt vastgesteld dat het toekennen van dat voordeel – rekening houdend met alle relevante feiten en omstandigheden – in overeenstemming is met</w:t>
      </w:r>
      <w:r w:rsidR="006F6C39">
        <w:rPr>
          <w:rFonts w:ascii="Verdana" w:hAnsi="Verdana"/>
          <w:sz w:val="18"/>
          <w:szCs w:val="18"/>
          <w:lang w:val="nl-NL"/>
        </w:rPr>
        <w:t xml:space="preserve"> het</w:t>
      </w:r>
      <w:r w:rsidRPr="005C1870" w:rsidR="007359CC">
        <w:rPr>
          <w:rFonts w:ascii="Verdana" w:hAnsi="Verdana"/>
          <w:sz w:val="18"/>
          <w:szCs w:val="18"/>
          <w:lang w:val="nl-NL"/>
        </w:rPr>
        <w:t xml:space="preserve"> doel en </w:t>
      </w:r>
      <w:r w:rsidR="006F6C39">
        <w:rPr>
          <w:rFonts w:ascii="Verdana" w:hAnsi="Verdana"/>
          <w:sz w:val="18"/>
          <w:szCs w:val="18"/>
          <w:lang w:val="nl-NL"/>
        </w:rPr>
        <w:t xml:space="preserve">de </w:t>
      </w:r>
      <w:r w:rsidRPr="005C1870" w:rsidR="007359CC">
        <w:rPr>
          <w:rFonts w:ascii="Verdana" w:hAnsi="Verdana"/>
          <w:sz w:val="18"/>
          <w:szCs w:val="18"/>
          <w:lang w:val="nl-NL"/>
        </w:rPr>
        <w:t xml:space="preserve">strekking van de relevante bepalingen uit </w:t>
      </w:r>
      <w:r w:rsidR="005A6D33">
        <w:rPr>
          <w:rFonts w:ascii="Verdana" w:hAnsi="Verdana"/>
          <w:sz w:val="18"/>
          <w:szCs w:val="18"/>
          <w:lang w:val="nl-NL"/>
        </w:rPr>
        <w:t>het</w:t>
      </w:r>
      <w:r w:rsidRPr="005C1870" w:rsidR="005A6D33">
        <w:rPr>
          <w:rFonts w:ascii="Verdana" w:hAnsi="Verdana"/>
          <w:sz w:val="18"/>
          <w:szCs w:val="18"/>
          <w:lang w:val="nl-NL"/>
        </w:rPr>
        <w:t xml:space="preserve"> </w:t>
      </w:r>
      <w:r w:rsidRPr="005C1870" w:rsidR="007359CC">
        <w:rPr>
          <w:rFonts w:ascii="Verdana" w:hAnsi="Verdana"/>
          <w:sz w:val="18"/>
          <w:szCs w:val="18"/>
          <w:lang w:val="nl-NL"/>
        </w:rPr>
        <w:t>Verdrag</w:t>
      </w:r>
      <w:r w:rsidRPr="00556990" w:rsidR="00742B5A">
        <w:rPr>
          <w:rFonts w:ascii="Verdana" w:hAnsi="Verdana" w:cs="Arial"/>
          <w:sz w:val="18"/>
          <w:szCs w:val="18"/>
          <w:lang w:val="nl-NL"/>
        </w:rPr>
        <w:t xml:space="preserve">. De </w:t>
      </w:r>
      <w:r w:rsidRPr="001C6327" w:rsidR="00DE3FD9">
        <w:rPr>
          <w:rFonts w:ascii="Verdana" w:hAnsi="Verdana" w:cs="Arial"/>
          <w:sz w:val="18"/>
          <w:szCs w:val="18"/>
          <w:lang w:val="nl-NL"/>
        </w:rPr>
        <w:t>PPT</w:t>
      </w:r>
      <w:r w:rsidRPr="00F578EC" w:rsidR="00742B5A">
        <w:rPr>
          <w:rFonts w:ascii="Verdana" w:hAnsi="Verdana" w:cs="Arial"/>
          <w:i/>
          <w:sz w:val="18"/>
          <w:szCs w:val="18"/>
          <w:lang w:val="nl-NL"/>
        </w:rPr>
        <w:t xml:space="preserve"> </w:t>
      </w:r>
      <w:r w:rsidRPr="00F578EC" w:rsidR="00742B5A">
        <w:rPr>
          <w:rFonts w:ascii="Verdana" w:hAnsi="Verdana" w:cs="Arial"/>
          <w:sz w:val="18"/>
          <w:szCs w:val="18"/>
          <w:lang w:val="nl-NL"/>
        </w:rPr>
        <w:t>richt zich dus op een specifieke transactie of constructie en niet zozeer op de persoon die bij een transactie of constructie be</w:t>
      </w:r>
      <w:r w:rsidRPr="00BC6175" w:rsidR="00C82B21">
        <w:rPr>
          <w:rFonts w:ascii="Verdana" w:hAnsi="Verdana" w:cs="Arial"/>
          <w:sz w:val="18"/>
          <w:szCs w:val="18"/>
          <w:lang w:val="nl-NL"/>
        </w:rPr>
        <w:t>trokken is.</w:t>
      </w:r>
    </w:p>
    <w:p w:rsidRPr="005C1870" w:rsidR="006B259B" w:rsidP="00742B5A" w:rsidRDefault="00516692" w14:paraId="2B4463F7" w14:textId="548AB5ED">
      <w:pPr>
        <w:ind w:firstLine="720"/>
        <w:rPr>
          <w:rFonts w:ascii="Verdana" w:hAnsi="Verdana"/>
          <w:sz w:val="18"/>
          <w:szCs w:val="18"/>
          <w:lang w:val="nl-NL"/>
        </w:rPr>
      </w:pPr>
      <w:r w:rsidRPr="005C1870">
        <w:rPr>
          <w:rFonts w:ascii="Verdana" w:hAnsi="Verdana"/>
          <w:sz w:val="18"/>
          <w:szCs w:val="18"/>
          <w:lang w:val="nl-NL"/>
        </w:rPr>
        <w:t>Het</w:t>
      </w:r>
      <w:r w:rsidRPr="005C1870" w:rsidR="00742B5A">
        <w:rPr>
          <w:rFonts w:ascii="Verdana" w:hAnsi="Verdana"/>
          <w:sz w:val="18"/>
          <w:szCs w:val="18"/>
          <w:lang w:val="nl-NL"/>
        </w:rPr>
        <w:t xml:space="preserve"> tweede lid </w:t>
      </w:r>
      <w:r w:rsidRPr="005C1870">
        <w:rPr>
          <w:rFonts w:ascii="Verdana" w:hAnsi="Verdana"/>
          <w:sz w:val="18"/>
          <w:szCs w:val="18"/>
          <w:lang w:val="nl-NL"/>
        </w:rPr>
        <w:t xml:space="preserve">bevat een vangnetbepaling </w:t>
      </w:r>
      <w:r w:rsidRPr="005C1870" w:rsidR="00006E5C">
        <w:rPr>
          <w:rFonts w:ascii="Verdana" w:hAnsi="Verdana"/>
          <w:sz w:val="18"/>
          <w:szCs w:val="18"/>
          <w:lang w:val="nl-NL"/>
        </w:rPr>
        <w:t xml:space="preserve">in lijn met </w:t>
      </w:r>
      <w:r w:rsidRPr="005C1870">
        <w:rPr>
          <w:rFonts w:ascii="Verdana" w:hAnsi="Verdana"/>
          <w:sz w:val="18"/>
          <w:szCs w:val="18"/>
          <w:lang w:val="nl-NL"/>
        </w:rPr>
        <w:t xml:space="preserve">het </w:t>
      </w:r>
      <w:r w:rsidRPr="005C1870" w:rsidR="0025376E">
        <w:rPr>
          <w:rFonts w:ascii="Verdana" w:hAnsi="Verdana"/>
          <w:sz w:val="18"/>
          <w:szCs w:val="18"/>
          <w:lang w:val="nl-NL"/>
        </w:rPr>
        <w:t xml:space="preserve">tekstvoorstel dat is opgenomen </w:t>
      </w:r>
      <w:r w:rsidRPr="005C1870" w:rsidR="00742B5A">
        <w:rPr>
          <w:rFonts w:ascii="Verdana" w:hAnsi="Verdana"/>
          <w:sz w:val="18"/>
          <w:szCs w:val="18"/>
          <w:lang w:val="nl-NL"/>
        </w:rPr>
        <w:t xml:space="preserve">in paragaaf 184 van het </w:t>
      </w:r>
      <w:r w:rsidR="007F022E">
        <w:rPr>
          <w:rFonts w:ascii="Verdana" w:hAnsi="Verdana"/>
          <w:sz w:val="18"/>
          <w:szCs w:val="18"/>
          <w:lang w:val="nl-NL"/>
        </w:rPr>
        <w:t>c</w:t>
      </w:r>
      <w:r w:rsidRPr="005C1870" w:rsidR="00742B5A">
        <w:rPr>
          <w:rFonts w:ascii="Verdana" w:hAnsi="Verdana"/>
          <w:sz w:val="18"/>
          <w:szCs w:val="18"/>
          <w:lang w:val="nl-NL"/>
        </w:rPr>
        <w:t>ommentaar op artikel 29 van het OESO-modelverdrag</w:t>
      </w:r>
      <w:r w:rsidRPr="005C1870" w:rsidR="0025376E">
        <w:rPr>
          <w:rFonts w:ascii="Verdana" w:hAnsi="Verdana"/>
          <w:sz w:val="18"/>
          <w:szCs w:val="18"/>
          <w:lang w:val="nl-NL"/>
        </w:rPr>
        <w:t xml:space="preserve"> (</w:t>
      </w:r>
      <w:r w:rsidRPr="005C1870" w:rsidR="0025376E">
        <w:rPr>
          <w:rFonts w:ascii="Verdana" w:hAnsi="Verdana"/>
          <w:i/>
          <w:sz w:val="18"/>
          <w:szCs w:val="18"/>
          <w:lang w:val="nl-NL"/>
        </w:rPr>
        <w:t>entitlement to benefits</w:t>
      </w:r>
      <w:r w:rsidRPr="005C1870" w:rsidR="0025376E">
        <w:rPr>
          <w:rFonts w:ascii="Verdana" w:hAnsi="Verdana"/>
          <w:sz w:val="18"/>
          <w:szCs w:val="18"/>
          <w:lang w:val="nl-NL"/>
        </w:rPr>
        <w:t>)</w:t>
      </w:r>
      <w:r w:rsidRPr="005C1870" w:rsidR="00742B5A">
        <w:rPr>
          <w:rFonts w:ascii="Verdana" w:hAnsi="Verdana"/>
          <w:sz w:val="18"/>
          <w:szCs w:val="18"/>
          <w:lang w:val="nl-NL"/>
        </w:rPr>
        <w:t xml:space="preserve">. </w:t>
      </w:r>
      <w:r w:rsidRPr="005C1870" w:rsidR="0025376E">
        <w:rPr>
          <w:rFonts w:ascii="Verdana" w:hAnsi="Verdana"/>
          <w:sz w:val="18"/>
          <w:szCs w:val="18"/>
          <w:lang w:val="nl-NL"/>
        </w:rPr>
        <w:t>D</w:t>
      </w:r>
      <w:r w:rsidRPr="005C1870" w:rsidR="00742B5A">
        <w:rPr>
          <w:rFonts w:ascii="Verdana" w:hAnsi="Verdana"/>
          <w:sz w:val="18"/>
          <w:szCs w:val="18"/>
          <w:lang w:val="nl-NL"/>
        </w:rPr>
        <w:t xml:space="preserve">e bevoegde autoriteit van de staat waarvan verdragsvoordelen worden gevraagd (veelal het bronland) </w:t>
      </w:r>
      <w:r w:rsidRPr="005C1870" w:rsidR="0025376E">
        <w:rPr>
          <w:rFonts w:ascii="Verdana" w:hAnsi="Verdana"/>
          <w:sz w:val="18"/>
          <w:szCs w:val="18"/>
          <w:lang w:val="nl-NL"/>
        </w:rPr>
        <w:t xml:space="preserve">kan – op verzoek van de belastingplichtige </w:t>
      </w:r>
      <w:r w:rsidRPr="005C1870" w:rsidR="00BC16D4">
        <w:rPr>
          <w:rFonts w:ascii="Verdana" w:hAnsi="Verdana"/>
          <w:sz w:val="18"/>
          <w:szCs w:val="18"/>
          <w:lang w:val="nl-NL"/>
        </w:rPr>
        <w:t xml:space="preserve">en rekening houdend met de relevante feiten en omstandigheden </w:t>
      </w:r>
      <w:r w:rsidRPr="005C1870" w:rsidR="0025376E">
        <w:rPr>
          <w:rFonts w:ascii="Verdana" w:hAnsi="Verdana"/>
          <w:sz w:val="18"/>
          <w:szCs w:val="18"/>
          <w:lang w:val="nl-NL"/>
        </w:rPr>
        <w:t xml:space="preserve">– </w:t>
      </w:r>
      <w:r w:rsidRPr="005C1870" w:rsidR="00742B5A">
        <w:rPr>
          <w:rFonts w:ascii="Verdana" w:hAnsi="Verdana"/>
          <w:sz w:val="18"/>
          <w:szCs w:val="18"/>
          <w:lang w:val="nl-NL"/>
        </w:rPr>
        <w:t xml:space="preserve">toch </w:t>
      </w:r>
      <w:r w:rsidRPr="005C1870">
        <w:rPr>
          <w:rFonts w:ascii="Verdana" w:hAnsi="Verdana"/>
          <w:sz w:val="18"/>
          <w:szCs w:val="18"/>
          <w:lang w:val="nl-NL"/>
        </w:rPr>
        <w:t xml:space="preserve">verdragsvoordelen </w:t>
      </w:r>
      <w:r w:rsidRPr="005C1870" w:rsidR="00742B5A">
        <w:rPr>
          <w:rFonts w:ascii="Verdana" w:hAnsi="Verdana"/>
          <w:sz w:val="18"/>
          <w:szCs w:val="18"/>
          <w:lang w:val="nl-NL"/>
        </w:rPr>
        <w:t xml:space="preserve">toekennen </w:t>
      </w:r>
      <w:r w:rsidRPr="005C1870" w:rsidR="0025376E">
        <w:rPr>
          <w:rFonts w:ascii="Verdana" w:hAnsi="Verdana"/>
          <w:sz w:val="18"/>
          <w:szCs w:val="18"/>
          <w:lang w:val="nl-NL"/>
        </w:rPr>
        <w:t>als de bevoegde autoriteit vaststelt</w:t>
      </w:r>
      <w:r w:rsidRPr="005C1870" w:rsidR="00742B5A">
        <w:rPr>
          <w:rFonts w:ascii="Verdana" w:hAnsi="Verdana"/>
          <w:sz w:val="18"/>
          <w:szCs w:val="18"/>
          <w:lang w:val="nl-NL"/>
        </w:rPr>
        <w:t xml:space="preserve"> dat </w:t>
      </w:r>
      <w:r w:rsidRPr="005C1870" w:rsidR="0025376E">
        <w:rPr>
          <w:rFonts w:ascii="Verdana" w:hAnsi="Verdana"/>
          <w:sz w:val="18"/>
          <w:szCs w:val="18"/>
          <w:lang w:val="nl-NL"/>
        </w:rPr>
        <w:t xml:space="preserve">deze verdragsvoordelen </w:t>
      </w:r>
      <w:r w:rsidRPr="005C1870" w:rsidR="00742B5A">
        <w:rPr>
          <w:rFonts w:ascii="Verdana" w:hAnsi="Verdana"/>
          <w:sz w:val="18"/>
          <w:szCs w:val="18"/>
          <w:lang w:val="nl-NL"/>
        </w:rPr>
        <w:t xml:space="preserve">bij afwezigheid van </w:t>
      </w:r>
      <w:r w:rsidRPr="005C1870">
        <w:rPr>
          <w:rFonts w:ascii="Verdana" w:hAnsi="Verdana"/>
          <w:sz w:val="18"/>
          <w:szCs w:val="18"/>
          <w:lang w:val="nl-NL"/>
        </w:rPr>
        <w:t>de</w:t>
      </w:r>
      <w:r w:rsidRPr="005C1870" w:rsidR="00742B5A">
        <w:rPr>
          <w:rFonts w:ascii="Verdana" w:hAnsi="Verdana"/>
          <w:sz w:val="18"/>
          <w:szCs w:val="18"/>
          <w:lang w:val="nl-NL"/>
        </w:rPr>
        <w:t xml:space="preserve"> transactie of constructie bedoeld in het eerste lid ook gegeven zouden zijn</w:t>
      </w:r>
      <w:r w:rsidRPr="005C1870" w:rsidR="008B3504">
        <w:rPr>
          <w:rFonts w:ascii="Verdana" w:hAnsi="Verdana"/>
          <w:sz w:val="18"/>
          <w:szCs w:val="18"/>
          <w:lang w:val="nl-NL"/>
        </w:rPr>
        <w:t>.</w:t>
      </w:r>
      <w:r w:rsidRPr="005C1870" w:rsidR="00006E5C">
        <w:rPr>
          <w:rFonts w:ascii="Verdana" w:hAnsi="Verdana"/>
          <w:sz w:val="18"/>
          <w:szCs w:val="18"/>
          <w:lang w:val="nl-NL"/>
        </w:rPr>
        <w:t xml:space="preserve"> </w:t>
      </w:r>
    </w:p>
    <w:p w:rsidRPr="005C1870" w:rsidR="007B7B0E" w:rsidP="00742B5A" w:rsidRDefault="003000AD" w14:paraId="79BBBC11" w14:textId="3A67AF66">
      <w:pPr>
        <w:ind w:firstLine="720"/>
        <w:rPr>
          <w:rFonts w:ascii="Verdana" w:hAnsi="Verdana"/>
          <w:sz w:val="18"/>
          <w:szCs w:val="18"/>
          <w:lang w:val="nl-NL"/>
        </w:rPr>
      </w:pPr>
      <w:r w:rsidRPr="005C1870">
        <w:rPr>
          <w:rFonts w:ascii="Verdana" w:hAnsi="Verdana"/>
          <w:sz w:val="18"/>
          <w:szCs w:val="18"/>
          <w:lang w:val="nl-NL"/>
        </w:rPr>
        <w:t xml:space="preserve">Het </w:t>
      </w:r>
      <w:r w:rsidRPr="005C1870" w:rsidR="006B259B">
        <w:rPr>
          <w:rFonts w:ascii="Verdana" w:hAnsi="Verdana"/>
          <w:sz w:val="18"/>
          <w:szCs w:val="18"/>
          <w:lang w:val="nl-NL"/>
        </w:rPr>
        <w:t xml:space="preserve">derde lid </w:t>
      </w:r>
      <w:r w:rsidRPr="005C1870">
        <w:rPr>
          <w:rFonts w:ascii="Verdana" w:hAnsi="Verdana"/>
          <w:sz w:val="18"/>
          <w:szCs w:val="18"/>
          <w:lang w:val="nl-NL"/>
        </w:rPr>
        <w:t>betreft een notificatiebepalin</w:t>
      </w:r>
      <w:r w:rsidRPr="005C1870" w:rsidR="009C4E10">
        <w:rPr>
          <w:rFonts w:ascii="Verdana" w:hAnsi="Verdana"/>
          <w:sz w:val="18"/>
          <w:szCs w:val="18"/>
          <w:lang w:val="nl-NL"/>
        </w:rPr>
        <w:t>g</w:t>
      </w:r>
      <w:r w:rsidRPr="005C1870" w:rsidR="008F6D69">
        <w:rPr>
          <w:rFonts w:ascii="Verdana" w:hAnsi="Verdana"/>
          <w:sz w:val="18"/>
          <w:szCs w:val="18"/>
          <w:lang w:val="nl-NL"/>
        </w:rPr>
        <w:t xml:space="preserve"> die </w:t>
      </w:r>
      <w:r w:rsidRPr="005C1870" w:rsidR="00006E5C">
        <w:rPr>
          <w:rFonts w:ascii="Verdana" w:hAnsi="Verdana"/>
          <w:sz w:val="18"/>
          <w:szCs w:val="18"/>
          <w:lang w:val="nl-NL"/>
        </w:rPr>
        <w:t xml:space="preserve">zowel betrekking </w:t>
      </w:r>
      <w:r w:rsidRPr="005C1870" w:rsidR="008F6D69">
        <w:rPr>
          <w:rFonts w:ascii="Verdana" w:hAnsi="Verdana"/>
          <w:sz w:val="18"/>
          <w:szCs w:val="18"/>
          <w:lang w:val="nl-NL"/>
        </w:rPr>
        <w:t xml:space="preserve">heeft </w:t>
      </w:r>
      <w:r w:rsidRPr="005C1870" w:rsidR="00006E5C">
        <w:rPr>
          <w:rFonts w:ascii="Verdana" w:hAnsi="Verdana"/>
          <w:sz w:val="18"/>
          <w:szCs w:val="18"/>
          <w:lang w:val="nl-NL"/>
        </w:rPr>
        <w:t xml:space="preserve">op de toepassing van het eerste lid (PPT) als het tweede lid (vangnetbepaling). </w:t>
      </w:r>
      <w:r w:rsidRPr="005C1870" w:rsidR="009C4E10">
        <w:rPr>
          <w:rFonts w:ascii="Verdana" w:hAnsi="Verdana"/>
          <w:sz w:val="18"/>
          <w:szCs w:val="18"/>
          <w:lang w:val="nl-NL"/>
        </w:rPr>
        <w:t xml:space="preserve">Op grond van deze bepaling stelt de bevoegde autoriteit die voornemens is een verdragsvoordeel te weigeren de bevoegde autoriteit van de andere </w:t>
      </w:r>
      <w:r w:rsidR="0021450B">
        <w:rPr>
          <w:rFonts w:ascii="Verdana" w:hAnsi="Verdana"/>
          <w:sz w:val="18"/>
          <w:szCs w:val="18"/>
          <w:lang w:val="nl-NL"/>
        </w:rPr>
        <w:t>verdragsluitende staat</w:t>
      </w:r>
      <w:r w:rsidRPr="005C1870" w:rsidR="009C4E10">
        <w:rPr>
          <w:rFonts w:ascii="Verdana" w:hAnsi="Verdana"/>
          <w:sz w:val="18"/>
          <w:szCs w:val="18"/>
          <w:lang w:val="nl-NL"/>
        </w:rPr>
        <w:t xml:space="preserve"> daarvan op de hoogte. Deze notificatieverplichting </w:t>
      </w:r>
      <w:r w:rsidRPr="005C1870" w:rsidR="00AB0747">
        <w:rPr>
          <w:rFonts w:ascii="Verdana" w:hAnsi="Verdana"/>
          <w:sz w:val="18"/>
          <w:szCs w:val="18"/>
          <w:lang w:val="nl-NL"/>
        </w:rPr>
        <w:t>kan een bijdrage leveren aan een eenduidige toepassing door beide staten van de bepaling en waarborgen dat de relevante feiten en omstandigheden over een voorgelegde situatie voldoende kenbaar zijn.</w:t>
      </w:r>
      <w:r w:rsidRPr="005C1870" w:rsidR="009C4E10">
        <w:rPr>
          <w:rFonts w:ascii="Verdana" w:hAnsi="Verdana"/>
          <w:sz w:val="18"/>
          <w:szCs w:val="18"/>
          <w:lang w:val="nl-NL"/>
        </w:rPr>
        <w:t xml:space="preserve"> Het OESO-modelverdrag en OESO-</w:t>
      </w:r>
      <w:r w:rsidR="007F022E">
        <w:rPr>
          <w:rFonts w:ascii="Verdana" w:hAnsi="Verdana"/>
          <w:sz w:val="18"/>
          <w:szCs w:val="18"/>
          <w:lang w:val="nl-NL"/>
        </w:rPr>
        <w:t>c</w:t>
      </w:r>
      <w:r w:rsidRPr="005C1870" w:rsidR="009C4E10">
        <w:rPr>
          <w:rFonts w:ascii="Verdana" w:hAnsi="Verdana"/>
          <w:sz w:val="18"/>
          <w:szCs w:val="18"/>
          <w:lang w:val="nl-NL"/>
        </w:rPr>
        <w:t>ommentaar bevat nie</w:t>
      </w:r>
      <w:r w:rsidRPr="005C1870" w:rsidR="002E4253">
        <w:rPr>
          <w:rFonts w:ascii="Verdana" w:hAnsi="Verdana"/>
          <w:sz w:val="18"/>
          <w:szCs w:val="18"/>
          <w:lang w:val="nl-NL"/>
        </w:rPr>
        <w:t>t een notificatiebepaling</w:t>
      </w:r>
      <w:r w:rsidRPr="005C1870" w:rsidR="00D53E9E">
        <w:rPr>
          <w:rFonts w:ascii="Verdana" w:hAnsi="Verdana"/>
          <w:sz w:val="18"/>
          <w:szCs w:val="18"/>
          <w:lang w:val="nl-NL"/>
        </w:rPr>
        <w:t xml:space="preserve">, maar een consultatiebepaling </w:t>
      </w:r>
      <w:r w:rsidRPr="005C1870" w:rsidR="008A7498">
        <w:rPr>
          <w:rFonts w:ascii="Verdana" w:hAnsi="Verdana"/>
          <w:sz w:val="18"/>
          <w:szCs w:val="18"/>
          <w:lang w:val="nl-NL"/>
        </w:rPr>
        <w:t xml:space="preserve">bij de vangnetbepaling </w:t>
      </w:r>
      <w:r w:rsidRPr="005C1870" w:rsidR="00D53E9E">
        <w:rPr>
          <w:rFonts w:ascii="Verdana" w:hAnsi="Verdana"/>
          <w:sz w:val="18"/>
          <w:szCs w:val="18"/>
          <w:lang w:val="nl-NL"/>
        </w:rPr>
        <w:t>in</w:t>
      </w:r>
      <w:r w:rsidRPr="005C1870" w:rsidR="002E4253">
        <w:rPr>
          <w:rFonts w:ascii="Verdana" w:hAnsi="Verdana"/>
          <w:sz w:val="18"/>
          <w:szCs w:val="18"/>
          <w:lang w:val="nl-NL"/>
        </w:rPr>
        <w:t xml:space="preserve"> het tekstvoorstel in paragraaf 184 van het </w:t>
      </w:r>
      <w:r w:rsidR="007F022E">
        <w:rPr>
          <w:rFonts w:ascii="Verdana" w:hAnsi="Verdana"/>
          <w:sz w:val="18"/>
          <w:szCs w:val="18"/>
          <w:lang w:val="nl-NL"/>
        </w:rPr>
        <w:t>c</w:t>
      </w:r>
      <w:r w:rsidRPr="005C1870" w:rsidR="002E4253">
        <w:rPr>
          <w:rFonts w:ascii="Verdana" w:hAnsi="Verdana"/>
          <w:sz w:val="18"/>
          <w:szCs w:val="18"/>
          <w:lang w:val="nl-NL"/>
        </w:rPr>
        <w:t>ommentaar op artikel 29 van het OESO-modelverdrag</w:t>
      </w:r>
      <w:r w:rsidRPr="005C1870" w:rsidR="00D53E9E">
        <w:rPr>
          <w:rFonts w:ascii="Verdana" w:hAnsi="Verdana"/>
          <w:sz w:val="18"/>
          <w:szCs w:val="18"/>
          <w:lang w:val="nl-NL"/>
        </w:rPr>
        <w:t>.</w:t>
      </w:r>
    </w:p>
    <w:p w:rsidRPr="005C1870" w:rsidR="00E61C13" w:rsidP="00F54786" w:rsidRDefault="002E4253" w14:paraId="322AC100" w14:textId="5065889B">
      <w:pPr>
        <w:ind w:firstLine="720"/>
        <w:rPr>
          <w:rFonts w:ascii="Verdana" w:hAnsi="Verdana"/>
          <w:sz w:val="18"/>
          <w:szCs w:val="18"/>
          <w:lang w:val="nl-NL"/>
        </w:rPr>
      </w:pPr>
      <w:r w:rsidRPr="005C1870">
        <w:rPr>
          <w:rFonts w:ascii="Verdana" w:hAnsi="Verdana"/>
          <w:sz w:val="18"/>
          <w:szCs w:val="18"/>
          <w:lang w:val="nl-NL"/>
        </w:rPr>
        <w:t xml:space="preserve"> </w:t>
      </w:r>
      <w:r w:rsidRPr="005C1870" w:rsidR="00451D64">
        <w:rPr>
          <w:rFonts w:ascii="Verdana" w:hAnsi="Verdana"/>
          <w:sz w:val="18"/>
          <w:szCs w:val="18"/>
          <w:lang w:val="nl-NL"/>
        </w:rPr>
        <w:t xml:space="preserve">Het vierde tot en met zesde lid bevat een </w:t>
      </w:r>
      <w:r w:rsidRPr="005C1870" w:rsidR="00416097">
        <w:rPr>
          <w:rFonts w:ascii="Verdana" w:hAnsi="Verdana"/>
          <w:sz w:val="18"/>
          <w:szCs w:val="18"/>
          <w:lang w:val="nl-NL"/>
        </w:rPr>
        <w:t>bepaling</w:t>
      </w:r>
      <w:r w:rsidRPr="005C1870" w:rsidR="00451D64">
        <w:rPr>
          <w:rFonts w:ascii="Verdana" w:hAnsi="Verdana"/>
          <w:sz w:val="18"/>
          <w:szCs w:val="18"/>
          <w:lang w:val="nl-NL"/>
        </w:rPr>
        <w:t xml:space="preserve"> </w:t>
      </w:r>
      <w:r w:rsidRPr="005C1870" w:rsidR="000E5370">
        <w:rPr>
          <w:rFonts w:ascii="Verdana" w:hAnsi="Verdana"/>
          <w:sz w:val="18"/>
          <w:szCs w:val="18"/>
          <w:lang w:val="nl-NL"/>
        </w:rPr>
        <w:t xml:space="preserve">die is gebaseerd op artikel 29, achtste lid, van het OESO-modelverdrag en is ontleend aan een voorstel tegen verdragsmisbruik dat is beschreven in paragraaf 52 van het rapport bij BEPS-actie 6. In essentie voorkomt de bepaling dat het Verdrag </w:t>
      </w:r>
      <w:r w:rsidRPr="005C1870" w:rsidR="00D433C2">
        <w:rPr>
          <w:rFonts w:ascii="Verdana" w:hAnsi="Verdana"/>
          <w:sz w:val="18"/>
          <w:szCs w:val="18"/>
          <w:lang w:val="nl-NL"/>
        </w:rPr>
        <w:t xml:space="preserve">in de beschreven situatie </w:t>
      </w:r>
      <w:r w:rsidRPr="005C1870" w:rsidR="000E5370">
        <w:rPr>
          <w:rFonts w:ascii="Verdana" w:hAnsi="Verdana"/>
          <w:sz w:val="18"/>
          <w:szCs w:val="18"/>
          <w:lang w:val="nl-NL"/>
        </w:rPr>
        <w:t>heffingsrechten</w:t>
      </w:r>
      <w:r w:rsidR="00340BF3">
        <w:rPr>
          <w:rFonts w:ascii="Verdana" w:hAnsi="Verdana"/>
          <w:sz w:val="18"/>
          <w:szCs w:val="18"/>
          <w:lang w:val="nl-NL"/>
        </w:rPr>
        <w:t xml:space="preserve"> van een verdragsluitende staat</w:t>
      </w:r>
      <w:r w:rsidRPr="005C1870" w:rsidR="000E5370">
        <w:rPr>
          <w:rFonts w:ascii="Verdana" w:hAnsi="Verdana"/>
          <w:sz w:val="18"/>
          <w:szCs w:val="18"/>
          <w:lang w:val="nl-NL"/>
        </w:rPr>
        <w:t xml:space="preserve"> </w:t>
      </w:r>
      <w:r w:rsidRPr="005C1870" w:rsidR="00D433C2">
        <w:rPr>
          <w:rFonts w:ascii="Verdana" w:hAnsi="Verdana"/>
          <w:sz w:val="18"/>
          <w:szCs w:val="18"/>
          <w:lang w:val="nl-NL"/>
        </w:rPr>
        <w:t xml:space="preserve">beperkt bij inkomensbestanddelen die in de andere </w:t>
      </w:r>
      <w:r w:rsidR="0021450B">
        <w:rPr>
          <w:rFonts w:ascii="Verdana" w:hAnsi="Verdana"/>
          <w:sz w:val="18"/>
          <w:szCs w:val="18"/>
          <w:lang w:val="nl-NL"/>
        </w:rPr>
        <w:t>verdragsluitende staat</w:t>
      </w:r>
      <w:r w:rsidRPr="005C1870" w:rsidR="00D433C2">
        <w:rPr>
          <w:rFonts w:ascii="Verdana" w:hAnsi="Verdana"/>
          <w:sz w:val="18"/>
          <w:szCs w:val="18"/>
          <w:lang w:val="nl-NL"/>
        </w:rPr>
        <w:t xml:space="preserve"> worden vrijgesteld en worden toegerekend aan een vaste inrichting in een derde jurisdictie waar deze niet of slechts beperkt worden belast. </w:t>
      </w:r>
      <w:r w:rsidRPr="005C1870" w:rsidR="000E5370">
        <w:rPr>
          <w:rFonts w:ascii="Verdana" w:hAnsi="Verdana"/>
          <w:sz w:val="18"/>
          <w:szCs w:val="18"/>
          <w:lang w:val="nl-NL"/>
        </w:rPr>
        <w:t>Van dit laatste is</w:t>
      </w:r>
      <w:r w:rsidRPr="005C1870" w:rsidR="00D433C2">
        <w:rPr>
          <w:rFonts w:ascii="Verdana" w:hAnsi="Verdana"/>
          <w:sz w:val="18"/>
          <w:szCs w:val="18"/>
          <w:lang w:val="nl-NL"/>
        </w:rPr>
        <w:t xml:space="preserve"> sprake als de belasting in de </w:t>
      </w:r>
      <w:r w:rsidRPr="005C1870" w:rsidR="000E5370">
        <w:rPr>
          <w:rFonts w:ascii="Verdana" w:hAnsi="Verdana"/>
          <w:sz w:val="18"/>
          <w:szCs w:val="18"/>
          <w:lang w:val="nl-NL"/>
        </w:rPr>
        <w:t xml:space="preserve">betreffende derde </w:t>
      </w:r>
      <w:r w:rsidRPr="005C1870" w:rsidR="00D433C2">
        <w:rPr>
          <w:rFonts w:ascii="Verdana" w:hAnsi="Verdana"/>
          <w:sz w:val="18"/>
          <w:szCs w:val="18"/>
          <w:lang w:val="nl-NL"/>
        </w:rPr>
        <w:t>jurisdictie</w:t>
      </w:r>
      <w:r w:rsidRPr="005C1870" w:rsidR="000E5370">
        <w:rPr>
          <w:rFonts w:ascii="Verdana" w:hAnsi="Verdana"/>
          <w:sz w:val="18"/>
          <w:szCs w:val="18"/>
          <w:lang w:val="nl-NL"/>
        </w:rPr>
        <w:t xml:space="preserve"> minde</w:t>
      </w:r>
      <w:r w:rsidRPr="005C1870" w:rsidR="008A7498">
        <w:rPr>
          <w:rFonts w:ascii="Verdana" w:hAnsi="Verdana"/>
          <w:sz w:val="18"/>
          <w:szCs w:val="18"/>
          <w:lang w:val="nl-NL"/>
        </w:rPr>
        <w:t>r is dan 60</w:t>
      </w:r>
      <w:r w:rsidR="003F557E">
        <w:rPr>
          <w:rFonts w:ascii="Verdana" w:hAnsi="Verdana"/>
          <w:sz w:val="18"/>
          <w:szCs w:val="18"/>
          <w:lang w:val="nl-NL"/>
        </w:rPr>
        <w:t>%</w:t>
      </w:r>
      <w:r w:rsidR="00611A8F">
        <w:rPr>
          <w:rFonts w:ascii="Verdana" w:hAnsi="Verdana"/>
          <w:sz w:val="18"/>
          <w:szCs w:val="18"/>
          <w:lang w:val="nl-NL"/>
        </w:rPr>
        <w:t xml:space="preserve"> </w:t>
      </w:r>
      <w:r w:rsidRPr="005C1870" w:rsidR="000E5370">
        <w:rPr>
          <w:rFonts w:ascii="Verdana" w:hAnsi="Verdana"/>
          <w:sz w:val="18"/>
          <w:szCs w:val="18"/>
          <w:lang w:val="nl-NL"/>
        </w:rPr>
        <w:t xml:space="preserve">van de belasting die zou worden geheven </w:t>
      </w:r>
      <w:r w:rsidRPr="005C1870" w:rsidR="00D433C2">
        <w:rPr>
          <w:rFonts w:ascii="Verdana" w:hAnsi="Verdana"/>
          <w:sz w:val="18"/>
          <w:szCs w:val="18"/>
          <w:lang w:val="nl-NL"/>
        </w:rPr>
        <w:t xml:space="preserve">in de </w:t>
      </w:r>
      <w:r w:rsidR="0021450B">
        <w:rPr>
          <w:rFonts w:ascii="Verdana" w:hAnsi="Verdana"/>
          <w:sz w:val="18"/>
          <w:szCs w:val="18"/>
          <w:lang w:val="nl-NL"/>
        </w:rPr>
        <w:t>verdragsluitende staat</w:t>
      </w:r>
      <w:r w:rsidRPr="005C1870" w:rsidR="00D433C2">
        <w:rPr>
          <w:rFonts w:ascii="Verdana" w:hAnsi="Verdana"/>
          <w:sz w:val="18"/>
          <w:szCs w:val="18"/>
          <w:lang w:val="nl-NL"/>
        </w:rPr>
        <w:t xml:space="preserve"> van de onderneming</w:t>
      </w:r>
      <w:r w:rsidRPr="005C1870" w:rsidR="000E5370">
        <w:rPr>
          <w:rFonts w:ascii="Verdana" w:hAnsi="Verdana"/>
          <w:sz w:val="18"/>
          <w:szCs w:val="18"/>
          <w:lang w:val="nl-NL"/>
        </w:rPr>
        <w:t xml:space="preserve">. </w:t>
      </w:r>
      <w:r w:rsidRPr="005C1870" w:rsidR="00F54786">
        <w:rPr>
          <w:rFonts w:ascii="Verdana" w:hAnsi="Verdana"/>
          <w:sz w:val="18"/>
          <w:szCs w:val="18"/>
          <w:lang w:val="nl-NL"/>
        </w:rPr>
        <w:t>V</w:t>
      </w:r>
      <w:r w:rsidRPr="005C1870" w:rsidR="00D433C2">
        <w:rPr>
          <w:rFonts w:ascii="Verdana" w:hAnsi="Verdana"/>
          <w:sz w:val="18"/>
          <w:szCs w:val="18"/>
          <w:lang w:val="nl-NL"/>
        </w:rPr>
        <w:t xml:space="preserve">olgens het </w:t>
      </w:r>
      <w:r w:rsidRPr="005C1870" w:rsidR="00F54786">
        <w:rPr>
          <w:rFonts w:ascii="Verdana" w:hAnsi="Verdana"/>
          <w:sz w:val="18"/>
          <w:szCs w:val="18"/>
          <w:lang w:val="nl-NL"/>
        </w:rPr>
        <w:t>vijf</w:t>
      </w:r>
      <w:r w:rsidRPr="005C1870" w:rsidR="00D433C2">
        <w:rPr>
          <w:rFonts w:ascii="Verdana" w:hAnsi="Verdana"/>
          <w:sz w:val="18"/>
          <w:szCs w:val="18"/>
          <w:lang w:val="nl-NL"/>
        </w:rPr>
        <w:t xml:space="preserve">de lid </w:t>
      </w:r>
      <w:r w:rsidRPr="005C1870" w:rsidR="00F54786">
        <w:rPr>
          <w:rFonts w:ascii="Verdana" w:hAnsi="Verdana"/>
          <w:sz w:val="18"/>
          <w:szCs w:val="18"/>
          <w:lang w:val="nl-NL"/>
        </w:rPr>
        <w:t xml:space="preserve">is deze regel </w:t>
      </w:r>
      <w:r w:rsidRPr="005C1870" w:rsidR="00D433C2">
        <w:rPr>
          <w:rFonts w:ascii="Verdana" w:hAnsi="Verdana"/>
          <w:sz w:val="18"/>
          <w:szCs w:val="18"/>
          <w:lang w:val="nl-NL"/>
        </w:rPr>
        <w:t>niet van toepassing op inkomen</w:t>
      </w:r>
      <w:r w:rsidRPr="005C1870" w:rsidR="00F54786">
        <w:rPr>
          <w:rFonts w:ascii="Verdana" w:hAnsi="Verdana"/>
          <w:sz w:val="18"/>
          <w:szCs w:val="18"/>
          <w:lang w:val="nl-NL"/>
        </w:rPr>
        <w:t xml:space="preserve">sbestanddelen die toerekenbaar zijn aan </w:t>
      </w:r>
      <w:r w:rsidRPr="005C1870" w:rsidR="00D433C2">
        <w:rPr>
          <w:rFonts w:ascii="Verdana" w:hAnsi="Verdana"/>
          <w:sz w:val="18"/>
          <w:szCs w:val="18"/>
          <w:lang w:val="nl-NL"/>
        </w:rPr>
        <w:t>de actieve uitoefening van een bedrijf door de vaste inrichting. Om ove</w:t>
      </w:r>
      <w:r w:rsidRPr="005C1870" w:rsidR="00F54786">
        <w:rPr>
          <w:rFonts w:ascii="Verdana" w:hAnsi="Verdana"/>
          <w:sz w:val="18"/>
          <w:szCs w:val="18"/>
          <w:lang w:val="nl-NL"/>
        </w:rPr>
        <w:t>rkill te voorkomen biedt het zes</w:t>
      </w:r>
      <w:r w:rsidRPr="005C1870" w:rsidR="00D433C2">
        <w:rPr>
          <w:rFonts w:ascii="Verdana" w:hAnsi="Verdana"/>
          <w:sz w:val="18"/>
          <w:szCs w:val="18"/>
          <w:lang w:val="nl-NL"/>
        </w:rPr>
        <w:t>de lid de mogelijkheid voor de bevoegde autoriteit van het bronland om – op verzoek van de belastingplichtige – toch verdragsvoordelen toe te kennen als de bevoegde autoritei</w:t>
      </w:r>
      <w:r w:rsidRPr="005C1870" w:rsidR="00F54786">
        <w:rPr>
          <w:rFonts w:ascii="Verdana" w:hAnsi="Verdana"/>
          <w:sz w:val="18"/>
          <w:szCs w:val="18"/>
          <w:lang w:val="nl-NL"/>
        </w:rPr>
        <w:t xml:space="preserve">t dat gerechtvaardigd voorkomt. </w:t>
      </w:r>
      <w:r w:rsidRPr="005C1870" w:rsidR="00D433C2">
        <w:rPr>
          <w:rFonts w:ascii="Verdana" w:hAnsi="Verdana"/>
          <w:sz w:val="18"/>
          <w:szCs w:val="18"/>
          <w:lang w:val="nl-NL"/>
        </w:rPr>
        <w:t>Voorafgaand aan het weigeren of inwilligen van het verzoek zal die bevoegde autoriteit de bevoegde autoriteit van de verdragspartner consulteren.</w:t>
      </w:r>
    </w:p>
    <w:p w:rsidRPr="00556990" w:rsidR="00660A85" w:rsidP="009B275E" w:rsidRDefault="00660A85" w14:paraId="2D3AFB56" w14:textId="77777777">
      <w:pPr>
        <w:ind w:firstLine="720"/>
        <w:rPr>
          <w:rFonts w:ascii="Verdana" w:hAnsi="Verdana"/>
          <w:sz w:val="18"/>
          <w:szCs w:val="18"/>
          <w:lang w:val="nl-NL"/>
        </w:rPr>
      </w:pPr>
    </w:p>
    <w:p w:rsidRPr="00F578EC" w:rsidR="00B06512" w:rsidP="009B275E" w:rsidRDefault="00B06512" w14:paraId="4AC8E004" w14:textId="77777777">
      <w:pPr>
        <w:pStyle w:val="Kop2"/>
        <w:numPr>
          <w:ilvl w:val="0"/>
          <w:numId w:val="0"/>
        </w:numPr>
        <w:tabs>
          <w:tab w:val="left" w:pos="3780"/>
        </w:tabs>
        <w:spacing w:before="0" w:after="0"/>
        <w:rPr>
          <w:rFonts w:ascii="Verdana" w:hAnsi="Verdana"/>
          <w:sz w:val="18"/>
          <w:szCs w:val="18"/>
          <w:lang w:val="nl-NL"/>
        </w:rPr>
      </w:pPr>
      <w:r w:rsidRPr="001C6327">
        <w:rPr>
          <w:rFonts w:ascii="Verdana" w:hAnsi="Verdana"/>
          <w:b w:val="0"/>
          <w:i/>
          <w:sz w:val="18"/>
          <w:szCs w:val="18"/>
          <w:lang w:val="nl-NL"/>
        </w:rPr>
        <w:t>II.</w:t>
      </w:r>
      <w:r w:rsidRPr="00F578EC">
        <w:rPr>
          <w:rFonts w:ascii="Verdana" w:hAnsi="Verdana" w:cs="Arial"/>
          <w:b w:val="0"/>
          <w:i/>
          <w:sz w:val="18"/>
          <w:szCs w:val="18"/>
          <w:lang w:val="nl-NL"/>
        </w:rPr>
        <w:t>24. Non-discriminatie (artikel 24</w:t>
      </w:r>
      <w:r w:rsidRPr="000819E4" w:rsidR="000819E4">
        <w:rPr>
          <w:rFonts w:ascii="Verdana" w:hAnsi="Verdana" w:cs="Arial"/>
          <w:b w:val="0"/>
          <w:i/>
          <w:sz w:val="18"/>
          <w:szCs w:val="18"/>
          <w:lang w:val="nl-NL"/>
        </w:rPr>
        <w:t xml:space="preserve"> van het Verdrag</w:t>
      </w:r>
      <w:r w:rsidRPr="00F578EC">
        <w:rPr>
          <w:rFonts w:ascii="Verdana" w:hAnsi="Verdana" w:cs="Arial"/>
          <w:b w:val="0"/>
          <w:i/>
          <w:sz w:val="18"/>
          <w:szCs w:val="18"/>
          <w:lang w:val="nl-NL"/>
        </w:rPr>
        <w:t>)</w:t>
      </w:r>
      <w:r w:rsidRPr="00F578EC" w:rsidR="009B275E">
        <w:rPr>
          <w:rFonts w:ascii="Verdana" w:hAnsi="Verdana" w:cs="Arial"/>
          <w:b w:val="0"/>
          <w:i/>
          <w:sz w:val="18"/>
          <w:szCs w:val="18"/>
          <w:lang w:val="nl-NL"/>
        </w:rPr>
        <w:tab/>
      </w:r>
    </w:p>
    <w:p w:rsidRPr="00BC6175" w:rsidR="00F329E7" w:rsidP="00CD077B" w:rsidRDefault="00F329E7" w14:paraId="1746E820" w14:textId="77777777">
      <w:pPr>
        <w:ind w:firstLine="720"/>
        <w:rPr>
          <w:rFonts w:ascii="Verdana" w:hAnsi="Verdana" w:cs="Arial"/>
          <w:sz w:val="18"/>
          <w:szCs w:val="18"/>
          <w:lang w:val="nl-NL"/>
        </w:rPr>
      </w:pPr>
    </w:p>
    <w:p w:rsidRPr="00606D22" w:rsidR="00F329E7" w:rsidP="004827B9" w:rsidRDefault="00F329E7" w14:paraId="1643D1F8" w14:textId="77777777">
      <w:pPr>
        <w:ind w:firstLine="720"/>
        <w:rPr>
          <w:rFonts w:ascii="Verdana" w:hAnsi="Verdana" w:cs="Arial"/>
          <w:sz w:val="18"/>
          <w:szCs w:val="18"/>
          <w:lang w:val="nl-NL"/>
        </w:rPr>
      </w:pPr>
      <w:r w:rsidRPr="00BC6175">
        <w:rPr>
          <w:rFonts w:ascii="Verdana" w:hAnsi="Verdana" w:cs="Arial"/>
          <w:sz w:val="18"/>
          <w:szCs w:val="18"/>
          <w:lang w:val="nl-NL"/>
        </w:rPr>
        <w:lastRenderedPageBreak/>
        <w:t xml:space="preserve">Artikel 24 is grotendeels gebaseerd op de in het OESO-modelverdrag opgenomen non-discriminatiebepaling. Op voorstel van Nederland is een </w:t>
      </w:r>
      <w:r w:rsidRPr="00BC6175" w:rsidR="00964DD0">
        <w:rPr>
          <w:rFonts w:ascii="Verdana" w:hAnsi="Verdana" w:cs="Arial"/>
          <w:sz w:val="18"/>
          <w:szCs w:val="18"/>
          <w:lang w:val="nl-NL"/>
        </w:rPr>
        <w:t>zesde</w:t>
      </w:r>
      <w:r w:rsidRPr="00CF22A8">
        <w:rPr>
          <w:rFonts w:ascii="Verdana" w:hAnsi="Verdana" w:cs="Arial"/>
          <w:sz w:val="18"/>
          <w:szCs w:val="18"/>
          <w:lang w:val="nl-NL"/>
        </w:rPr>
        <w:t xml:space="preserve"> lid opgenomen over de behandeling van pensioenpremies die worden betaald </w:t>
      </w:r>
      <w:r w:rsidRPr="005C1870" w:rsidR="003B6983">
        <w:rPr>
          <w:rFonts w:ascii="Verdana" w:hAnsi="Verdana" w:cs="Arial"/>
          <w:sz w:val="18"/>
          <w:szCs w:val="18"/>
          <w:lang w:val="nl-NL"/>
        </w:rPr>
        <w:t xml:space="preserve">aan een pensioenfonds </w:t>
      </w:r>
      <w:r w:rsidRPr="005C1870">
        <w:rPr>
          <w:rFonts w:ascii="Verdana" w:hAnsi="Verdana" w:cs="Arial"/>
          <w:sz w:val="18"/>
          <w:szCs w:val="18"/>
          <w:lang w:val="nl-NL"/>
        </w:rPr>
        <w:t xml:space="preserve">in </w:t>
      </w:r>
      <w:r w:rsidR="00964525">
        <w:rPr>
          <w:rFonts w:ascii="Verdana" w:hAnsi="Verdana" w:cs="Arial"/>
          <w:sz w:val="18"/>
          <w:szCs w:val="18"/>
          <w:lang w:val="nl-NL"/>
        </w:rPr>
        <w:t>een</w:t>
      </w:r>
      <w:r w:rsidRPr="005C1870" w:rsidR="00964525">
        <w:rPr>
          <w:rFonts w:ascii="Verdana" w:hAnsi="Verdana" w:cs="Arial"/>
          <w:sz w:val="18"/>
          <w:szCs w:val="18"/>
          <w:lang w:val="nl-NL"/>
        </w:rPr>
        <w:t xml:space="preserve"> </w:t>
      </w:r>
      <w:r w:rsidRPr="005C1870">
        <w:rPr>
          <w:rFonts w:ascii="Verdana" w:hAnsi="Verdana" w:cs="Arial"/>
          <w:sz w:val="18"/>
          <w:szCs w:val="18"/>
          <w:lang w:val="nl-NL"/>
        </w:rPr>
        <w:t xml:space="preserve">van beide </w:t>
      </w:r>
      <w:r w:rsidR="003103E7">
        <w:rPr>
          <w:rFonts w:ascii="Verdana" w:hAnsi="Verdana" w:cs="Arial"/>
          <w:sz w:val="18"/>
          <w:szCs w:val="18"/>
          <w:lang w:val="nl-NL"/>
        </w:rPr>
        <w:t>staten</w:t>
      </w:r>
      <w:r w:rsidRPr="005C1870">
        <w:rPr>
          <w:rFonts w:ascii="Verdana" w:hAnsi="Verdana" w:cs="Arial"/>
          <w:sz w:val="18"/>
          <w:szCs w:val="18"/>
          <w:lang w:val="nl-NL"/>
        </w:rPr>
        <w:t xml:space="preserve">. Het doel van deze bepaling is een gelijke </w:t>
      </w:r>
      <w:r w:rsidRPr="00916448" w:rsidR="00C31C6F">
        <w:rPr>
          <w:rFonts w:ascii="Verdana" w:hAnsi="Verdana" w:cs="Arial"/>
          <w:sz w:val="18"/>
          <w:szCs w:val="18"/>
          <w:lang w:val="nl-NL"/>
        </w:rPr>
        <w:t xml:space="preserve">fiscale behandeling </w:t>
      </w:r>
      <w:r w:rsidRPr="00916448">
        <w:rPr>
          <w:rFonts w:ascii="Verdana" w:hAnsi="Verdana" w:cs="Arial"/>
          <w:sz w:val="18"/>
          <w:szCs w:val="18"/>
          <w:lang w:val="nl-NL"/>
        </w:rPr>
        <w:t xml:space="preserve">van pensioenpremies te garanderen voor een inwoner van een </w:t>
      </w:r>
      <w:r w:rsidR="0021450B">
        <w:rPr>
          <w:rFonts w:ascii="Verdana" w:hAnsi="Verdana" w:cs="Arial"/>
          <w:sz w:val="18"/>
          <w:szCs w:val="18"/>
          <w:lang w:val="nl-NL"/>
        </w:rPr>
        <w:t>verdragsluitende staat</w:t>
      </w:r>
      <w:r w:rsidRPr="00916448">
        <w:rPr>
          <w:rFonts w:ascii="Verdana" w:hAnsi="Verdana" w:cs="Arial"/>
          <w:sz w:val="18"/>
          <w:szCs w:val="18"/>
          <w:lang w:val="nl-NL"/>
        </w:rPr>
        <w:t xml:space="preserve"> die pensioenpremies betaalt aan een pensioen</w:t>
      </w:r>
      <w:r w:rsidRPr="00916448" w:rsidR="003B6983">
        <w:rPr>
          <w:rFonts w:ascii="Verdana" w:hAnsi="Verdana" w:cs="Arial"/>
          <w:sz w:val="18"/>
          <w:szCs w:val="18"/>
          <w:lang w:val="nl-NL"/>
        </w:rPr>
        <w:t xml:space="preserve">fonds </w:t>
      </w:r>
      <w:r w:rsidRPr="00916448">
        <w:rPr>
          <w:rFonts w:ascii="Verdana" w:hAnsi="Verdana" w:cs="Arial"/>
          <w:sz w:val="18"/>
          <w:szCs w:val="18"/>
          <w:lang w:val="nl-NL"/>
        </w:rPr>
        <w:t xml:space="preserve">in de andere </w:t>
      </w:r>
      <w:r w:rsidR="0021450B">
        <w:rPr>
          <w:rFonts w:ascii="Verdana" w:hAnsi="Verdana" w:cs="Arial"/>
          <w:sz w:val="18"/>
          <w:szCs w:val="18"/>
          <w:lang w:val="nl-NL"/>
        </w:rPr>
        <w:t>verdragsluitende staat</w:t>
      </w:r>
      <w:r w:rsidRPr="00780A5E">
        <w:rPr>
          <w:rFonts w:ascii="Verdana" w:hAnsi="Verdana" w:cs="Arial"/>
          <w:sz w:val="18"/>
          <w:szCs w:val="18"/>
          <w:lang w:val="nl-NL"/>
        </w:rPr>
        <w:t xml:space="preserve"> en die daarvoor inwoner was van die andere </w:t>
      </w:r>
      <w:r w:rsidR="003103E7">
        <w:rPr>
          <w:rFonts w:ascii="Verdana" w:hAnsi="Verdana" w:cs="Arial"/>
          <w:sz w:val="18"/>
          <w:szCs w:val="18"/>
          <w:lang w:val="nl-NL"/>
        </w:rPr>
        <w:t>staat</w:t>
      </w:r>
      <w:r w:rsidRPr="00780A5E">
        <w:rPr>
          <w:rFonts w:ascii="Verdana" w:hAnsi="Verdana" w:cs="Arial"/>
          <w:sz w:val="18"/>
          <w:szCs w:val="18"/>
          <w:lang w:val="nl-NL"/>
        </w:rPr>
        <w:t xml:space="preserve">. De gelijke </w:t>
      </w:r>
      <w:r w:rsidRPr="00780A5E" w:rsidR="00C31C6F">
        <w:rPr>
          <w:rFonts w:ascii="Verdana" w:hAnsi="Verdana" w:cs="Arial"/>
          <w:sz w:val="18"/>
          <w:szCs w:val="18"/>
          <w:lang w:val="nl-NL"/>
        </w:rPr>
        <w:t xml:space="preserve">fiscale behandeling </w:t>
      </w:r>
      <w:r w:rsidRPr="0021450B">
        <w:rPr>
          <w:rFonts w:ascii="Verdana" w:hAnsi="Verdana" w:cs="Arial"/>
          <w:sz w:val="18"/>
          <w:szCs w:val="18"/>
          <w:lang w:val="nl-NL"/>
        </w:rPr>
        <w:t xml:space="preserve">van pensioenpremies houdt in dat dezelfde </w:t>
      </w:r>
      <w:r w:rsidRPr="0021450B" w:rsidR="00C31C6F">
        <w:rPr>
          <w:rFonts w:ascii="Verdana" w:hAnsi="Verdana" w:cs="Arial"/>
          <w:sz w:val="18"/>
          <w:szCs w:val="18"/>
          <w:lang w:val="nl-NL"/>
        </w:rPr>
        <w:t xml:space="preserve">fiscale faciliteiten </w:t>
      </w:r>
      <w:r w:rsidRPr="0021450B">
        <w:rPr>
          <w:rFonts w:ascii="Verdana" w:hAnsi="Verdana" w:cs="Arial"/>
          <w:sz w:val="18"/>
          <w:szCs w:val="18"/>
          <w:lang w:val="nl-NL"/>
        </w:rPr>
        <w:t>word</w:t>
      </w:r>
      <w:r w:rsidRPr="0021450B" w:rsidR="00C31C6F">
        <w:rPr>
          <w:rFonts w:ascii="Verdana" w:hAnsi="Verdana" w:cs="Arial"/>
          <w:sz w:val="18"/>
          <w:szCs w:val="18"/>
          <w:lang w:val="nl-NL"/>
        </w:rPr>
        <w:t>en</w:t>
      </w:r>
      <w:r w:rsidRPr="0021450B">
        <w:rPr>
          <w:rFonts w:ascii="Verdana" w:hAnsi="Verdana" w:cs="Arial"/>
          <w:sz w:val="18"/>
          <w:szCs w:val="18"/>
          <w:lang w:val="nl-NL"/>
        </w:rPr>
        <w:t xml:space="preserve"> verleend als wanneer deze pensioenpremies waren betaald aan een </w:t>
      </w:r>
      <w:r w:rsidRPr="0021450B" w:rsidR="003B6983">
        <w:rPr>
          <w:rFonts w:ascii="Verdana" w:hAnsi="Verdana" w:cs="Arial"/>
          <w:sz w:val="18"/>
          <w:szCs w:val="18"/>
          <w:lang w:val="nl-NL"/>
        </w:rPr>
        <w:t xml:space="preserve">pensioenfonds </w:t>
      </w:r>
      <w:r w:rsidRPr="00BA2B89">
        <w:rPr>
          <w:rFonts w:ascii="Verdana" w:hAnsi="Verdana" w:cs="Arial"/>
          <w:sz w:val="18"/>
          <w:szCs w:val="18"/>
          <w:lang w:val="nl-NL"/>
        </w:rPr>
        <w:t>in de woonstaat van de premiebetaler. Deze bepaling is primair opgenomen om een voortgezette pensioenopbouw mogelijk te maken voor werkneme</w:t>
      </w:r>
      <w:r w:rsidRPr="00B6639D">
        <w:rPr>
          <w:rFonts w:ascii="Verdana" w:hAnsi="Verdana" w:cs="Arial"/>
          <w:sz w:val="18"/>
          <w:szCs w:val="18"/>
          <w:lang w:val="nl-NL"/>
        </w:rPr>
        <w:t>rs die in concernverband gedurende langere tijd (soms enkele jaren) naar het buitenland worden uitgezonden (</w:t>
      </w:r>
      <w:r w:rsidRPr="006C1373" w:rsidR="00AF3565">
        <w:rPr>
          <w:rFonts w:ascii="Verdana" w:hAnsi="Verdana" w:cs="Arial"/>
          <w:sz w:val="18"/>
          <w:szCs w:val="18"/>
          <w:lang w:val="nl-NL"/>
        </w:rPr>
        <w:t>‘</w:t>
      </w:r>
      <w:r w:rsidRPr="0066320E">
        <w:rPr>
          <w:rFonts w:ascii="Verdana" w:hAnsi="Verdana" w:cs="Arial"/>
          <w:i/>
          <w:sz w:val="18"/>
          <w:szCs w:val="18"/>
          <w:lang w:val="nl-NL"/>
        </w:rPr>
        <w:t>expatriates</w:t>
      </w:r>
      <w:r w:rsidRPr="005D1D58">
        <w:rPr>
          <w:rFonts w:ascii="Verdana" w:hAnsi="Verdana" w:cs="Arial"/>
          <w:sz w:val="18"/>
          <w:szCs w:val="18"/>
          <w:lang w:val="nl-NL"/>
        </w:rPr>
        <w:t>’</w:t>
      </w:r>
      <w:r w:rsidRPr="00DD3563">
        <w:rPr>
          <w:rFonts w:ascii="Verdana" w:hAnsi="Verdana" w:cs="Arial"/>
          <w:sz w:val="18"/>
          <w:szCs w:val="18"/>
          <w:lang w:val="nl-NL"/>
        </w:rPr>
        <w:t xml:space="preserve"> of </w:t>
      </w:r>
      <w:r w:rsidRPr="00DD3563" w:rsidR="00AF3565">
        <w:rPr>
          <w:rFonts w:ascii="Verdana" w:hAnsi="Verdana" w:cs="Arial"/>
          <w:sz w:val="18"/>
          <w:szCs w:val="18"/>
          <w:lang w:val="nl-NL"/>
        </w:rPr>
        <w:t>‘</w:t>
      </w:r>
      <w:r w:rsidRPr="00DD3563">
        <w:rPr>
          <w:rFonts w:ascii="Verdana" w:hAnsi="Verdana" w:cs="Arial"/>
          <w:sz w:val="18"/>
          <w:szCs w:val="18"/>
          <w:lang w:val="nl-NL"/>
        </w:rPr>
        <w:t>expats’). Een voortgezette pensioenopbouw tijdens de periode van uitzending voorkomt voor de werknemer nadelige pensioenbreuken. A</w:t>
      </w:r>
      <w:r w:rsidRPr="003F7CD6">
        <w:rPr>
          <w:rFonts w:ascii="Verdana" w:hAnsi="Verdana" w:cs="Arial"/>
          <w:sz w:val="18"/>
          <w:szCs w:val="18"/>
          <w:lang w:val="nl-NL"/>
        </w:rPr>
        <w:t xml:space="preserve">an de toepassing van het </w:t>
      </w:r>
      <w:r w:rsidRPr="00606D22" w:rsidR="00964DD0">
        <w:rPr>
          <w:rFonts w:ascii="Verdana" w:hAnsi="Verdana" w:cs="Arial"/>
          <w:sz w:val="18"/>
          <w:szCs w:val="18"/>
          <w:lang w:val="nl-NL"/>
        </w:rPr>
        <w:t>zesde</w:t>
      </w:r>
      <w:r w:rsidRPr="00606D22">
        <w:rPr>
          <w:rFonts w:ascii="Verdana" w:hAnsi="Verdana" w:cs="Arial"/>
          <w:sz w:val="18"/>
          <w:szCs w:val="18"/>
          <w:lang w:val="nl-NL"/>
        </w:rPr>
        <w:t xml:space="preserve"> lid zijn twee voorwaarden verbonden: </w:t>
      </w:r>
    </w:p>
    <w:p w:rsidRPr="00BD4E1D" w:rsidR="008E2932" w:rsidP="004827B9" w:rsidRDefault="00F329E7" w14:paraId="42DACF5D" w14:textId="77777777">
      <w:pPr>
        <w:pStyle w:val="Lijstalinea"/>
        <w:numPr>
          <w:ilvl w:val="0"/>
          <w:numId w:val="31"/>
        </w:numPr>
        <w:spacing w:line="360" w:lineRule="auto"/>
        <w:rPr>
          <w:rFonts w:ascii="Verdana" w:hAnsi="Verdana" w:cs="Arial"/>
          <w:sz w:val="18"/>
          <w:szCs w:val="18"/>
        </w:rPr>
      </w:pPr>
      <w:r w:rsidRPr="00FA4BC6">
        <w:rPr>
          <w:rFonts w:ascii="Verdana" w:hAnsi="Verdana" w:cs="Arial"/>
          <w:sz w:val="18"/>
          <w:szCs w:val="18"/>
        </w:rPr>
        <w:t xml:space="preserve">de betrokken persoon </w:t>
      </w:r>
      <w:r w:rsidRPr="00BD4E1D" w:rsidR="003B6983">
        <w:rPr>
          <w:rFonts w:ascii="Verdana" w:hAnsi="Verdana" w:cs="Arial"/>
          <w:sz w:val="18"/>
          <w:szCs w:val="18"/>
        </w:rPr>
        <w:t xml:space="preserve">betaalde al pensioenpremies aan een pensioenfonds </w:t>
      </w:r>
      <w:r w:rsidRPr="00BD4E1D">
        <w:rPr>
          <w:rFonts w:ascii="Verdana" w:hAnsi="Verdana" w:cs="Arial"/>
          <w:sz w:val="18"/>
          <w:szCs w:val="18"/>
        </w:rPr>
        <w:t xml:space="preserve">op het moment dat hij inwoner werd van de nieuwe woonstaat, en </w:t>
      </w:r>
    </w:p>
    <w:p w:rsidRPr="003103E7" w:rsidR="00F329E7" w:rsidP="004827B9" w:rsidRDefault="00F329E7" w14:paraId="5F520C6F" w14:textId="77777777">
      <w:pPr>
        <w:pStyle w:val="Lijstalinea"/>
        <w:numPr>
          <w:ilvl w:val="0"/>
          <w:numId w:val="31"/>
        </w:numPr>
        <w:spacing w:after="0" w:line="360" w:lineRule="auto"/>
        <w:rPr>
          <w:rFonts w:ascii="Verdana" w:hAnsi="Verdana" w:cs="Arial"/>
          <w:sz w:val="18"/>
          <w:szCs w:val="18"/>
        </w:rPr>
      </w:pPr>
      <w:r w:rsidRPr="00E01754">
        <w:rPr>
          <w:rFonts w:ascii="Verdana" w:hAnsi="Verdana" w:cs="Arial"/>
          <w:sz w:val="18"/>
          <w:szCs w:val="18"/>
        </w:rPr>
        <w:t xml:space="preserve">de bevoegde autoriteit van zijn nieuwe woonstaat </w:t>
      </w:r>
      <w:r w:rsidRPr="00E01754" w:rsidR="003C24F3">
        <w:rPr>
          <w:rFonts w:ascii="Verdana" w:hAnsi="Verdana" w:cs="Arial"/>
          <w:sz w:val="18"/>
          <w:szCs w:val="18"/>
        </w:rPr>
        <w:t>gaa</w:t>
      </w:r>
      <w:r w:rsidRPr="003103E7" w:rsidR="003C24F3">
        <w:rPr>
          <w:rFonts w:ascii="Verdana" w:hAnsi="Verdana" w:cs="Arial"/>
          <w:sz w:val="18"/>
          <w:szCs w:val="18"/>
        </w:rPr>
        <w:t xml:space="preserve">t ermee akkoord </w:t>
      </w:r>
      <w:r w:rsidRPr="003103E7" w:rsidR="00B21869">
        <w:rPr>
          <w:rFonts w:ascii="Verdana" w:hAnsi="Verdana" w:cs="Arial"/>
          <w:sz w:val="18"/>
          <w:szCs w:val="18"/>
        </w:rPr>
        <w:t xml:space="preserve">dat het pensioenfonds waaraan premies worden betaald </w:t>
      </w:r>
      <w:r w:rsidRPr="003103E7">
        <w:rPr>
          <w:rFonts w:ascii="Verdana" w:hAnsi="Verdana" w:cs="Arial"/>
          <w:sz w:val="18"/>
          <w:szCs w:val="18"/>
        </w:rPr>
        <w:t xml:space="preserve">overeenkomt met </w:t>
      </w:r>
      <w:r w:rsidRPr="003103E7" w:rsidR="00B21869">
        <w:rPr>
          <w:rFonts w:ascii="Verdana" w:hAnsi="Verdana" w:cs="Arial"/>
          <w:sz w:val="18"/>
          <w:szCs w:val="18"/>
        </w:rPr>
        <w:t xml:space="preserve">een </w:t>
      </w:r>
      <w:r w:rsidRPr="003103E7" w:rsidR="004528ED">
        <w:rPr>
          <w:rFonts w:ascii="Verdana" w:hAnsi="Verdana" w:cs="Arial"/>
          <w:sz w:val="18"/>
          <w:szCs w:val="18"/>
        </w:rPr>
        <w:t>voor belastingdoeleinden</w:t>
      </w:r>
      <w:r w:rsidRPr="003103E7" w:rsidR="00B21869">
        <w:rPr>
          <w:rFonts w:ascii="Verdana" w:hAnsi="Verdana" w:cs="Arial"/>
          <w:sz w:val="18"/>
          <w:szCs w:val="18"/>
        </w:rPr>
        <w:t xml:space="preserve"> </w:t>
      </w:r>
      <w:r w:rsidRPr="003103E7">
        <w:rPr>
          <w:rFonts w:ascii="Verdana" w:hAnsi="Verdana" w:cs="Arial"/>
          <w:sz w:val="18"/>
          <w:szCs w:val="18"/>
        </w:rPr>
        <w:t xml:space="preserve">erkend </w:t>
      </w:r>
      <w:r w:rsidRPr="003103E7" w:rsidR="00B21869">
        <w:rPr>
          <w:rFonts w:ascii="Verdana" w:hAnsi="Verdana" w:cs="Arial"/>
          <w:sz w:val="18"/>
          <w:szCs w:val="18"/>
        </w:rPr>
        <w:t xml:space="preserve">pensioenfonds van die </w:t>
      </w:r>
      <w:r w:rsidR="003103E7">
        <w:rPr>
          <w:rFonts w:ascii="Verdana" w:hAnsi="Verdana" w:cs="Arial"/>
          <w:sz w:val="18"/>
          <w:szCs w:val="18"/>
        </w:rPr>
        <w:t>staat</w:t>
      </w:r>
      <w:r w:rsidRPr="003103E7">
        <w:rPr>
          <w:rFonts w:ascii="Verdana" w:hAnsi="Verdana" w:cs="Arial"/>
          <w:sz w:val="18"/>
          <w:szCs w:val="18"/>
        </w:rPr>
        <w:t xml:space="preserve">. </w:t>
      </w:r>
    </w:p>
    <w:p w:rsidRPr="0018301C" w:rsidR="0088227E" w:rsidP="004827B9" w:rsidRDefault="00B21869" w14:paraId="69B3DC82" w14:textId="77777777">
      <w:pPr>
        <w:ind w:firstLine="720"/>
        <w:rPr>
          <w:rFonts w:ascii="Verdana" w:hAnsi="Verdana" w:cs="Arial"/>
          <w:sz w:val="18"/>
          <w:szCs w:val="18"/>
          <w:lang w:val="nl-NL"/>
        </w:rPr>
      </w:pPr>
      <w:r w:rsidRPr="003657E3">
        <w:rPr>
          <w:rFonts w:ascii="Verdana" w:hAnsi="Verdana" w:cs="Arial"/>
          <w:sz w:val="18"/>
          <w:szCs w:val="18"/>
          <w:lang w:val="nl-NL"/>
        </w:rPr>
        <w:t xml:space="preserve">Ingevolge het zevende lid </w:t>
      </w:r>
      <w:r w:rsidRPr="00CB4452" w:rsidR="00EF54F0">
        <w:rPr>
          <w:rFonts w:ascii="Verdana" w:hAnsi="Verdana" w:cs="Arial"/>
          <w:sz w:val="18"/>
          <w:szCs w:val="18"/>
          <w:lang w:val="nl-NL"/>
        </w:rPr>
        <w:t xml:space="preserve">valt onder </w:t>
      </w:r>
      <w:r w:rsidRPr="00CB4452" w:rsidR="00F329E7">
        <w:rPr>
          <w:rFonts w:ascii="Verdana" w:hAnsi="Verdana" w:cs="Arial"/>
          <w:sz w:val="18"/>
          <w:szCs w:val="18"/>
          <w:lang w:val="nl-NL"/>
        </w:rPr>
        <w:t xml:space="preserve">het begrip </w:t>
      </w:r>
      <w:r w:rsidRPr="00CB4452" w:rsidR="00564819">
        <w:rPr>
          <w:rFonts w:ascii="Verdana" w:hAnsi="Verdana" w:cs="Arial"/>
          <w:sz w:val="18"/>
          <w:szCs w:val="18"/>
          <w:lang w:val="nl-NL"/>
        </w:rPr>
        <w:t>‘</w:t>
      </w:r>
      <w:r w:rsidRPr="00CB4452" w:rsidR="00F329E7">
        <w:rPr>
          <w:rFonts w:ascii="Verdana" w:hAnsi="Verdana" w:cs="Arial"/>
          <w:sz w:val="18"/>
          <w:szCs w:val="18"/>
          <w:lang w:val="nl-NL"/>
        </w:rPr>
        <w:t>pensioen</w:t>
      </w:r>
      <w:r w:rsidRPr="00CB4452">
        <w:rPr>
          <w:rFonts w:ascii="Verdana" w:hAnsi="Verdana" w:cs="Arial"/>
          <w:sz w:val="18"/>
          <w:szCs w:val="18"/>
          <w:lang w:val="nl-NL"/>
        </w:rPr>
        <w:t>fonds</w:t>
      </w:r>
      <w:r w:rsidRPr="006515E9" w:rsidR="00564819">
        <w:rPr>
          <w:rFonts w:ascii="Verdana" w:hAnsi="Verdana" w:cs="Arial"/>
          <w:sz w:val="18"/>
          <w:szCs w:val="18"/>
          <w:lang w:val="nl-NL"/>
        </w:rPr>
        <w:t>’</w:t>
      </w:r>
      <w:r w:rsidRPr="006515E9" w:rsidR="00F329E7">
        <w:rPr>
          <w:rFonts w:ascii="Verdana" w:hAnsi="Verdana" w:cs="Arial"/>
          <w:sz w:val="18"/>
          <w:szCs w:val="18"/>
          <w:lang w:val="nl-NL"/>
        </w:rPr>
        <w:t xml:space="preserve"> </w:t>
      </w:r>
      <w:r w:rsidRPr="006515E9" w:rsidR="00EF54F0">
        <w:rPr>
          <w:rFonts w:ascii="Verdana" w:hAnsi="Verdana" w:cs="Arial"/>
          <w:sz w:val="18"/>
          <w:szCs w:val="18"/>
          <w:lang w:val="nl-NL"/>
        </w:rPr>
        <w:t xml:space="preserve">tevens een pensioenregeling volgens het </w:t>
      </w:r>
      <w:r w:rsidRPr="006515E9">
        <w:rPr>
          <w:rFonts w:ascii="Verdana" w:hAnsi="Verdana" w:cs="Arial"/>
          <w:sz w:val="18"/>
          <w:szCs w:val="18"/>
          <w:lang w:val="nl-NL"/>
        </w:rPr>
        <w:t>socialezekerheidsstelsel</w:t>
      </w:r>
      <w:r w:rsidRPr="0018301C" w:rsidR="00F329E7">
        <w:rPr>
          <w:rFonts w:ascii="Verdana" w:hAnsi="Verdana" w:cs="Arial"/>
          <w:sz w:val="18"/>
          <w:szCs w:val="18"/>
          <w:lang w:val="nl-NL"/>
        </w:rPr>
        <w:t>.</w:t>
      </w:r>
      <w:r w:rsidRPr="0018301C">
        <w:rPr>
          <w:rFonts w:ascii="Verdana" w:hAnsi="Verdana" w:cs="Arial"/>
          <w:sz w:val="18"/>
          <w:szCs w:val="18"/>
          <w:lang w:val="nl-NL"/>
        </w:rPr>
        <w:t xml:space="preserve"> </w:t>
      </w:r>
    </w:p>
    <w:p w:rsidRPr="001F1D4E" w:rsidR="00B21869" w:rsidP="004827B9" w:rsidRDefault="00B21869" w14:paraId="341F4D6E" w14:textId="77777777">
      <w:pPr>
        <w:ind w:firstLine="720"/>
        <w:rPr>
          <w:rFonts w:ascii="Verdana" w:hAnsi="Verdana" w:cs="Arial"/>
          <w:sz w:val="18"/>
          <w:szCs w:val="18"/>
          <w:lang w:val="nl-NL"/>
        </w:rPr>
      </w:pPr>
      <w:r w:rsidRPr="00EC1AE5">
        <w:rPr>
          <w:rFonts w:ascii="Verdana" w:hAnsi="Verdana" w:cs="Arial"/>
          <w:sz w:val="18"/>
          <w:szCs w:val="18"/>
          <w:lang w:val="nl-NL"/>
        </w:rPr>
        <w:t>Ingevolge het achtste lid is de toepassing van dit artikel niet beperkt tot de belastingen waarop het Verdrag van toepassing is.</w:t>
      </w:r>
      <w:r w:rsidRPr="00EC1AE5" w:rsidR="009B275E">
        <w:rPr>
          <w:rFonts w:ascii="Verdana" w:hAnsi="Verdana" w:cs="Arial"/>
          <w:sz w:val="18"/>
          <w:szCs w:val="18"/>
          <w:lang w:val="nl-NL"/>
        </w:rPr>
        <w:br/>
      </w:r>
    </w:p>
    <w:p w:rsidRPr="00780A5E" w:rsidR="00964DD0" w:rsidP="009B275E" w:rsidRDefault="00964DD0" w14:paraId="2FEA4583" w14:textId="77777777">
      <w:pPr>
        <w:pStyle w:val="Kop2"/>
        <w:numPr>
          <w:ilvl w:val="0"/>
          <w:numId w:val="0"/>
        </w:numPr>
        <w:spacing w:before="0" w:after="0"/>
        <w:rPr>
          <w:rFonts w:ascii="Verdana" w:hAnsi="Verdana"/>
          <w:sz w:val="18"/>
          <w:szCs w:val="18"/>
          <w:lang w:val="nl-NL"/>
        </w:rPr>
      </w:pPr>
      <w:r w:rsidRPr="00946BD2">
        <w:rPr>
          <w:rFonts w:ascii="Verdana" w:hAnsi="Verdana"/>
          <w:b w:val="0"/>
          <w:i/>
          <w:sz w:val="18"/>
          <w:szCs w:val="18"/>
          <w:lang w:val="nl-NL"/>
        </w:rPr>
        <w:t>II.</w:t>
      </w:r>
      <w:r w:rsidRPr="00D11CDE">
        <w:rPr>
          <w:rFonts w:ascii="Verdana" w:hAnsi="Verdana" w:cs="Arial"/>
          <w:b w:val="0"/>
          <w:i/>
          <w:sz w:val="18"/>
          <w:szCs w:val="18"/>
          <w:lang w:val="nl-NL"/>
        </w:rPr>
        <w:t>25. Procedure voor onderling overleg (artikel 25</w:t>
      </w:r>
      <w:r w:rsidRPr="00F67874" w:rsidR="00BD36B2">
        <w:rPr>
          <w:rFonts w:ascii="Verdana" w:hAnsi="Verdana" w:cs="Arial"/>
          <w:b w:val="0"/>
          <w:i/>
          <w:sz w:val="18"/>
          <w:szCs w:val="18"/>
          <w:lang w:val="nl-NL"/>
        </w:rPr>
        <w:t xml:space="preserve"> </w:t>
      </w:r>
      <w:r w:rsidR="00916448">
        <w:rPr>
          <w:rFonts w:ascii="Verdana" w:hAnsi="Verdana" w:cs="Arial"/>
          <w:b w:val="0"/>
          <w:i/>
          <w:sz w:val="18"/>
          <w:szCs w:val="18"/>
          <w:lang w:val="nl-NL"/>
        </w:rPr>
        <w:t>van het Verdrag</w:t>
      </w:r>
      <w:r w:rsidRPr="00916448" w:rsidR="00916448">
        <w:rPr>
          <w:rFonts w:ascii="Verdana" w:hAnsi="Verdana"/>
          <w:b w:val="0"/>
          <w:i/>
          <w:sz w:val="18"/>
          <w:szCs w:val="18"/>
          <w:lang w:val="nl-NL"/>
        </w:rPr>
        <w:t xml:space="preserve"> </w:t>
      </w:r>
      <w:r w:rsidRPr="00916448" w:rsidR="00BD36B2">
        <w:rPr>
          <w:rFonts w:ascii="Verdana" w:hAnsi="Verdana"/>
          <w:b w:val="0"/>
          <w:i/>
          <w:sz w:val="18"/>
          <w:szCs w:val="18"/>
          <w:lang w:val="nl-NL"/>
        </w:rPr>
        <w:t>en artikel</w:t>
      </w:r>
      <w:r w:rsidRPr="00916448" w:rsidR="005B75C4">
        <w:rPr>
          <w:rFonts w:ascii="Verdana" w:hAnsi="Verdana"/>
          <w:b w:val="0"/>
          <w:i/>
          <w:sz w:val="18"/>
          <w:szCs w:val="18"/>
          <w:lang w:val="nl-NL"/>
        </w:rPr>
        <w:t xml:space="preserve">en </w:t>
      </w:r>
      <w:r w:rsidRPr="00780A5E" w:rsidR="00BD36B2">
        <w:rPr>
          <w:rFonts w:ascii="Verdana" w:hAnsi="Verdana"/>
          <w:b w:val="0"/>
          <w:i/>
          <w:sz w:val="18"/>
          <w:szCs w:val="18"/>
          <w:lang w:val="nl-NL"/>
        </w:rPr>
        <w:t>X</w:t>
      </w:r>
      <w:r w:rsidRPr="00780A5E" w:rsidR="005B75C4">
        <w:rPr>
          <w:rFonts w:ascii="Verdana" w:hAnsi="Verdana"/>
          <w:b w:val="0"/>
          <w:i/>
          <w:sz w:val="18"/>
          <w:szCs w:val="18"/>
          <w:lang w:val="nl-NL"/>
        </w:rPr>
        <w:t xml:space="preserve">II en </w:t>
      </w:r>
      <w:r w:rsidRPr="00780A5E" w:rsidR="005F46A2">
        <w:rPr>
          <w:rFonts w:ascii="Verdana" w:hAnsi="Verdana"/>
          <w:b w:val="0"/>
          <w:i/>
          <w:sz w:val="18"/>
          <w:szCs w:val="18"/>
          <w:lang w:val="nl-NL"/>
        </w:rPr>
        <w:t>XIII</w:t>
      </w:r>
      <w:r w:rsidRPr="00780A5E" w:rsidR="00780A5E">
        <w:rPr>
          <w:rFonts w:ascii="Verdana" w:hAnsi="Verdana"/>
          <w:b w:val="0"/>
          <w:i/>
          <w:sz w:val="18"/>
          <w:szCs w:val="18"/>
          <w:lang w:val="nl-NL"/>
        </w:rPr>
        <w:t xml:space="preserve"> </w:t>
      </w:r>
      <w:r w:rsidR="00780A5E">
        <w:rPr>
          <w:rFonts w:ascii="Verdana" w:hAnsi="Verdana"/>
          <w:b w:val="0"/>
          <w:i/>
          <w:sz w:val="18"/>
          <w:szCs w:val="18"/>
          <w:lang w:val="nl-NL"/>
        </w:rPr>
        <w:t xml:space="preserve">van het </w:t>
      </w:r>
      <w:r w:rsidRPr="00916448" w:rsidR="00780A5E">
        <w:rPr>
          <w:rFonts w:ascii="Verdana" w:hAnsi="Verdana"/>
          <w:b w:val="0"/>
          <w:i/>
          <w:sz w:val="18"/>
          <w:szCs w:val="18"/>
          <w:lang w:val="nl-NL"/>
        </w:rPr>
        <w:t>Protocol</w:t>
      </w:r>
      <w:r w:rsidRPr="00780A5E" w:rsidR="00BD36B2">
        <w:rPr>
          <w:rFonts w:ascii="Verdana" w:hAnsi="Verdana"/>
          <w:b w:val="0"/>
          <w:i/>
          <w:sz w:val="18"/>
          <w:szCs w:val="18"/>
          <w:lang w:val="nl-NL"/>
        </w:rPr>
        <w:t>)</w:t>
      </w:r>
    </w:p>
    <w:p w:rsidRPr="00780A5E" w:rsidR="00BD36B2" w:rsidP="009B275E" w:rsidRDefault="00BD36B2" w14:paraId="4979702E" w14:textId="77777777">
      <w:pPr>
        <w:ind w:firstLine="720"/>
        <w:rPr>
          <w:rFonts w:ascii="Verdana" w:hAnsi="Verdana" w:cs="Arial"/>
          <w:sz w:val="18"/>
          <w:szCs w:val="18"/>
          <w:lang w:val="nl-NL"/>
        </w:rPr>
      </w:pPr>
    </w:p>
    <w:p w:rsidRPr="003F7CD6" w:rsidR="004F71CF" w:rsidP="00340BF3" w:rsidRDefault="004657D6" w14:paraId="52D17A63" w14:textId="77777777">
      <w:pPr>
        <w:ind w:firstLine="720"/>
        <w:rPr>
          <w:rFonts w:ascii="Verdana" w:hAnsi="Verdana" w:cs="Arial"/>
          <w:i/>
          <w:sz w:val="18"/>
          <w:szCs w:val="18"/>
          <w:lang w:val="nl-NL"/>
        </w:rPr>
      </w:pPr>
      <w:r w:rsidRPr="00780A5E">
        <w:rPr>
          <w:rFonts w:ascii="Verdana" w:hAnsi="Verdana" w:cs="Arial"/>
          <w:sz w:val="18"/>
          <w:szCs w:val="18"/>
          <w:lang w:val="nl-NL"/>
        </w:rPr>
        <w:t>Artikel 25 bevat de procedure</w:t>
      </w:r>
      <w:r w:rsidRPr="00780A5E" w:rsidR="00BD36B2">
        <w:rPr>
          <w:rFonts w:ascii="Verdana" w:hAnsi="Verdana" w:cs="Arial"/>
          <w:sz w:val="18"/>
          <w:szCs w:val="18"/>
          <w:lang w:val="nl-NL"/>
        </w:rPr>
        <w:t xml:space="preserve"> voor onderling overleg tussen de </w:t>
      </w:r>
      <w:r w:rsidRPr="00780A5E" w:rsidR="00E556C0">
        <w:rPr>
          <w:rFonts w:ascii="Verdana" w:hAnsi="Verdana" w:cs="Arial"/>
          <w:sz w:val="18"/>
          <w:szCs w:val="18"/>
          <w:lang w:val="nl-NL"/>
        </w:rPr>
        <w:t xml:space="preserve">bevoegde autoriteiten van de </w:t>
      </w:r>
      <w:r w:rsidR="0021450B">
        <w:rPr>
          <w:rFonts w:ascii="Verdana" w:hAnsi="Verdana" w:cs="Arial"/>
          <w:sz w:val="18"/>
          <w:szCs w:val="18"/>
          <w:lang w:val="nl-NL"/>
        </w:rPr>
        <w:t>verdragsluitende staten</w:t>
      </w:r>
      <w:r w:rsidRPr="0021450B" w:rsidR="008C113B">
        <w:rPr>
          <w:rFonts w:ascii="Verdana" w:hAnsi="Verdana" w:cs="Arial"/>
          <w:sz w:val="18"/>
          <w:szCs w:val="18"/>
          <w:lang w:val="nl-NL"/>
        </w:rPr>
        <w:t xml:space="preserve"> </w:t>
      </w:r>
      <w:r w:rsidRPr="0021450B" w:rsidR="00A53BFF">
        <w:rPr>
          <w:rFonts w:ascii="Verdana" w:hAnsi="Verdana" w:cs="Arial"/>
          <w:sz w:val="18"/>
          <w:szCs w:val="18"/>
          <w:lang w:val="nl-NL"/>
        </w:rPr>
        <w:t xml:space="preserve">om moeilijkheden op te lossen die mochten rijzen bij </w:t>
      </w:r>
      <w:r w:rsidRPr="0021450B" w:rsidR="004F71CF">
        <w:rPr>
          <w:rFonts w:ascii="Verdana" w:hAnsi="Verdana" w:cs="Arial"/>
          <w:sz w:val="18"/>
          <w:szCs w:val="18"/>
          <w:lang w:val="nl-NL"/>
        </w:rPr>
        <w:t>de toepassing van het Verdrag</w:t>
      </w:r>
      <w:r w:rsidRPr="0021450B" w:rsidR="00A84A9E">
        <w:rPr>
          <w:rFonts w:ascii="Verdana" w:hAnsi="Verdana" w:cs="Arial"/>
          <w:sz w:val="18"/>
          <w:szCs w:val="18"/>
          <w:lang w:val="nl-NL"/>
        </w:rPr>
        <w:t xml:space="preserve">. </w:t>
      </w:r>
      <w:r w:rsidRPr="0021450B" w:rsidR="004F71CF">
        <w:rPr>
          <w:rFonts w:ascii="Verdana" w:hAnsi="Verdana" w:cs="Arial"/>
          <w:sz w:val="18"/>
          <w:szCs w:val="18"/>
          <w:lang w:val="nl-NL"/>
        </w:rPr>
        <w:t>De bepaling is</w:t>
      </w:r>
      <w:r w:rsidRPr="0021450B">
        <w:rPr>
          <w:rFonts w:ascii="Verdana" w:hAnsi="Verdana" w:cs="Arial"/>
          <w:sz w:val="18"/>
          <w:szCs w:val="18"/>
          <w:lang w:val="nl-NL"/>
        </w:rPr>
        <w:t xml:space="preserve"> gebaseerd </w:t>
      </w:r>
      <w:r w:rsidR="00246626">
        <w:rPr>
          <w:rFonts w:ascii="Verdana" w:hAnsi="Verdana" w:cs="Arial"/>
          <w:sz w:val="18"/>
          <w:szCs w:val="18"/>
          <w:lang w:val="nl-NL"/>
        </w:rPr>
        <w:t xml:space="preserve">op </w:t>
      </w:r>
      <w:r w:rsidRPr="0021450B">
        <w:rPr>
          <w:rFonts w:ascii="Verdana" w:hAnsi="Verdana" w:cs="Arial"/>
          <w:sz w:val="18"/>
          <w:szCs w:val="18"/>
          <w:lang w:val="nl-NL"/>
        </w:rPr>
        <w:t>artikel 25 van het OESO-modelverdrag en is in</w:t>
      </w:r>
      <w:r w:rsidRPr="00BA2B89" w:rsidR="004F71CF">
        <w:rPr>
          <w:rFonts w:ascii="Verdana" w:hAnsi="Verdana" w:cs="Arial"/>
          <w:sz w:val="18"/>
          <w:szCs w:val="18"/>
          <w:lang w:val="nl-NL"/>
        </w:rPr>
        <w:t xml:space="preserve"> overeenstemming met de minimumstandaard uit het rapport bij BEPS-actie 14 (‘</w:t>
      </w:r>
      <w:r w:rsidRPr="00B6639D" w:rsidR="004F71CF">
        <w:rPr>
          <w:rFonts w:ascii="Verdana" w:hAnsi="Verdana" w:cs="Arial"/>
          <w:i/>
          <w:sz w:val="18"/>
          <w:szCs w:val="18"/>
          <w:lang w:val="nl-NL"/>
        </w:rPr>
        <w:t>Making Dispute Resolution Mechanisms</w:t>
      </w:r>
      <w:r w:rsidRPr="006C1373">
        <w:rPr>
          <w:rFonts w:ascii="Verdana" w:hAnsi="Verdana" w:cs="Arial"/>
          <w:i/>
          <w:sz w:val="18"/>
          <w:szCs w:val="18"/>
          <w:lang w:val="nl-NL"/>
        </w:rPr>
        <w:t xml:space="preserve"> </w:t>
      </w:r>
      <w:r w:rsidRPr="00DD3563" w:rsidR="004F71CF">
        <w:rPr>
          <w:rFonts w:ascii="Verdana" w:hAnsi="Verdana" w:cs="Arial"/>
          <w:i/>
          <w:sz w:val="18"/>
          <w:szCs w:val="18"/>
          <w:lang w:val="nl-NL"/>
        </w:rPr>
        <w:t>More Effective</w:t>
      </w:r>
      <w:r w:rsidRPr="00DD3563">
        <w:rPr>
          <w:rFonts w:ascii="Verdana" w:hAnsi="Verdana" w:cs="Arial"/>
          <w:sz w:val="18"/>
          <w:szCs w:val="18"/>
          <w:lang w:val="nl-NL"/>
        </w:rPr>
        <w:t>’)</w:t>
      </w:r>
      <w:r w:rsidRPr="00DD3563" w:rsidR="0001251B">
        <w:rPr>
          <w:rFonts w:ascii="Verdana" w:hAnsi="Verdana" w:cs="Arial"/>
          <w:sz w:val="18"/>
          <w:szCs w:val="18"/>
          <w:lang w:val="nl-NL"/>
        </w:rPr>
        <w:t xml:space="preserve">. </w:t>
      </w:r>
      <w:r w:rsidR="00340BF3">
        <w:rPr>
          <w:rFonts w:ascii="Verdana" w:hAnsi="Verdana" w:cs="Arial"/>
          <w:sz w:val="18"/>
          <w:szCs w:val="18"/>
          <w:lang w:val="nl-NL"/>
        </w:rPr>
        <w:t>Een belangrijke afwijking van artikel 25 van het OESO-modelverdrag is dat in het onderhavige artikel een bepaling over arbitrage ontbreekt. Hierop</w:t>
      </w:r>
      <w:r w:rsidR="00186E44">
        <w:rPr>
          <w:rFonts w:ascii="Verdana" w:hAnsi="Verdana" w:cs="Arial"/>
          <w:sz w:val="18"/>
          <w:szCs w:val="18"/>
          <w:lang w:val="nl-NL"/>
        </w:rPr>
        <w:t xml:space="preserve"> wordt hierna nader ingegaan</w:t>
      </w:r>
      <w:r w:rsidR="00340BF3">
        <w:rPr>
          <w:rFonts w:ascii="Verdana" w:hAnsi="Verdana" w:cs="Arial"/>
          <w:sz w:val="18"/>
          <w:szCs w:val="18"/>
          <w:lang w:val="nl-NL"/>
        </w:rPr>
        <w:t>.</w:t>
      </w:r>
    </w:p>
    <w:p w:rsidRPr="00DD3563" w:rsidR="0001251B" w:rsidP="0066320E" w:rsidRDefault="004F71CF" w14:paraId="49511476" w14:textId="7C5720C3">
      <w:pPr>
        <w:ind w:firstLine="708"/>
        <w:rPr>
          <w:rFonts w:ascii="Verdana" w:hAnsi="Verdana" w:cs="Arial"/>
          <w:sz w:val="18"/>
          <w:szCs w:val="18"/>
          <w:lang w:val="nl-NL"/>
        </w:rPr>
      </w:pPr>
      <w:r w:rsidRPr="00606D22">
        <w:rPr>
          <w:rFonts w:ascii="Verdana" w:hAnsi="Verdana" w:cs="Arial"/>
          <w:sz w:val="18"/>
          <w:szCs w:val="18"/>
          <w:lang w:val="nl-NL"/>
        </w:rPr>
        <w:t xml:space="preserve">Het eerste lid bepaalt dat een belastingplichtige een verzoek kan indienen voor onderling overleg tussen de bevoegde autoriteiten van de </w:t>
      </w:r>
      <w:r w:rsidR="0021450B">
        <w:rPr>
          <w:rFonts w:ascii="Verdana" w:hAnsi="Verdana" w:cs="Arial"/>
          <w:sz w:val="18"/>
          <w:szCs w:val="18"/>
          <w:lang w:val="nl-NL"/>
        </w:rPr>
        <w:t>verdragsluitende staten</w:t>
      </w:r>
      <w:r w:rsidRPr="0021450B" w:rsidR="008C113B">
        <w:rPr>
          <w:rFonts w:ascii="Verdana" w:hAnsi="Verdana" w:cs="Arial"/>
          <w:sz w:val="18"/>
          <w:szCs w:val="18"/>
          <w:lang w:val="nl-NL"/>
        </w:rPr>
        <w:t xml:space="preserve"> </w:t>
      </w:r>
      <w:r w:rsidRPr="0021450B">
        <w:rPr>
          <w:rFonts w:ascii="Verdana" w:hAnsi="Verdana" w:cs="Arial"/>
          <w:sz w:val="18"/>
          <w:szCs w:val="18"/>
          <w:lang w:val="nl-NL"/>
        </w:rPr>
        <w:t xml:space="preserve">indien volgens de belastingplichtige sprake is van een belastingheffing in strijd met het Verdrag. In aansluiting bij de minimumstandaard is bepaald dat een belastingplichtige dit verzoek kan indienen in beide </w:t>
      </w:r>
      <w:r w:rsidR="0021450B">
        <w:rPr>
          <w:rFonts w:ascii="Verdana" w:hAnsi="Verdana" w:cs="Arial"/>
          <w:sz w:val="18"/>
          <w:szCs w:val="18"/>
          <w:lang w:val="nl-NL"/>
        </w:rPr>
        <w:t>verdragsluitende staten</w:t>
      </w:r>
      <w:r w:rsidRPr="0021450B">
        <w:rPr>
          <w:rFonts w:ascii="Verdana" w:hAnsi="Verdana" w:cs="Arial"/>
          <w:sz w:val="18"/>
          <w:szCs w:val="18"/>
          <w:lang w:val="nl-NL"/>
        </w:rPr>
        <w:t>.</w:t>
      </w:r>
      <w:r w:rsidRPr="0021450B" w:rsidR="004657D6">
        <w:rPr>
          <w:rFonts w:ascii="Verdana" w:hAnsi="Verdana" w:cs="Arial"/>
          <w:sz w:val="18"/>
          <w:szCs w:val="18"/>
          <w:lang w:val="nl-NL"/>
        </w:rPr>
        <w:t xml:space="preserve"> </w:t>
      </w:r>
      <w:r w:rsidRPr="0021450B">
        <w:rPr>
          <w:rFonts w:ascii="Verdana" w:hAnsi="Verdana" w:cs="Arial"/>
          <w:sz w:val="18"/>
          <w:szCs w:val="18"/>
          <w:lang w:val="nl-NL"/>
        </w:rPr>
        <w:t>De ratio hierachter is dat de procedure voor onderling overleg zo goed mogelijk toegankelijk moet zijn voor belastingplichtigen en dat de vraag of een procedure voor onderling overleg moet worden opgestart door beide bevoegde autoriteiten moet kunnen worden beoordeeld</w:t>
      </w:r>
      <w:r w:rsidRPr="0021450B" w:rsidR="0001251B">
        <w:rPr>
          <w:rFonts w:ascii="Verdana" w:hAnsi="Verdana" w:cs="Arial"/>
          <w:sz w:val="18"/>
          <w:szCs w:val="18"/>
          <w:lang w:val="nl-NL"/>
        </w:rPr>
        <w:t>. Op grond van de tweede zin van het eerst</w:t>
      </w:r>
      <w:r w:rsidR="00073496">
        <w:rPr>
          <w:rFonts w:ascii="Verdana" w:hAnsi="Verdana" w:cs="Arial"/>
          <w:sz w:val="18"/>
          <w:szCs w:val="18"/>
          <w:lang w:val="nl-NL"/>
        </w:rPr>
        <w:t>e</w:t>
      </w:r>
      <w:r w:rsidRPr="0021450B" w:rsidR="0001251B">
        <w:rPr>
          <w:rFonts w:ascii="Verdana" w:hAnsi="Verdana" w:cs="Arial"/>
          <w:sz w:val="18"/>
          <w:szCs w:val="18"/>
          <w:lang w:val="nl-NL"/>
        </w:rPr>
        <w:t xml:space="preserve"> lid moet het ver</w:t>
      </w:r>
      <w:r w:rsidRPr="00BA2B89" w:rsidR="0001251B">
        <w:rPr>
          <w:rFonts w:ascii="Verdana" w:hAnsi="Verdana" w:cs="Arial"/>
          <w:sz w:val="18"/>
          <w:szCs w:val="18"/>
          <w:lang w:val="nl-NL"/>
        </w:rPr>
        <w:t>zoek worden ingediend binnen drie jaar nadat de maatregel d</w:t>
      </w:r>
      <w:r w:rsidRPr="00B6639D" w:rsidR="0001251B">
        <w:rPr>
          <w:rFonts w:ascii="Verdana" w:hAnsi="Verdana" w:cs="Arial"/>
          <w:sz w:val="18"/>
          <w:szCs w:val="18"/>
          <w:lang w:val="nl-NL"/>
        </w:rPr>
        <w:t>ie mogelijk belastingheffing in strijd met het belastingverdrag tot gevolg heeft voor het eerst bekendgemaakt is aan de belastingplichtige</w:t>
      </w:r>
      <w:r w:rsidRPr="006C1373" w:rsidR="004657D6">
        <w:rPr>
          <w:rFonts w:ascii="Verdana" w:hAnsi="Verdana" w:cs="Arial"/>
          <w:sz w:val="18"/>
          <w:szCs w:val="18"/>
          <w:lang w:val="nl-NL"/>
        </w:rPr>
        <w:t>.</w:t>
      </w:r>
      <w:r w:rsidRPr="00DD3563" w:rsidDel="0001251B" w:rsidR="0001251B">
        <w:rPr>
          <w:rFonts w:ascii="Verdana" w:hAnsi="Verdana" w:cs="Arial"/>
          <w:sz w:val="18"/>
          <w:szCs w:val="18"/>
          <w:lang w:val="nl-NL"/>
        </w:rPr>
        <w:t xml:space="preserve"> </w:t>
      </w:r>
    </w:p>
    <w:p w:rsidRPr="00FA4BC6" w:rsidR="0001251B" w:rsidP="0066320E" w:rsidRDefault="0001251B" w14:paraId="468ACD4E" w14:textId="5A8208E3">
      <w:pPr>
        <w:ind w:firstLine="708"/>
        <w:rPr>
          <w:rFonts w:ascii="Verdana" w:hAnsi="Verdana" w:cs="Arial"/>
          <w:sz w:val="18"/>
          <w:szCs w:val="18"/>
          <w:lang w:val="nl-NL"/>
        </w:rPr>
      </w:pPr>
      <w:r w:rsidRPr="00DD3563">
        <w:rPr>
          <w:rFonts w:ascii="Verdana" w:hAnsi="Verdana" w:cs="Arial"/>
          <w:sz w:val="18"/>
          <w:szCs w:val="18"/>
          <w:lang w:val="nl-NL"/>
        </w:rPr>
        <w:lastRenderedPageBreak/>
        <w:t>Het tweede lid bevat een inspanningsverplichting voor de bevoegde autoriteiten om – indien het verzoek gegrond voo</w:t>
      </w:r>
      <w:r w:rsidRPr="003F7CD6">
        <w:rPr>
          <w:rFonts w:ascii="Verdana" w:hAnsi="Verdana" w:cs="Arial"/>
          <w:sz w:val="18"/>
          <w:szCs w:val="18"/>
          <w:lang w:val="nl-NL"/>
        </w:rPr>
        <w:t xml:space="preserve">rkomt – in onderling overleg eventuele belastingheffing die in strijd is met het belastingverdrag weg te nemen. In de tweede zin is de verplichting opgenomen voor </w:t>
      </w:r>
      <w:r w:rsidR="00340BF3">
        <w:rPr>
          <w:rFonts w:ascii="Verdana" w:hAnsi="Verdana" w:cs="Arial"/>
          <w:sz w:val="18"/>
          <w:szCs w:val="18"/>
          <w:lang w:val="nl-NL"/>
        </w:rPr>
        <w:t>verdragsluitende staten</w:t>
      </w:r>
      <w:r w:rsidRPr="003F7CD6">
        <w:rPr>
          <w:rFonts w:ascii="Verdana" w:hAnsi="Verdana" w:cs="Arial"/>
          <w:sz w:val="18"/>
          <w:szCs w:val="18"/>
          <w:lang w:val="nl-NL"/>
        </w:rPr>
        <w:t xml:space="preserve"> om niettegenstaande de termijnen in </w:t>
      </w:r>
      <w:r w:rsidR="00340BF3">
        <w:rPr>
          <w:rFonts w:ascii="Verdana" w:hAnsi="Verdana" w:cs="Arial"/>
          <w:sz w:val="18"/>
          <w:szCs w:val="18"/>
          <w:lang w:val="nl-NL"/>
        </w:rPr>
        <w:t xml:space="preserve">de </w:t>
      </w:r>
      <w:r w:rsidRPr="003F7CD6">
        <w:rPr>
          <w:rFonts w:ascii="Verdana" w:hAnsi="Verdana" w:cs="Arial"/>
          <w:sz w:val="18"/>
          <w:szCs w:val="18"/>
          <w:lang w:val="nl-NL"/>
        </w:rPr>
        <w:t>nationale wetgeving de</w:t>
      </w:r>
      <w:r w:rsidRPr="00606D22">
        <w:rPr>
          <w:rFonts w:ascii="Verdana" w:hAnsi="Verdana" w:cs="Arial"/>
          <w:sz w:val="18"/>
          <w:szCs w:val="18"/>
          <w:lang w:val="nl-NL"/>
        </w:rPr>
        <w:t xml:space="preserve"> uitkomst van een procedure voor onderling overleg te implementeren.</w:t>
      </w:r>
      <w:r w:rsidRPr="00606D22" w:rsidDel="0001251B">
        <w:rPr>
          <w:rFonts w:ascii="Verdana" w:hAnsi="Verdana" w:cs="Arial"/>
          <w:sz w:val="18"/>
          <w:szCs w:val="18"/>
          <w:lang w:val="nl-NL"/>
        </w:rPr>
        <w:t xml:space="preserve"> </w:t>
      </w:r>
    </w:p>
    <w:p w:rsidRPr="00E01754" w:rsidR="00E5108E" w:rsidP="0066320E" w:rsidRDefault="0001251B" w14:paraId="55F30C64" w14:textId="2A90CF16">
      <w:pPr>
        <w:ind w:firstLine="708"/>
        <w:rPr>
          <w:rFonts w:ascii="Verdana" w:hAnsi="Verdana" w:cs="Arial"/>
          <w:sz w:val="18"/>
          <w:szCs w:val="18"/>
          <w:lang w:val="nl-NL"/>
        </w:rPr>
      </w:pPr>
      <w:r w:rsidRPr="00BD4E1D">
        <w:rPr>
          <w:rFonts w:ascii="Verdana" w:hAnsi="Verdana" w:cs="Arial"/>
          <w:sz w:val="18"/>
          <w:szCs w:val="18"/>
          <w:lang w:val="nl-NL"/>
        </w:rPr>
        <w:t>Het derde lid bepaalt dat de bevoegde autoriteiten in onderling overleg moeilijkheden en twijfelpunten die ontstaan bij de uitleg en toepassing</w:t>
      </w:r>
      <w:r w:rsidRPr="00BD4E1D" w:rsidR="004657D6">
        <w:rPr>
          <w:rFonts w:ascii="Verdana" w:hAnsi="Verdana" w:cs="Arial"/>
          <w:sz w:val="18"/>
          <w:szCs w:val="18"/>
          <w:lang w:val="nl-NL"/>
        </w:rPr>
        <w:t xml:space="preserve"> van een belastingverdrag weg kunnen</w:t>
      </w:r>
      <w:r w:rsidRPr="00BD4E1D">
        <w:rPr>
          <w:rFonts w:ascii="Verdana" w:hAnsi="Verdana" w:cs="Arial"/>
          <w:sz w:val="18"/>
          <w:szCs w:val="18"/>
          <w:lang w:val="nl-NL"/>
        </w:rPr>
        <w:t xml:space="preserve"> nemen.</w:t>
      </w:r>
      <w:r w:rsidRPr="00E01754">
        <w:rPr>
          <w:rFonts w:ascii="Verdana" w:hAnsi="Verdana" w:cs="Arial"/>
          <w:sz w:val="18"/>
          <w:szCs w:val="18"/>
          <w:lang w:val="nl-NL"/>
        </w:rPr>
        <w:t xml:space="preserve"> </w:t>
      </w:r>
      <w:r w:rsidR="00340BF3">
        <w:rPr>
          <w:rFonts w:ascii="Verdana" w:hAnsi="Verdana" w:cs="Arial"/>
          <w:sz w:val="18"/>
          <w:szCs w:val="18"/>
          <w:lang w:val="nl-NL"/>
        </w:rPr>
        <w:t>In een voorkomend geval kan daarbij sprake zijn van een</w:t>
      </w:r>
      <w:r w:rsidRPr="00FE3346" w:rsidR="00FE3346">
        <w:rPr>
          <w:rFonts w:ascii="Verdana" w:hAnsi="Verdana" w:cs="Arial"/>
          <w:sz w:val="18"/>
          <w:szCs w:val="18"/>
          <w:lang w:val="nl-NL"/>
        </w:rPr>
        <w:t xml:space="preserve"> uitvoeringsverdrag dat op grond van artikel 7, onderdeel b, van de Rijkswet goedkeuring en bekendmaking verdragen geen parlementaire goedkeuring behoeft, behoudens het bepaalde in artikel 8 van die Rijkswet. </w:t>
      </w:r>
      <w:r w:rsidRPr="00E01754">
        <w:rPr>
          <w:rFonts w:ascii="Verdana" w:hAnsi="Verdana" w:cs="Arial"/>
          <w:sz w:val="18"/>
          <w:szCs w:val="18"/>
          <w:lang w:val="nl-NL"/>
        </w:rPr>
        <w:t xml:space="preserve">Uit de tweede zin volgt </w:t>
      </w:r>
      <w:r w:rsidR="00FE3346">
        <w:rPr>
          <w:rFonts w:ascii="Verdana" w:hAnsi="Verdana" w:cs="Arial"/>
          <w:sz w:val="18"/>
          <w:szCs w:val="18"/>
          <w:lang w:val="nl-NL"/>
        </w:rPr>
        <w:t xml:space="preserve">verder </w:t>
      </w:r>
      <w:r w:rsidRPr="00E01754">
        <w:rPr>
          <w:rFonts w:ascii="Verdana" w:hAnsi="Verdana" w:cs="Arial"/>
          <w:sz w:val="18"/>
          <w:szCs w:val="18"/>
          <w:lang w:val="nl-NL"/>
        </w:rPr>
        <w:t xml:space="preserve">dat </w:t>
      </w:r>
      <w:r w:rsidR="00340BF3">
        <w:rPr>
          <w:rFonts w:ascii="Verdana" w:hAnsi="Verdana" w:cs="Arial"/>
          <w:sz w:val="18"/>
          <w:szCs w:val="18"/>
          <w:lang w:val="nl-NL"/>
        </w:rPr>
        <w:t>bevoegde autoriteiten</w:t>
      </w:r>
      <w:r w:rsidRPr="00E01754">
        <w:rPr>
          <w:rFonts w:ascii="Verdana" w:hAnsi="Verdana" w:cs="Arial"/>
          <w:sz w:val="18"/>
          <w:szCs w:val="18"/>
          <w:lang w:val="nl-NL"/>
        </w:rPr>
        <w:t xml:space="preserve"> ook in overleg kunnen treden bij situaties van dubbele belastingheffing die niet in het belastingverdrag zijn geregeld. </w:t>
      </w:r>
    </w:p>
    <w:p w:rsidRPr="003103E7" w:rsidR="00FA2831" w:rsidP="0066320E" w:rsidRDefault="00E5108E" w14:paraId="682F371C" w14:textId="77777777">
      <w:pPr>
        <w:ind w:firstLine="708"/>
        <w:rPr>
          <w:rFonts w:ascii="Verdana" w:hAnsi="Verdana" w:cs="Arial"/>
          <w:sz w:val="18"/>
          <w:szCs w:val="18"/>
          <w:lang w:val="nl-NL"/>
        </w:rPr>
      </w:pPr>
      <w:r w:rsidRPr="00E01754">
        <w:rPr>
          <w:rFonts w:ascii="Verdana" w:hAnsi="Verdana" w:cs="Arial"/>
          <w:sz w:val="18"/>
          <w:szCs w:val="18"/>
          <w:lang w:val="nl-NL"/>
        </w:rPr>
        <w:t>Het vierde lid bepaalt dat de bevoegde autoriteiten direct met elkaar k</w:t>
      </w:r>
      <w:r w:rsidRPr="003103E7">
        <w:rPr>
          <w:rFonts w:ascii="Verdana" w:hAnsi="Verdana" w:cs="Arial"/>
          <w:sz w:val="18"/>
          <w:szCs w:val="18"/>
          <w:lang w:val="nl-NL"/>
        </w:rPr>
        <w:t xml:space="preserve">unnen communiceren om de in de voorgaande leden bedoelde overeenstemming te bereiken. Een niet inhoudelijke afwijking van het OESO-modelverdrag betreft het achterwege laten van de verduidelijking dat bevoegde autoriteiten ook via een gezamenlijk comité met elkaar kunnen overleggen. Een dergelijke vorm van overleg is echter in de overeengekomen tekst niet uitgesloten. </w:t>
      </w:r>
    </w:p>
    <w:p w:rsidR="00340BF3" w:rsidP="00340BF3" w:rsidRDefault="00FA2831" w14:paraId="766224C1" w14:textId="77777777">
      <w:pPr>
        <w:ind w:firstLine="720"/>
        <w:rPr>
          <w:rFonts w:ascii="Verdana" w:hAnsi="Verdana" w:cs="Arial"/>
          <w:sz w:val="18"/>
          <w:szCs w:val="18"/>
          <w:lang w:val="nl-NL"/>
        </w:rPr>
      </w:pPr>
      <w:r w:rsidRPr="003657E3">
        <w:rPr>
          <w:rFonts w:ascii="Verdana" w:hAnsi="Verdana" w:cs="Arial"/>
          <w:sz w:val="18"/>
          <w:szCs w:val="18"/>
          <w:lang w:val="nl-NL"/>
        </w:rPr>
        <w:t>Artikel XII van het Protocol bevat een bepaling voor situaties waarin een onderling overlegprocedure heeft geleid tot aanvullende belasting i</w:t>
      </w:r>
      <w:r w:rsidRPr="00CB4452">
        <w:rPr>
          <w:rFonts w:ascii="Verdana" w:hAnsi="Verdana" w:cs="Arial"/>
          <w:sz w:val="18"/>
          <w:szCs w:val="18"/>
          <w:lang w:val="nl-NL"/>
        </w:rPr>
        <w:t xml:space="preserve">n een </w:t>
      </w:r>
      <w:r w:rsidR="0021450B">
        <w:rPr>
          <w:rFonts w:ascii="Verdana" w:hAnsi="Verdana" w:cs="Arial"/>
          <w:sz w:val="18"/>
          <w:szCs w:val="18"/>
          <w:lang w:val="nl-NL"/>
        </w:rPr>
        <w:t>verdragsluitende staat</w:t>
      </w:r>
      <w:r w:rsidRPr="0021450B">
        <w:rPr>
          <w:rFonts w:ascii="Verdana" w:hAnsi="Verdana" w:cs="Arial"/>
          <w:sz w:val="18"/>
          <w:szCs w:val="18"/>
          <w:lang w:val="nl-NL"/>
        </w:rPr>
        <w:t xml:space="preserve"> waarbij de an</w:t>
      </w:r>
      <w:r w:rsidRPr="0021450B" w:rsidR="004657D6">
        <w:rPr>
          <w:rFonts w:ascii="Verdana" w:hAnsi="Verdana" w:cs="Arial"/>
          <w:sz w:val="18"/>
          <w:szCs w:val="18"/>
          <w:lang w:val="nl-NL"/>
        </w:rPr>
        <w:t xml:space="preserve">dere </w:t>
      </w:r>
      <w:r w:rsidR="0021450B">
        <w:rPr>
          <w:rFonts w:ascii="Verdana" w:hAnsi="Verdana" w:cs="Arial"/>
          <w:sz w:val="18"/>
          <w:szCs w:val="18"/>
          <w:lang w:val="nl-NL"/>
        </w:rPr>
        <w:t>verdragsluitende staat</w:t>
      </w:r>
      <w:r w:rsidRPr="0021450B" w:rsidR="004657D6">
        <w:rPr>
          <w:rFonts w:ascii="Verdana" w:hAnsi="Verdana" w:cs="Arial"/>
          <w:sz w:val="18"/>
          <w:szCs w:val="18"/>
          <w:lang w:val="nl-NL"/>
        </w:rPr>
        <w:t xml:space="preserve"> </w:t>
      </w:r>
      <w:r w:rsidRPr="0021450B">
        <w:rPr>
          <w:rFonts w:ascii="Verdana" w:hAnsi="Verdana" w:cs="Arial"/>
          <w:sz w:val="18"/>
          <w:szCs w:val="18"/>
          <w:lang w:val="nl-NL"/>
        </w:rPr>
        <w:t xml:space="preserve">een </w:t>
      </w:r>
      <w:r w:rsidRPr="0021450B" w:rsidR="004657D6">
        <w:rPr>
          <w:rFonts w:ascii="Verdana" w:hAnsi="Verdana" w:cs="Arial"/>
          <w:sz w:val="18"/>
          <w:szCs w:val="18"/>
          <w:lang w:val="nl-NL"/>
        </w:rPr>
        <w:t>daar</w:t>
      </w:r>
      <w:r w:rsidRPr="0021450B">
        <w:rPr>
          <w:rFonts w:ascii="Verdana" w:hAnsi="Verdana" w:cs="Arial"/>
          <w:sz w:val="18"/>
          <w:szCs w:val="18"/>
          <w:lang w:val="nl-NL"/>
        </w:rPr>
        <w:t>mee verband houdende vermindering van de belasting heeft verleend. Op grond van de protocolbepaling kunnen de bevoegde autoriteiten afspraken maken om belastingplichtigen geen verhogingen, kosten of rente in rekening te brengen onderscheidenlijk te vergoeden.</w:t>
      </w:r>
      <w:r w:rsidR="00340BF3">
        <w:rPr>
          <w:rFonts w:ascii="Verdana" w:hAnsi="Verdana" w:cs="Arial"/>
          <w:sz w:val="18"/>
          <w:szCs w:val="18"/>
          <w:lang w:val="nl-NL"/>
        </w:rPr>
        <w:t xml:space="preserve"> </w:t>
      </w:r>
    </w:p>
    <w:p w:rsidR="00BD5424" w:rsidP="00BD5424" w:rsidRDefault="00340BF3" w14:paraId="2E28FC6C" w14:textId="3CFABCC7">
      <w:pPr>
        <w:ind w:firstLine="720"/>
        <w:rPr>
          <w:rFonts w:ascii="Verdana" w:hAnsi="Verdana" w:cs="Arial"/>
          <w:sz w:val="18"/>
          <w:szCs w:val="18"/>
          <w:lang w:val="nl-NL"/>
        </w:rPr>
      </w:pPr>
      <w:r>
        <w:rPr>
          <w:rFonts w:ascii="Verdana" w:hAnsi="Verdana" w:cs="Arial"/>
          <w:sz w:val="18"/>
          <w:szCs w:val="18"/>
          <w:lang w:val="nl-NL"/>
        </w:rPr>
        <w:t xml:space="preserve">Zoals hiervoor al is opgemerkt, bevat artikel 25 van het </w:t>
      </w:r>
      <w:r w:rsidR="00073496">
        <w:rPr>
          <w:rFonts w:ascii="Verdana" w:hAnsi="Verdana" w:cs="Arial"/>
          <w:sz w:val="18"/>
          <w:szCs w:val="18"/>
          <w:lang w:val="nl-NL"/>
        </w:rPr>
        <w:t>V</w:t>
      </w:r>
      <w:r>
        <w:rPr>
          <w:rFonts w:ascii="Verdana" w:hAnsi="Verdana" w:cs="Arial"/>
          <w:sz w:val="18"/>
          <w:szCs w:val="18"/>
          <w:lang w:val="nl-NL"/>
        </w:rPr>
        <w:t>erdrag niet een arbitragebepaling, zoals opgenomen in artikel 25, vijfde lid, van het OESO-modelverdrag. Overeenkomstig het in onderdeel 2.17.1 van de NFV 2011 uiteengezette verdragsbeleid heeft Nederland daar tijdens de onderhandelingen uiteraard wel uitdrukkelijk op ingezet</w:t>
      </w:r>
      <w:r w:rsidR="005A1DEE">
        <w:rPr>
          <w:rFonts w:ascii="Verdana" w:hAnsi="Verdana" w:cs="Arial"/>
          <w:sz w:val="18"/>
          <w:szCs w:val="18"/>
          <w:lang w:val="nl-NL"/>
        </w:rPr>
        <w:t>, m</w:t>
      </w:r>
      <w:r>
        <w:rPr>
          <w:rFonts w:ascii="Verdana" w:hAnsi="Verdana" w:cs="Arial"/>
          <w:sz w:val="18"/>
          <w:szCs w:val="18"/>
          <w:lang w:val="nl-NL"/>
        </w:rPr>
        <w:t xml:space="preserve">aar Bulgarije </w:t>
      </w:r>
      <w:r w:rsidR="005A1DEE">
        <w:rPr>
          <w:rFonts w:ascii="Verdana" w:hAnsi="Verdana" w:cs="Arial"/>
          <w:sz w:val="18"/>
          <w:szCs w:val="18"/>
          <w:lang w:val="nl-NL"/>
        </w:rPr>
        <w:t xml:space="preserve">was </w:t>
      </w:r>
      <w:r>
        <w:rPr>
          <w:rFonts w:ascii="Verdana" w:hAnsi="Verdana" w:cs="Arial"/>
          <w:sz w:val="18"/>
          <w:szCs w:val="18"/>
          <w:lang w:val="nl-NL"/>
        </w:rPr>
        <w:t xml:space="preserve">niet bereid om deze bepaling op te nemen. Wel kon Bulgarije instemmen met </w:t>
      </w:r>
      <w:r w:rsidRPr="0021450B" w:rsidR="00FA2831">
        <w:rPr>
          <w:rFonts w:ascii="Verdana" w:hAnsi="Verdana" w:cs="Arial"/>
          <w:sz w:val="18"/>
          <w:szCs w:val="18"/>
          <w:lang w:val="nl-NL"/>
        </w:rPr>
        <w:t>een ‘meestbegunsti</w:t>
      </w:r>
      <w:r w:rsidRPr="0021450B" w:rsidR="00556990">
        <w:rPr>
          <w:rFonts w:ascii="Verdana" w:hAnsi="Verdana" w:cs="Arial"/>
          <w:sz w:val="18"/>
          <w:szCs w:val="18"/>
          <w:lang w:val="nl-NL"/>
        </w:rPr>
        <w:t>gi</w:t>
      </w:r>
      <w:r w:rsidRPr="00BA2B89" w:rsidR="00FA2831">
        <w:rPr>
          <w:rFonts w:ascii="Verdana" w:hAnsi="Verdana" w:cs="Arial"/>
          <w:sz w:val="18"/>
          <w:szCs w:val="18"/>
          <w:lang w:val="nl-NL"/>
        </w:rPr>
        <w:t>ngsbepaling’ voor opname van verplichte en bindende arbitrage in het Verdr</w:t>
      </w:r>
      <w:r w:rsidRPr="00B6639D" w:rsidR="00FA2831">
        <w:rPr>
          <w:rFonts w:ascii="Verdana" w:hAnsi="Verdana" w:cs="Arial"/>
          <w:sz w:val="18"/>
          <w:szCs w:val="18"/>
          <w:lang w:val="nl-NL"/>
        </w:rPr>
        <w:t xml:space="preserve">ag. </w:t>
      </w:r>
      <w:r w:rsidRPr="00606D22" w:rsidR="004E3903">
        <w:rPr>
          <w:rFonts w:ascii="Verdana" w:hAnsi="Verdana" w:cs="Arial"/>
          <w:sz w:val="18"/>
          <w:szCs w:val="18"/>
          <w:lang w:val="nl-NL"/>
        </w:rPr>
        <w:t>Volgens deze</w:t>
      </w:r>
      <w:r>
        <w:rPr>
          <w:rFonts w:ascii="Verdana" w:hAnsi="Verdana" w:cs="Arial"/>
          <w:sz w:val="18"/>
          <w:szCs w:val="18"/>
          <w:lang w:val="nl-NL"/>
        </w:rPr>
        <w:t xml:space="preserve">, in </w:t>
      </w:r>
      <w:r w:rsidR="00B2631E">
        <w:rPr>
          <w:rFonts w:ascii="Verdana" w:hAnsi="Verdana" w:cs="Arial"/>
          <w:sz w:val="18"/>
          <w:szCs w:val="18"/>
          <w:lang w:val="nl-NL"/>
        </w:rPr>
        <w:t>a</w:t>
      </w:r>
      <w:r>
        <w:rPr>
          <w:rFonts w:ascii="Verdana" w:hAnsi="Verdana" w:cs="Arial"/>
          <w:sz w:val="18"/>
          <w:szCs w:val="18"/>
          <w:lang w:val="nl-NL"/>
        </w:rPr>
        <w:t xml:space="preserve">rtikel XIII van het Protocol opgenomen, </w:t>
      </w:r>
      <w:r w:rsidRPr="00606D22" w:rsidR="004E3903">
        <w:rPr>
          <w:rFonts w:ascii="Verdana" w:hAnsi="Verdana" w:cs="Arial"/>
          <w:sz w:val="18"/>
          <w:szCs w:val="18"/>
          <w:lang w:val="nl-NL"/>
        </w:rPr>
        <w:t xml:space="preserve">bepaling zal </w:t>
      </w:r>
      <w:r w:rsidRPr="00FA4BC6" w:rsidR="004D7790">
        <w:rPr>
          <w:rFonts w:ascii="Verdana" w:hAnsi="Verdana" w:cs="Arial"/>
          <w:sz w:val="18"/>
          <w:szCs w:val="18"/>
          <w:lang w:val="nl-NL"/>
        </w:rPr>
        <w:t xml:space="preserve">als </w:t>
      </w:r>
      <w:r w:rsidRPr="00BD4E1D" w:rsidR="004E3903">
        <w:rPr>
          <w:rFonts w:ascii="Verdana" w:hAnsi="Verdana" w:cs="Arial"/>
          <w:sz w:val="18"/>
          <w:szCs w:val="18"/>
          <w:lang w:val="nl-NL"/>
        </w:rPr>
        <w:t xml:space="preserve">Bulgarije </w:t>
      </w:r>
      <w:r w:rsidRPr="00BD4E1D" w:rsidR="004D7790">
        <w:rPr>
          <w:rFonts w:ascii="Verdana" w:hAnsi="Verdana" w:cs="Arial"/>
          <w:sz w:val="18"/>
          <w:szCs w:val="18"/>
          <w:lang w:val="nl-NL"/>
        </w:rPr>
        <w:t xml:space="preserve">in een </w:t>
      </w:r>
      <w:r w:rsidRPr="00E01754" w:rsidR="004E3903">
        <w:rPr>
          <w:rFonts w:ascii="Verdana" w:hAnsi="Verdana" w:cs="Arial"/>
          <w:sz w:val="18"/>
          <w:szCs w:val="18"/>
          <w:lang w:val="nl-NL"/>
        </w:rPr>
        <w:t xml:space="preserve">met enig ander land </w:t>
      </w:r>
      <w:r w:rsidRPr="00E01754" w:rsidR="004D7790">
        <w:rPr>
          <w:rFonts w:ascii="Verdana" w:hAnsi="Verdana" w:cs="Arial"/>
          <w:sz w:val="18"/>
          <w:szCs w:val="18"/>
          <w:lang w:val="nl-NL"/>
        </w:rPr>
        <w:t xml:space="preserve">gesloten belastingverdrag instemt met het opnemen van een </w:t>
      </w:r>
      <w:r w:rsidRPr="003103E7" w:rsidR="004E3903">
        <w:rPr>
          <w:rFonts w:ascii="Verdana" w:hAnsi="Verdana" w:cs="Arial"/>
          <w:sz w:val="18"/>
          <w:szCs w:val="18"/>
          <w:lang w:val="nl-NL"/>
        </w:rPr>
        <w:t>arbitrage</w:t>
      </w:r>
      <w:r w:rsidRPr="003103E7" w:rsidR="004D7790">
        <w:rPr>
          <w:rFonts w:ascii="Verdana" w:hAnsi="Verdana" w:cs="Arial"/>
          <w:sz w:val="18"/>
          <w:szCs w:val="18"/>
          <w:lang w:val="nl-NL"/>
        </w:rPr>
        <w:t>bepaling</w:t>
      </w:r>
      <w:r w:rsidRPr="003103E7" w:rsidR="004E3903">
        <w:rPr>
          <w:rFonts w:ascii="Verdana" w:hAnsi="Verdana" w:cs="Arial"/>
          <w:sz w:val="18"/>
          <w:szCs w:val="18"/>
          <w:lang w:val="nl-NL"/>
        </w:rPr>
        <w:t xml:space="preserve">, </w:t>
      </w:r>
      <w:r w:rsidRPr="003103E7" w:rsidR="0069738E">
        <w:rPr>
          <w:rFonts w:ascii="Verdana" w:hAnsi="Verdana" w:cs="Arial"/>
          <w:sz w:val="18"/>
          <w:szCs w:val="18"/>
          <w:lang w:val="nl-NL"/>
        </w:rPr>
        <w:t>de in artikel XI</w:t>
      </w:r>
      <w:r>
        <w:rPr>
          <w:rFonts w:ascii="Verdana" w:hAnsi="Verdana" w:cs="Arial"/>
          <w:sz w:val="18"/>
          <w:szCs w:val="18"/>
          <w:lang w:val="nl-NL"/>
        </w:rPr>
        <w:t>I</w:t>
      </w:r>
      <w:r w:rsidRPr="003103E7" w:rsidR="0069738E">
        <w:rPr>
          <w:rFonts w:ascii="Verdana" w:hAnsi="Verdana" w:cs="Arial"/>
          <w:sz w:val="18"/>
          <w:szCs w:val="18"/>
          <w:lang w:val="nl-NL"/>
        </w:rPr>
        <w:t>I opgenomen arbitrage</w:t>
      </w:r>
      <w:r w:rsidR="002C7D81">
        <w:rPr>
          <w:rFonts w:ascii="Verdana" w:hAnsi="Verdana" w:cs="Arial"/>
          <w:sz w:val="18"/>
          <w:szCs w:val="18"/>
          <w:lang w:val="nl-NL"/>
        </w:rPr>
        <w:t>bepaling</w:t>
      </w:r>
      <w:r w:rsidRPr="003103E7" w:rsidR="0069738E">
        <w:rPr>
          <w:rFonts w:ascii="Verdana" w:hAnsi="Verdana" w:cs="Arial"/>
          <w:sz w:val="18"/>
          <w:szCs w:val="18"/>
          <w:lang w:val="nl-NL"/>
        </w:rPr>
        <w:t xml:space="preserve"> onder </w:t>
      </w:r>
      <w:r w:rsidRPr="003103E7" w:rsidR="004E3903">
        <w:rPr>
          <w:rFonts w:ascii="Verdana" w:hAnsi="Verdana" w:cs="Arial"/>
          <w:sz w:val="18"/>
          <w:szCs w:val="18"/>
          <w:lang w:val="nl-NL"/>
        </w:rPr>
        <w:t xml:space="preserve">het Verdrag </w:t>
      </w:r>
      <w:r w:rsidRPr="003103E7" w:rsidR="0069738E">
        <w:rPr>
          <w:rFonts w:ascii="Verdana" w:hAnsi="Verdana" w:cs="Arial"/>
          <w:sz w:val="18"/>
          <w:szCs w:val="18"/>
          <w:lang w:val="nl-NL"/>
        </w:rPr>
        <w:t xml:space="preserve">van toepassing </w:t>
      </w:r>
      <w:r w:rsidRPr="003657E3" w:rsidR="004E3903">
        <w:rPr>
          <w:rFonts w:ascii="Verdana" w:hAnsi="Verdana" w:cs="Arial"/>
          <w:sz w:val="18"/>
          <w:szCs w:val="18"/>
          <w:lang w:val="nl-NL"/>
        </w:rPr>
        <w:t>word</w:t>
      </w:r>
      <w:r>
        <w:rPr>
          <w:rFonts w:ascii="Verdana" w:hAnsi="Verdana" w:cs="Arial"/>
          <w:sz w:val="18"/>
          <w:szCs w:val="18"/>
          <w:lang w:val="nl-NL"/>
        </w:rPr>
        <w:t>en</w:t>
      </w:r>
      <w:r w:rsidRPr="00CB4452" w:rsidR="004D7790">
        <w:rPr>
          <w:rFonts w:ascii="Verdana" w:hAnsi="Verdana" w:cs="Arial"/>
          <w:sz w:val="18"/>
          <w:szCs w:val="18"/>
          <w:lang w:val="nl-NL"/>
        </w:rPr>
        <w:t xml:space="preserve"> van</w:t>
      </w:r>
      <w:r w:rsidRPr="00CB4452" w:rsidR="00FA2831">
        <w:rPr>
          <w:rFonts w:ascii="Verdana" w:hAnsi="Verdana" w:cs="Arial"/>
          <w:sz w:val="18"/>
          <w:szCs w:val="18"/>
          <w:lang w:val="nl-NL"/>
        </w:rPr>
        <w:t>af</w:t>
      </w:r>
      <w:r w:rsidRPr="00CB4452" w:rsidR="004D7790">
        <w:rPr>
          <w:rFonts w:ascii="Verdana" w:hAnsi="Verdana" w:cs="Arial"/>
          <w:sz w:val="18"/>
          <w:szCs w:val="18"/>
          <w:lang w:val="nl-NL"/>
        </w:rPr>
        <w:t xml:space="preserve"> het moment dat het bedoelde </w:t>
      </w:r>
      <w:r>
        <w:rPr>
          <w:rFonts w:ascii="Verdana" w:hAnsi="Verdana" w:cs="Arial"/>
          <w:sz w:val="18"/>
          <w:szCs w:val="18"/>
          <w:lang w:val="nl-NL"/>
        </w:rPr>
        <w:t xml:space="preserve">andere </w:t>
      </w:r>
      <w:r w:rsidRPr="00CB4452" w:rsidR="004D7790">
        <w:rPr>
          <w:rFonts w:ascii="Verdana" w:hAnsi="Verdana" w:cs="Arial"/>
          <w:sz w:val="18"/>
          <w:szCs w:val="18"/>
          <w:lang w:val="nl-NL"/>
        </w:rPr>
        <w:t xml:space="preserve">belastingverdrag </w:t>
      </w:r>
      <w:r w:rsidRPr="006515E9" w:rsidR="00E23F90">
        <w:rPr>
          <w:rFonts w:ascii="Verdana" w:hAnsi="Verdana" w:cs="Arial"/>
          <w:sz w:val="18"/>
          <w:szCs w:val="18"/>
          <w:lang w:val="nl-NL"/>
        </w:rPr>
        <w:t>van toepassing zal worden.</w:t>
      </w:r>
      <w:r w:rsidRPr="006515E9" w:rsidR="000130F1">
        <w:rPr>
          <w:rFonts w:ascii="Verdana" w:hAnsi="Verdana" w:cs="Arial"/>
          <w:sz w:val="18"/>
          <w:szCs w:val="18"/>
          <w:lang w:val="nl-NL"/>
        </w:rPr>
        <w:t xml:space="preserve"> </w:t>
      </w:r>
      <w:r w:rsidRPr="0018301C" w:rsidR="000618F8">
        <w:rPr>
          <w:rFonts w:ascii="Verdana" w:hAnsi="Verdana" w:cs="Arial"/>
          <w:sz w:val="18"/>
          <w:szCs w:val="18"/>
          <w:lang w:val="nl-NL"/>
        </w:rPr>
        <w:t>D</w:t>
      </w:r>
      <w:r w:rsidR="00BD5424">
        <w:rPr>
          <w:rFonts w:ascii="Verdana" w:hAnsi="Verdana" w:cs="Arial"/>
          <w:sz w:val="18"/>
          <w:szCs w:val="18"/>
          <w:lang w:val="nl-NL"/>
        </w:rPr>
        <w:t>i</w:t>
      </w:r>
      <w:r w:rsidRPr="0018301C" w:rsidR="000618F8">
        <w:rPr>
          <w:rFonts w:ascii="Verdana" w:hAnsi="Verdana" w:cs="Arial"/>
          <w:sz w:val="18"/>
          <w:szCs w:val="18"/>
          <w:lang w:val="nl-NL"/>
        </w:rPr>
        <w:t>e arbitragebepaling komt inhoudelijk overeen met artikel 25, vijfde lid, van het OESO-modelverdrag.</w:t>
      </w:r>
      <w:r w:rsidR="00BD5424">
        <w:rPr>
          <w:rFonts w:ascii="Verdana" w:hAnsi="Verdana" w:cs="Arial"/>
          <w:sz w:val="18"/>
          <w:szCs w:val="18"/>
          <w:lang w:val="nl-NL"/>
        </w:rPr>
        <w:t xml:space="preserve"> In aanvulling daarop is tevens bepaald dat de leden van de arbitragecommissie zullen vallen onder de geheimhoudingsclausule van artikel 26 van het Verdrag voor de informatie die zij uit hoofde van een arbitrageprocedure zullen ontvangen. </w:t>
      </w:r>
      <w:r w:rsidRPr="00EC1AE5" w:rsidR="00E61DC5">
        <w:rPr>
          <w:rFonts w:ascii="Verdana" w:hAnsi="Verdana" w:cs="Arial"/>
          <w:sz w:val="18"/>
          <w:szCs w:val="18"/>
          <w:lang w:val="nl-NL"/>
        </w:rPr>
        <w:t xml:space="preserve">Verder is </w:t>
      </w:r>
      <w:r w:rsidR="00BD5424">
        <w:rPr>
          <w:rFonts w:ascii="Verdana" w:hAnsi="Verdana" w:cs="Arial"/>
          <w:sz w:val="18"/>
          <w:szCs w:val="18"/>
          <w:lang w:val="nl-NL"/>
        </w:rPr>
        <w:t>bepaald dat de</w:t>
      </w:r>
      <w:r w:rsidRPr="00EC1AE5" w:rsidR="000130F1">
        <w:rPr>
          <w:rFonts w:ascii="Verdana" w:hAnsi="Verdana" w:cs="Arial"/>
          <w:sz w:val="18"/>
          <w:szCs w:val="18"/>
          <w:lang w:val="nl-NL"/>
        </w:rPr>
        <w:t xml:space="preserve"> arbitrage</w:t>
      </w:r>
      <w:r w:rsidR="00BD5424">
        <w:rPr>
          <w:rFonts w:ascii="Verdana" w:hAnsi="Verdana" w:cs="Arial"/>
          <w:sz w:val="18"/>
          <w:szCs w:val="18"/>
          <w:lang w:val="nl-NL"/>
        </w:rPr>
        <w:t>bepaling</w:t>
      </w:r>
      <w:r w:rsidRPr="00EC1AE5" w:rsidR="000130F1">
        <w:rPr>
          <w:rFonts w:ascii="Verdana" w:hAnsi="Verdana" w:cs="Arial"/>
          <w:sz w:val="18"/>
          <w:szCs w:val="18"/>
          <w:lang w:val="nl-NL"/>
        </w:rPr>
        <w:t xml:space="preserve"> niet zal geld</w:t>
      </w:r>
      <w:r w:rsidRPr="001F1D4E" w:rsidR="000130F1">
        <w:rPr>
          <w:rFonts w:ascii="Verdana" w:hAnsi="Verdana" w:cs="Arial"/>
          <w:sz w:val="18"/>
          <w:szCs w:val="18"/>
          <w:lang w:val="nl-NL"/>
        </w:rPr>
        <w:t>en voor</w:t>
      </w:r>
      <w:r w:rsidR="00BD5424">
        <w:rPr>
          <w:rFonts w:ascii="Verdana" w:hAnsi="Verdana" w:cs="Arial"/>
          <w:sz w:val="18"/>
          <w:szCs w:val="18"/>
          <w:lang w:val="nl-NL"/>
        </w:rPr>
        <w:t xml:space="preserve"> de toepassing van</w:t>
      </w:r>
      <w:r w:rsidRPr="001F1D4E" w:rsidR="000130F1">
        <w:rPr>
          <w:rFonts w:ascii="Verdana" w:hAnsi="Verdana" w:cs="Arial"/>
          <w:sz w:val="18"/>
          <w:szCs w:val="18"/>
          <w:lang w:val="nl-NL"/>
        </w:rPr>
        <w:t xml:space="preserve"> artikel 4, paragraaf 5, van het Verdrag dat gaat over situaties van dubbel</w:t>
      </w:r>
      <w:r w:rsidRPr="00946BD2" w:rsidR="00556990">
        <w:rPr>
          <w:rFonts w:ascii="Verdana" w:hAnsi="Verdana" w:cs="Arial"/>
          <w:sz w:val="18"/>
          <w:szCs w:val="18"/>
          <w:lang w:val="nl-NL"/>
        </w:rPr>
        <w:t xml:space="preserve"> </w:t>
      </w:r>
      <w:r w:rsidRPr="006C178D" w:rsidR="000130F1">
        <w:rPr>
          <w:rFonts w:ascii="Verdana" w:hAnsi="Verdana" w:cs="Arial"/>
          <w:sz w:val="18"/>
          <w:szCs w:val="18"/>
          <w:lang w:val="nl-NL"/>
        </w:rPr>
        <w:t xml:space="preserve">inwonerschap van entiteiten. </w:t>
      </w:r>
      <w:r w:rsidRPr="006C178D" w:rsidR="00E61DC5">
        <w:rPr>
          <w:rFonts w:ascii="Verdana" w:hAnsi="Verdana" w:cs="Arial"/>
          <w:sz w:val="18"/>
          <w:szCs w:val="18"/>
          <w:lang w:val="nl-NL"/>
        </w:rPr>
        <w:t>Tot slot is bepaald dat als de arbitragebepaling van toepassing wordt voor de relevante tweejaarsperiode zal worden aangesloten</w:t>
      </w:r>
      <w:r w:rsidR="002055B4">
        <w:rPr>
          <w:rFonts w:ascii="Verdana" w:hAnsi="Verdana" w:cs="Arial"/>
          <w:sz w:val="18"/>
          <w:szCs w:val="18"/>
          <w:lang w:val="nl-NL"/>
        </w:rPr>
        <w:t xml:space="preserve"> bij</w:t>
      </w:r>
      <w:r w:rsidRPr="006C178D" w:rsidR="00E61DC5">
        <w:rPr>
          <w:rFonts w:ascii="Verdana" w:hAnsi="Verdana" w:cs="Arial"/>
          <w:sz w:val="18"/>
          <w:szCs w:val="18"/>
          <w:lang w:val="nl-NL"/>
        </w:rPr>
        <w:t xml:space="preserve"> </w:t>
      </w:r>
      <w:r w:rsidR="002055B4">
        <w:rPr>
          <w:rFonts w:ascii="Verdana" w:hAnsi="Verdana" w:cs="Arial"/>
          <w:sz w:val="18"/>
          <w:szCs w:val="18"/>
          <w:lang w:val="nl-NL"/>
        </w:rPr>
        <w:t xml:space="preserve">het moment waarop de </w:t>
      </w:r>
      <w:r w:rsidRPr="00964525" w:rsidR="00E61DC5">
        <w:rPr>
          <w:rFonts w:ascii="Verdana" w:hAnsi="Verdana" w:cs="Arial"/>
          <w:sz w:val="18"/>
          <w:szCs w:val="18"/>
          <w:lang w:val="nl-NL"/>
        </w:rPr>
        <w:t xml:space="preserve">arbitragebepaling </w:t>
      </w:r>
      <w:r w:rsidR="002055B4">
        <w:rPr>
          <w:rFonts w:ascii="Verdana" w:hAnsi="Verdana" w:cs="Arial"/>
          <w:sz w:val="18"/>
          <w:szCs w:val="18"/>
          <w:lang w:val="nl-NL"/>
        </w:rPr>
        <w:t>van toepassing wordt</w:t>
      </w:r>
      <w:r w:rsidRPr="00964525" w:rsidR="00E61DC5">
        <w:rPr>
          <w:rFonts w:ascii="Verdana" w:hAnsi="Verdana" w:cs="Arial"/>
          <w:sz w:val="18"/>
          <w:szCs w:val="18"/>
          <w:lang w:val="nl-NL"/>
        </w:rPr>
        <w:t xml:space="preserve">. </w:t>
      </w:r>
    </w:p>
    <w:p w:rsidRPr="00964525" w:rsidR="009368C9" w:rsidP="00BD5424" w:rsidRDefault="00BD5424" w14:paraId="75687BE5" w14:textId="32211227">
      <w:pPr>
        <w:ind w:firstLine="720"/>
        <w:rPr>
          <w:rFonts w:ascii="Verdana" w:hAnsi="Verdana" w:cs="Arial"/>
          <w:sz w:val="18"/>
          <w:szCs w:val="18"/>
          <w:lang w:val="nl-NL"/>
        </w:rPr>
      </w:pPr>
      <w:r>
        <w:rPr>
          <w:rFonts w:ascii="Verdana" w:hAnsi="Verdana" w:cs="Arial"/>
          <w:sz w:val="18"/>
          <w:szCs w:val="18"/>
          <w:lang w:val="nl-NL"/>
        </w:rPr>
        <w:t xml:space="preserve">Voor de goede orde wordt opgemerkt dat vóór de ondertekening van het onderhavige verdrag de Raad van de Europese Unie op 17 oktober 2017 </w:t>
      </w:r>
      <w:r w:rsidRPr="002520FF">
        <w:rPr>
          <w:rFonts w:ascii="Verdana" w:hAnsi="Verdana" w:cs="Arial"/>
          <w:sz w:val="18"/>
          <w:szCs w:val="18"/>
          <w:lang w:val="nl-NL"/>
        </w:rPr>
        <w:t xml:space="preserve">de richtlijn betreffende mechanismen </w:t>
      </w:r>
      <w:r w:rsidRPr="002520FF">
        <w:rPr>
          <w:rFonts w:ascii="Verdana" w:hAnsi="Verdana" w:cs="Arial"/>
          <w:sz w:val="18"/>
          <w:szCs w:val="18"/>
          <w:lang w:val="nl-NL"/>
        </w:rPr>
        <w:lastRenderedPageBreak/>
        <w:t xml:space="preserve">ter beslechting van belastinggeschillen met betrekking tot dubbele belastingheffing in de Europese Unie </w:t>
      </w:r>
      <w:r>
        <w:rPr>
          <w:rFonts w:ascii="Verdana" w:hAnsi="Verdana" w:cs="Arial"/>
          <w:sz w:val="18"/>
          <w:szCs w:val="18"/>
          <w:lang w:val="nl-NL"/>
        </w:rPr>
        <w:t>(arbitragerichtlijn) heeft aangenomen.</w:t>
      </w:r>
      <w:r>
        <w:rPr>
          <w:rStyle w:val="Voetnootmarkering"/>
          <w:rFonts w:ascii="Verdana" w:hAnsi="Verdana" w:cs="Arial"/>
          <w:sz w:val="18"/>
          <w:szCs w:val="18"/>
          <w:lang w:val="nl-NL"/>
        </w:rPr>
        <w:footnoteReference w:id="18"/>
      </w:r>
      <w:r>
        <w:rPr>
          <w:rFonts w:ascii="Verdana" w:hAnsi="Verdana" w:cs="Arial"/>
          <w:sz w:val="18"/>
          <w:szCs w:val="18"/>
          <w:lang w:val="nl-NL"/>
        </w:rPr>
        <w:t xml:space="preserve"> Op basis van deze arbitragerichtlijn, die voor Nederland </w:t>
      </w:r>
      <w:r w:rsidR="00482D9C">
        <w:rPr>
          <w:rFonts w:ascii="Verdana" w:hAnsi="Verdana" w:cs="Arial"/>
          <w:sz w:val="18"/>
          <w:szCs w:val="18"/>
          <w:lang w:val="nl-NL"/>
        </w:rPr>
        <w:t xml:space="preserve">is </w:t>
      </w:r>
      <w:r>
        <w:rPr>
          <w:rFonts w:ascii="Verdana" w:hAnsi="Verdana" w:cs="Arial"/>
          <w:sz w:val="18"/>
          <w:szCs w:val="18"/>
          <w:lang w:val="nl-NL"/>
        </w:rPr>
        <w:t>geïmplementeerd in de Wet fiscale arbitrage, zal in de relatie tussen Nederland en Bulgarije worden voorzien in een arbitragemogelijkheid als sluitstuk van een overlegprocedure.</w:t>
      </w:r>
      <w:r w:rsidRPr="00BD5424">
        <w:rPr>
          <w:rStyle w:val="Voetnootmarkering"/>
          <w:rFonts w:ascii="Verdana" w:hAnsi="Verdana" w:cs="Arial"/>
          <w:sz w:val="18"/>
          <w:szCs w:val="18"/>
          <w:lang w:val="nl-NL"/>
        </w:rPr>
        <w:t xml:space="preserve"> </w:t>
      </w:r>
    </w:p>
    <w:p w:rsidRPr="007024F8" w:rsidR="00926396" w:rsidP="00E067E7" w:rsidRDefault="00CC0FEE" w14:paraId="4465F707" w14:textId="77777777">
      <w:pPr>
        <w:ind w:firstLine="720"/>
        <w:rPr>
          <w:rFonts w:ascii="Verdana" w:hAnsi="Verdana" w:cs="Arial"/>
          <w:sz w:val="18"/>
          <w:szCs w:val="18"/>
          <w:lang w:val="nl-NL"/>
        </w:rPr>
      </w:pPr>
      <w:r w:rsidRPr="007024F8">
        <w:rPr>
          <w:rFonts w:ascii="Verdana" w:hAnsi="Verdana" w:cs="Arial"/>
          <w:sz w:val="18"/>
          <w:szCs w:val="18"/>
          <w:lang w:val="nl-NL"/>
        </w:rPr>
        <w:t xml:space="preserve"> </w:t>
      </w:r>
    </w:p>
    <w:p w:rsidRPr="00780A5E" w:rsidR="00CC0FEE" w:rsidP="00E067E7" w:rsidRDefault="00CC0FEE" w14:paraId="16C2A4AF" w14:textId="77777777">
      <w:pPr>
        <w:pStyle w:val="Kop2"/>
        <w:numPr>
          <w:ilvl w:val="0"/>
          <w:numId w:val="0"/>
        </w:numPr>
        <w:spacing w:before="0" w:after="0"/>
        <w:rPr>
          <w:rFonts w:ascii="Verdana" w:hAnsi="Verdana"/>
          <w:sz w:val="18"/>
          <w:szCs w:val="18"/>
          <w:lang w:val="nl-NL"/>
        </w:rPr>
      </w:pPr>
      <w:r w:rsidRPr="00556990">
        <w:rPr>
          <w:rFonts w:ascii="Verdana" w:hAnsi="Verdana"/>
          <w:b w:val="0"/>
          <w:i/>
          <w:sz w:val="18"/>
          <w:szCs w:val="18"/>
          <w:lang w:val="nl-NL"/>
        </w:rPr>
        <w:t>II.</w:t>
      </w:r>
      <w:r w:rsidRPr="00556990">
        <w:rPr>
          <w:rFonts w:ascii="Verdana" w:hAnsi="Verdana" w:cs="Arial"/>
          <w:b w:val="0"/>
          <w:i/>
          <w:sz w:val="18"/>
          <w:szCs w:val="18"/>
          <w:lang w:val="nl-NL"/>
        </w:rPr>
        <w:t>2</w:t>
      </w:r>
      <w:r w:rsidRPr="00556990" w:rsidR="00BB106C">
        <w:rPr>
          <w:rFonts w:ascii="Verdana" w:hAnsi="Verdana" w:cs="Arial"/>
          <w:b w:val="0"/>
          <w:i/>
          <w:sz w:val="18"/>
          <w:szCs w:val="18"/>
          <w:lang w:val="nl-NL"/>
        </w:rPr>
        <w:t>6</w:t>
      </w:r>
      <w:r w:rsidRPr="00556990">
        <w:rPr>
          <w:rFonts w:ascii="Verdana" w:hAnsi="Verdana" w:cs="Arial"/>
          <w:b w:val="0"/>
          <w:i/>
          <w:sz w:val="18"/>
          <w:szCs w:val="18"/>
          <w:lang w:val="nl-NL"/>
        </w:rPr>
        <w:t>. Uitwisseling van informatie (artikel 2</w:t>
      </w:r>
      <w:r w:rsidRPr="00556990" w:rsidR="00BB106C">
        <w:rPr>
          <w:rFonts w:ascii="Verdana" w:hAnsi="Verdana" w:cs="Arial"/>
          <w:b w:val="0"/>
          <w:i/>
          <w:sz w:val="18"/>
          <w:szCs w:val="18"/>
          <w:lang w:val="nl-NL"/>
        </w:rPr>
        <w:t>6</w:t>
      </w:r>
      <w:r w:rsidR="00780A5E">
        <w:rPr>
          <w:rFonts w:ascii="Verdana" w:hAnsi="Verdana" w:cs="Arial"/>
          <w:b w:val="0"/>
          <w:i/>
          <w:sz w:val="18"/>
          <w:szCs w:val="18"/>
          <w:lang w:val="nl-NL"/>
        </w:rPr>
        <w:t xml:space="preserve"> van het Verdrag</w:t>
      </w:r>
      <w:r w:rsidRPr="00780A5E" w:rsidR="005B75C4">
        <w:rPr>
          <w:rFonts w:ascii="Verdana" w:hAnsi="Verdana" w:cs="Arial"/>
          <w:b w:val="0"/>
          <w:i/>
          <w:sz w:val="18"/>
          <w:szCs w:val="18"/>
          <w:lang w:val="nl-NL"/>
        </w:rPr>
        <w:t xml:space="preserve"> en artikel</w:t>
      </w:r>
      <w:r w:rsidRPr="00780A5E" w:rsidR="00897566">
        <w:rPr>
          <w:rFonts w:ascii="Verdana" w:hAnsi="Verdana" w:cs="Arial"/>
          <w:b w:val="0"/>
          <w:i/>
          <w:sz w:val="18"/>
          <w:szCs w:val="18"/>
          <w:lang w:val="nl-NL"/>
        </w:rPr>
        <w:t>en XIII en</w:t>
      </w:r>
      <w:r w:rsidRPr="00780A5E" w:rsidR="005B75C4">
        <w:rPr>
          <w:rFonts w:ascii="Verdana" w:hAnsi="Verdana" w:cs="Arial"/>
          <w:b w:val="0"/>
          <w:i/>
          <w:sz w:val="18"/>
          <w:szCs w:val="18"/>
          <w:lang w:val="nl-NL"/>
        </w:rPr>
        <w:t xml:space="preserve"> XIV</w:t>
      </w:r>
      <w:r w:rsidRPr="00780A5E" w:rsidR="00780A5E">
        <w:rPr>
          <w:rFonts w:ascii="Verdana" w:hAnsi="Verdana" w:cs="Arial"/>
          <w:b w:val="0"/>
          <w:i/>
          <w:sz w:val="18"/>
          <w:szCs w:val="18"/>
          <w:lang w:val="nl-NL"/>
        </w:rPr>
        <w:t xml:space="preserve"> </w:t>
      </w:r>
      <w:r w:rsidR="00780A5E">
        <w:rPr>
          <w:rFonts w:ascii="Verdana" w:hAnsi="Verdana" w:cs="Arial"/>
          <w:b w:val="0"/>
          <w:i/>
          <w:sz w:val="18"/>
          <w:szCs w:val="18"/>
          <w:lang w:val="nl-NL"/>
        </w:rPr>
        <w:t xml:space="preserve">van het </w:t>
      </w:r>
      <w:r w:rsidRPr="00780A5E" w:rsidR="00780A5E">
        <w:rPr>
          <w:rFonts w:ascii="Verdana" w:hAnsi="Verdana" w:cs="Arial"/>
          <w:b w:val="0"/>
          <w:i/>
          <w:sz w:val="18"/>
          <w:szCs w:val="18"/>
          <w:lang w:val="nl-NL"/>
        </w:rPr>
        <w:t>Protocol</w:t>
      </w:r>
      <w:r w:rsidRPr="00780A5E">
        <w:rPr>
          <w:rFonts w:ascii="Verdana" w:hAnsi="Verdana"/>
          <w:b w:val="0"/>
          <w:i/>
          <w:sz w:val="18"/>
          <w:szCs w:val="18"/>
          <w:lang w:val="nl-NL"/>
        </w:rPr>
        <w:t>)</w:t>
      </w:r>
    </w:p>
    <w:p w:rsidRPr="00780A5E" w:rsidR="00CC0FEE" w:rsidP="00E067E7" w:rsidRDefault="00CC0FEE" w14:paraId="44347895" w14:textId="77777777">
      <w:pPr>
        <w:ind w:firstLine="0"/>
        <w:rPr>
          <w:rFonts w:ascii="Verdana" w:hAnsi="Verdana"/>
          <w:sz w:val="18"/>
          <w:szCs w:val="18"/>
          <w:lang w:val="nl-NL"/>
        </w:rPr>
      </w:pPr>
    </w:p>
    <w:p w:rsidRPr="00F578EC" w:rsidR="00CC0FEE" w:rsidP="00E067E7" w:rsidRDefault="00CC0FEE" w14:paraId="2C02D003" w14:textId="77777777">
      <w:pPr>
        <w:ind w:firstLine="720"/>
        <w:rPr>
          <w:rFonts w:ascii="Verdana" w:hAnsi="Verdana" w:cs="Arial"/>
          <w:sz w:val="18"/>
          <w:szCs w:val="18"/>
          <w:lang w:val="nl-NL"/>
        </w:rPr>
      </w:pPr>
      <w:r w:rsidRPr="00780A5E">
        <w:rPr>
          <w:rFonts w:ascii="Verdana" w:hAnsi="Verdana" w:cs="Arial"/>
          <w:sz w:val="18"/>
          <w:szCs w:val="18"/>
          <w:lang w:val="nl-NL"/>
        </w:rPr>
        <w:t>Artikel 2</w:t>
      </w:r>
      <w:r w:rsidRPr="00780A5E" w:rsidR="00BB106C">
        <w:rPr>
          <w:rFonts w:ascii="Verdana" w:hAnsi="Verdana" w:cs="Arial"/>
          <w:sz w:val="18"/>
          <w:szCs w:val="18"/>
          <w:lang w:val="nl-NL"/>
        </w:rPr>
        <w:t>6</w:t>
      </w:r>
      <w:r w:rsidRPr="00780A5E">
        <w:rPr>
          <w:rFonts w:ascii="Verdana" w:hAnsi="Verdana" w:cs="Arial"/>
          <w:sz w:val="18"/>
          <w:szCs w:val="18"/>
          <w:lang w:val="nl-NL"/>
        </w:rPr>
        <w:t xml:space="preserve"> biedt de </w:t>
      </w:r>
      <w:r w:rsidR="0021450B">
        <w:rPr>
          <w:rFonts w:ascii="Verdana" w:hAnsi="Verdana" w:cs="Arial"/>
          <w:sz w:val="18"/>
          <w:szCs w:val="18"/>
          <w:lang w:val="nl-NL"/>
        </w:rPr>
        <w:t>verdragsluitende staten</w:t>
      </w:r>
      <w:r w:rsidRPr="000819E4" w:rsidR="008C113B">
        <w:rPr>
          <w:rFonts w:ascii="Verdana" w:hAnsi="Verdana" w:cs="Arial"/>
          <w:sz w:val="18"/>
          <w:szCs w:val="18"/>
          <w:lang w:val="nl-NL"/>
        </w:rPr>
        <w:t xml:space="preserve"> </w:t>
      </w:r>
      <w:r w:rsidRPr="0021450B">
        <w:rPr>
          <w:rFonts w:ascii="Verdana" w:hAnsi="Verdana" w:cs="Arial"/>
          <w:sz w:val="18"/>
          <w:szCs w:val="18"/>
          <w:lang w:val="nl-NL"/>
        </w:rPr>
        <w:t>de mogelijkheid om op verzoek, automatisch of spontaan informatie uit te wisselen. Het artikel komt overeen met artikel 26 van het OESO-modelverdrag en is in lijn met het Nederlandse verdragsbeleid</w:t>
      </w:r>
      <w:r w:rsidRPr="0021450B" w:rsidR="00806A8F">
        <w:rPr>
          <w:rFonts w:ascii="Verdana" w:hAnsi="Verdana" w:cs="Arial"/>
          <w:sz w:val="18"/>
          <w:szCs w:val="18"/>
          <w:lang w:val="nl-NL"/>
        </w:rPr>
        <w:t xml:space="preserve"> </w:t>
      </w:r>
      <w:r w:rsidRPr="005C1870" w:rsidR="00806A8F">
        <w:rPr>
          <w:rFonts w:ascii="Verdana" w:hAnsi="Verdana" w:cs="Arial"/>
          <w:color w:val="333333"/>
          <w:sz w:val="18"/>
          <w:szCs w:val="18"/>
          <w:lang w:val="nl-NL"/>
        </w:rPr>
        <w:t xml:space="preserve">en de internationale standaard zoals wordt gestimuleerd en gewaarborgd in het kader van het </w:t>
      </w:r>
      <w:r w:rsidR="00780A5E">
        <w:rPr>
          <w:rFonts w:ascii="Verdana" w:hAnsi="Verdana" w:cs="Arial"/>
          <w:color w:val="333333"/>
          <w:sz w:val="18"/>
          <w:szCs w:val="18"/>
          <w:lang w:val="nl-NL"/>
        </w:rPr>
        <w:t>‘</w:t>
      </w:r>
      <w:r w:rsidRPr="0066320E" w:rsidR="00806A8F">
        <w:rPr>
          <w:rFonts w:ascii="Verdana" w:hAnsi="Verdana" w:cs="Arial"/>
          <w:i/>
          <w:color w:val="333333"/>
          <w:sz w:val="18"/>
          <w:szCs w:val="18"/>
          <w:lang w:val="nl-NL"/>
        </w:rPr>
        <w:t>Global Forum for Transparency and Exchange of Information for Tax Purposes</w:t>
      </w:r>
      <w:r w:rsidR="00780A5E">
        <w:rPr>
          <w:rFonts w:ascii="Verdana" w:hAnsi="Verdana" w:cs="Arial"/>
          <w:color w:val="333333"/>
          <w:sz w:val="18"/>
          <w:szCs w:val="18"/>
          <w:lang w:val="nl-NL"/>
        </w:rPr>
        <w:t>’</w:t>
      </w:r>
      <w:r w:rsidRPr="005C1870" w:rsidR="007850E5">
        <w:rPr>
          <w:rFonts w:ascii="Verdana" w:hAnsi="Verdana" w:cs="Arial"/>
          <w:color w:val="333333"/>
          <w:sz w:val="18"/>
          <w:szCs w:val="18"/>
          <w:lang w:val="nl-NL"/>
        </w:rPr>
        <w:t>.</w:t>
      </w:r>
      <w:r w:rsidRPr="005C1870" w:rsidR="007850E5">
        <w:rPr>
          <w:rStyle w:val="Voetnootmarkering"/>
          <w:rFonts w:ascii="Verdana" w:hAnsi="Verdana" w:cs="Arial"/>
          <w:color w:val="333333"/>
          <w:sz w:val="18"/>
          <w:szCs w:val="18"/>
          <w:lang w:val="nl-NL"/>
        </w:rPr>
        <w:footnoteReference w:id="19"/>
      </w:r>
      <w:r w:rsidRPr="00556990" w:rsidR="005F663A">
        <w:rPr>
          <w:rFonts w:ascii="Verdana" w:hAnsi="Verdana" w:cs="Arial"/>
          <w:sz w:val="18"/>
          <w:szCs w:val="18"/>
          <w:lang w:val="nl-NL"/>
        </w:rPr>
        <w:t xml:space="preserve"> </w:t>
      </w:r>
      <w:r w:rsidRPr="001C6327" w:rsidR="005F663A">
        <w:rPr>
          <w:rFonts w:ascii="Verdana" w:hAnsi="Verdana" w:cs="Arial"/>
          <w:sz w:val="18"/>
          <w:szCs w:val="18"/>
          <w:lang w:val="nl-NL"/>
        </w:rPr>
        <w:t>Het artikel is ingevolge artikel XIV van het Protocol ook van toepassing op</w:t>
      </w:r>
      <w:r w:rsidR="00BD5424">
        <w:rPr>
          <w:rFonts w:ascii="Verdana" w:hAnsi="Verdana" w:cs="Arial"/>
          <w:sz w:val="18"/>
          <w:szCs w:val="18"/>
          <w:lang w:val="nl-NL"/>
        </w:rPr>
        <w:t xml:space="preserve"> de Nederlandse</w:t>
      </w:r>
      <w:r w:rsidRPr="001C6327" w:rsidR="005F663A">
        <w:rPr>
          <w:rFonts w:ascii="Verdana" w:hAnsi="Verdana" w:cs="Arial"/>
          <w:sz w:val="18"/>
          <w:szCs w:val="18"/>
          <w:lang w:val="nl-NL"/>
        </w:rPr>
        <w:t xml:space="preserve"> inkomensafhankelijke </w:t>
      </w:r>
      <w:r w:rsidRPr="00F578EC" w:rsidR="00CD2E1F">
        <w:rPr>
          <w:rFonts w:ascii="Verdana" w:hAnsi="Verdana" w:cs="Arial"/>
          <w:sz w:val="18"/>
          <w:szCs w:val="18"/>
          <w:lang w:val="nl-NL"/>
        </w:rPr>
        <w:t>regelingen</w:t>
      </w:r>
      <w:r w:rsidR="00C6539D">
        <w:rPr>
          <w:rFonts w:ascii="Verdana" w:hAnsi="Verdana" w:cs="Arial"/>
          <w:sz w:val="18"/>
          <w:szCs w:val="18"/>
          <w:lang w:val="nl-NL"/>
        </w:rPr>
        <w:t>:</w:t>
      </w:r>
      <w:r w:rsidR="00BD5424">
        <w:rPr>
          <w:rFonts w:ascii="Verdana" w:hAnsi="Verdana" w:cs="Arial"/>
          <w:sz w:val="18"/>
          <w:szCs w:val="18"/>
          <w:lang w:val="nl-NL"/>
        </w:rPr>
        <w:t xml:space="preserve"> </w:t>
      </w:r>
      <w:r w:rsidRPr="00F578EC" w:rsidR="005F663A">
        <w:rPr>
          <w:rFonts w:ascii="Verdana" w:hAnsi="Verdana" w:cs="Arial"/>
          <w:sz w:val="18"/>
          <w:szCs w:val="18"/>
          <w:lang w:val="nl-NL"/>
        </w:rPr>
        <w:t xml:space="preserve">de toeslagen. </w:t>
      </w:r>
    </w:p>
    <w:p w:rsidRPr="0021450B" w:rsidR="00CC0FEE" w:rsidP="00BD5424" w:rsidRDefault="00410F17" w14:paraId="02F2BB71" w14:textId="77777777">
      <w:pPr>
        <w:ind w:firstLine="720"/>
        <w:rPr>
          <w:rFonts w:ascii="Verdana" w:hAnsi="Verdana" w:cs="Arial"/>
          <w:sz w:val="18"/>
          <w:szCs w:val="18"/>
          <w:lang w:val="nl-NL"/>
        </w:rPr>
      </w:pPr>
      <w:r w:rsidRPr="00BC6175">
        <w:rPr>
          <w:rFonts w:ascii="Verdana" w:hAnsi="Verdana" w:cs="Arial"/>
          <w:sz w:val="18"/>
          <w:szCs w:val="18"/>
          <w:lang w:val="nl-NL"/>
        </w:rPr>
        <w:t>H</w:t>
      </w:r>
      <w:r w:rsidRPr="00BC6175" w:rsidR="00CC0FEE">
        <w:rPr>
          <w:rFonts w:ascii="Verdana" w:hAnsi="Verdana" w:cs="Arial"/>
          <w:sz w:val="18"/>
          <w:szCs w:val="18"/>
          <w:lang w:val="nl-NL"/>
        </w:rPr>
        <w:t xml:space="preserve">et eerste lid </w:t>
      </w:r>
      <w:r w:rsidRPr="00BC6175" w:rsidR="005F663A">
        <w:rPr>
          <w:rFonts w:ascii="Verdana" w:hAnsi="Verdana" w:cs="Arial"/>
          <w:sz w:val="18"/>
          <w:szCs w:val="18"/>
          <w:lang w:val="nl-NL"/>
        </w:rPr>
        <w:t>van</w:t>
      </w:r>
      <w:r w:rsidRPr="00CF22A8" w:rsidR="005F663A">
        <w:rPr>
          <w:rFonts w:ascii="Verdana" w:hAnsi="Verdana" w:cs="Arial"/>
          <w:sz w:val="18"/>
          <w:szCs w:val="18"/>
          <w:lang w:val="nl-NL"/>
        </w:rPr>
        <w:t xml:space="preserve"> artikel 26 </w:t>
      </w:r>
      <w:r w:rsidRPr="00CF22A8">
        <w:rPr>
          <w:rFonts w:ascii="Verdana" w:hAnsi="Verdana" w:cs="Arial"/>
          <w:sz w:val="18"/>
          <w:szCs w:val="18"/>
          <w:lang w:val="nl-NL"/>
        </w:rPr>
        <w:t xml:space="preserve">bepaalt </w:t>
      </w:r>
      <w:r w:rsidRPr="005C1870" w:rsidR="00CD2E1F">
        <w:rPr>
          <w:rFonts w:ascii="Verdana" w:hAnsi="Verdana" w:cs="Arial"/>
          <w:sz w:val="18"/>
          <w:szCs w:val="18"/>
          <w:lang w:val="nl-NL"/>
        </w:rPr>
        <w:t xml:space="preserve">welke informatie de </w:t>
      </w:r>
      <w:r w:rsidR="0021450B">
        <w:rPr>
          <w:rFonts w:ascii="Verdana" w:hAnsi="Verdana" w:cs="Arial"/>
          <w:sz w:val="18"/>
          <w:szCs w:val="18"/>
          <w:lang w:val="nl-NL"/>
        </w:rPr>
        <w:t>verdragsluitende staten</w:t>
      </w:r>
      <w:r w:rsidRPr="005C1870" w:rsidR="008C113B">
        <w:rPr>
          <w:rFonts w:ascii="Verdana" w:hAnsi="Verdana" w:cs="Arial"/>
          <w:sz w:val="18"/>
          <w:szCs w:val="18"/>
          <w:lang w:val="nl-NL"/>
        </w:rPr>
        <w:t xml:space="preserve"> </w:t>
      </w:r>
      <w:r w:rsidRPr="005C1870" w:rsidR="00CD2E1F">
        <w:rPr>
          <w:rFonts w:ascii="Verdana" w:hAnsi="Verdana" w:cs="Arial"/>
          <w:sz w:val="18"/>
          <w:szCs w:val="18"/>
          <w:lang w:val="nl-NL"/>
        </w:rPr>
        <w:t>dienen uit te wisselen.</w:t>
      </w:r>
      <w:r w:rsidRPr="00916448" w:rsidR="00951CE2">
        <w:rPr>
          <w:rFonts w:ascii="Verdana" w:hAnsi="Verdana" w:cs="Arial"/>
          <w:sz w:val="18"/>
          <w:szCs w:val="18"/>
          <w:lang w:val="nl-NL"/>
        </w:rPr>
        <w:t xml:space="preserve"> </w:t>
      </w:r>
      <w:r w:rsidRPr="00916448" w:rsidR="00CD2E1F">
        <w:rPr>
          <w:rFonts w:ascii="Verdana" w:hAnsi="Verdana" w:cs="Arial"/>
          <w:sz w:val="18"/>
          <w:szCs w:val="18"/>
          <w:lang w:val="nl-NL"/>
        </w:rPr>
        <w:t xml:space="preserve">Met de verwijzing naar informatie die ‘voorzienbaar relevant’ is voor de toepassing van de bepalingen uit het Verdrag of de administratie of de handhaving van nationale wetgeving op het gebied van belasting van elke soort of omschrijving, is beoogd de </w:t>
      </w:r>
      <w:r w:rsidRPr="00916448" w:rsidR="005D7624">
        <w:rPr>
          <w:rFonts w:ascii="Verdana" w:hAnsi="Verdana" w:cs="Arial"/>
          <w:sz w:val="18"/>
          <w:szCs w:val="18"/>
          <w:lang w:val="nl-NL"/>
        </w:rPr>
        <w:t>uitwisseling van informatie een zo ruim mogelijk bereik</w:t>
      </w:r>
      <w:r w:rsidRPr="00916448" w:rsidR="00154477">
        <w:rPr>
          <w:rFonts w:ascii="Verdana" w:hAnsi="Verdana" w:cs="Arial"/>
          <w:sz w:val="18"/>
          <w:szCs w:val="18"/>
          <w:lang w:val="nl-NL"/>
        </w:rPr>
        <w:t xml:space="preserve"> te geven. Dit is ook zo </w:t>
      </w:r>
      <w:r w:rsidRPr="00916448" w:rsidR="005D7624">
        <w:rPr>
          <w:rFonts w:ascii="Verdana" w:hAnsi="Verdana" w:cs="Arial"/>
          <w:sz w:val="18"/>
          <w:szCs w:val="18"/>
          <w:lang w:val="nl-NL"/>
        </w:rPr>
        <w:t>verwoord in paragraaf 5 van het OESO-commentaar op artikel 26 van het OESO-modelverdrag. Doo</w:t>
      </w:r>
      <w:r w:rsidRPr="00780A5E" w:rsidR="005D7624">
        <w:rPr>
          <w:rFonts w:ascii="Verdana" w:hAnsi="Verdana" w:cs="Arial"/>
          <w:sz w:val="18"/>
          <w:szCs w:val="18"/>
          <w:lang w:val="nl-NL"/>
        </w:rPr>
        <w:t>rdat artikel 26 van het Verdrag door de uitbreiding in artikel XIV van het Protocol ook betrekking heeft op</w:t>
      </w:r>
      <w:r w:rsidR="00BD5424">
        <w:rPr>
          <w:rFonts w:ascii="Verdana" w:hAnsi="Verdana" w:cs="Arial"/>
          <w:sz w:val="18"/>
          <w:szCs w:val="18"/>
          <w:lang w:val="nl-NL"/>
        </w:rPr>
        <w:t xml:space="preserve"> de</w:t>
      </w:r>
      <w:r w:rsidRPr="00780A5E" w:rsidR="005D7624">
        <w:rPr>
          <w:rFonts w:ascii="Verdana" w:hAnsi="Verdana" w:cs="Arial"/>
          <w:sz w:val="18"/>
          <w:szCs w:val="18"/>
          <w:lang w:val="nl-NL"/>
        </w:rPr>
        <w:t xml:space="preserve"> inkomensafhankelijke regelingen, heeft de informatie-uitwisselingsbepaling in </w:t>
      </w:r>
      <w:r w:rsidRPr="00780A5E" w:rsidR="001A5002">
        <w:rPr>
          <w:rFonts w:ascii="Verdana" w:hAnsi="Verdana" w:cs="Arial"/>
          <w:sz w:val="18"/>
          <w:szCs w:val="18"/>
          <w:lang w:val="nl-NL"/>
        </w:rPr>
        <w:t>de verdragsrelatie tussen Bulgarije en Nederland</w:t>
      </w:r>
      <w:r w:rsidRPr="00780A5E" w:rsidR="005D7624">
        <w:rPr>
          <w:rFonts w:ascii="Verdana" w:hAnsi="Verdana" w:cs="Arial"/>
          <w:sz w:val="18"/>
          <w:szCs w:val="18"/>
          <w:lang w:val="nl-NL"/>
        </w:rPr>
        <w:t xml:space="preserve"> een nog ruimer bereik dan artikel 26 van het OESO-modelverdrag. </w:t>
      </w:r>
      <w:r w:rsidR="00BD5424">
        <w:rPr>
          <w:rFonts w:ascii="Verdana" w:hAnsi="Verdana" w:cs="Arial"/>
          <w:sz w:val="18"/>
          <w:szCs w:val="18"/>
          <w:lang w:val="nl-NL"/>
        </w:rPr>
        <w:t>Voorts is in lijn met artikel 26 van het OESO-modelverdrag d</w:t>
      </w:r>
      <w:r w:rsidRPr="00780A5E" w:rsidR="001A5002">
        <w:rPr>
          <w:rFonts w:ascii="Verdana" w:hAnsi="Verdana" w:cs="Arial"/>
          <w:sz w:val="18"/>
          <w:szCs w:val="18"/>
          <w:lang w:val="nl-NL"/>
        </w:rPr>
        <w:t xml:space="preserve">e uitwisseling van informatie </w:t>
      </w:r>
      <w:r w:rsidRPr="00780A5E" w:rsidR="00CC0FEE">
        <w:rPr>
          <w:rFonts w:ascii="Verdana" w:hAnsi="Verdana" w:cs="Arial"/>
          <w:sz w:val="18"/>
          <w:szCs w:val="18"/>
          <w:lang w:val="nl-NL"/>
        </w:rPr>
        <w:t>niet beperkt</w:t>
      </w:r>
      <w:r w:rsidRPr="000819E4" w:rsidR="00CC0FEE">
        <w:rPr>
          <w:rFonts w:ascii="Verdana" w:hAnsi="Verdana" w:cs="Arial"/>
          <w:sz w:val="18"/>
          <w:szCs w:val="18"/>
          <w:lang w:val="nl-NL"/>
        </w:rPr>
        <w:t xml:space="preserve"> </w:t>
      </w:r>
      <w:r w:rsidRPr="0021450B" w:rsidR="00CC0FEE">
        <w:rPr>
          <w:rFonts w:ascii="Verdana" w:hAnsi="Verdana" w:cs="Arial"/>
          <w:sz w:val="18"/>
          <w:szCs w:val="18"/>
          <w:lang w:val="nl-NL"/>
        </w:rPr>
        <w:t xml:space="preserve">tot </w:t>
      </w:r>
      <w:r w:rsidRPr="0021450B" w:rsidR="00F311AB">
        <w:rPr>
          <w:rFonts w:ascii="Verdana" w:hAnsi="Verdana" w:cs="Arial"/>
          <w:sz w:val="18"/>
          <w:szCs w:val="18"/>
          <w:lang w:val="nl-NL"/>
        </w:rPr>
        <w:t xml:space="preserve">informatie ten aanzien van </w:t>
      </w:r>
      <w:r w:rsidRPr="0021450B" w:rsidR="00CC0FEE">
        <w:rPr>
          <w:rFonts w:ascii="Verdana" w:hAnsi="Verdana" w:cs="Arial"/>
          <w:sz w:val="18"/>
          <w:szCs w:val="18"/>
          <w:lang w:val="nl-NL"/>
        </w:rPr>
        <w:t xml:space="preserve">inwoners van de </w:t>
      </w:r>
      <w:r w:rsidR="0021450B">
        <w:rPr>
          <w:rFonts w:ascii="Verdana" w:hAnsi="Verdana" w:cs="Arial"/>
          <w:sz w:val="18"/>
          <w:szCs w:val="18"/>
          <w:lang w:val="nl-NL"/>
        </w:rPr>
        <w:t>verdragsluitende staten</w:t>
      </w:r>
      <w:r w:rsidRPr="0021450B" w:rsidR="008C113B">
        <w:rPr>
          <w:rFonts w:ascii="Verdana" w:hAnsi="Verdana" w:cs="Arial"/>
          <w:sz w:val="18"/>
          <w:szCs w:val="18"/>
          <w:lang w:val="nl-NL"/>
        </w:rPr>
        <w:t xml:space="preserve"> </w:t>
      </w:r>
      <w:r w:rsidR="00BD5424">
        <w:rPr>
          <w:rFonts w:ascii="Verdana" w:hAnsi="Verdana" w:cs="Arial"/>
          <w:sz w:val="18"/>
          <w:szCs w:val="18"/>
          <w:lang w:val="nl-NL"/>
        </w:rPr>
        <w:t>of</w:t>
      </w:r>
      <w:r w:rsidRPr="0021450B" w:rsidR="00CC0FEE">
        <w:rPr>
          <w:rFonts w:ascii="Verdana" w:hAnsi="Verdana" w:cs="Arial"/>
          <w:sz w:val="18"/>
          <w:szCs w:val="18"/>
          <w:lang w:val="nl-NL"/>
        </w:rPr>
        <w:t xml:space="preserve"> tot de belastingen waarop het Verdrag van toepassing is.</w:t>
      </w:r>
      <w:r w:rsidRPr="0021450B" w:rsidR="001A5002">
        <w:rPr>
          <w:rFonts w:ascii="Verdana" w:hAnsi="Verdana" w:cs="Arial"/>
          <w:sz w:val="18"/>
          <w:szCs w:val="18"/>
          <w:lang w:val="nl-NL"/>
        </w:rPr>
        <w:t xml:space="preserve"> </w:t>
      </w:r>
      <w:r w:rsidR="00BD5424">
        <w:rPr>
          <w:rFonts w:ascii="Verdana" w:hAnsi="Verdana" w:cs="Arial"/>
          <w:sz w:val="18"/>
          <w:szCs w:val="18"/>
          <w:lang w:val="nl-NL"/>
        </w:rPr>
        <w:t>O</w:t>
      </w:r>
      <w:r w:rsidR="001859F6">
        <w:rPr>
          <w:rFonts w:ascii="Verdana" w:hAnsi="Verdana" w:cs="Arial"/>
          <w:sz w:val="18"/>
          <w:szCs w:val="18"/>
          <w:lang w:val="nl-NL"/>
        </w:rPr>
        <w:t>pgemerkt wordt dat de bepaling</w:t>
      </w:r>
      <w:r w:rsidR="00BD5424">
        <w:rPr>
          <w:rFonts w:ascii="Verdana" w:hAnsi="Verdana" w:cs="Arial"/>
          <w:sz w:val="18"/>
          <w:szCs w:val="18"/>
          <w:lang w:val="nl-NL"/>
        </w:rPr>
        <w:t xml:space="preserve"> over de</w:t>
      </w:r>
      <w:r w:rsidRPr="0021450B" w:rsidR="001A5002">
        <w:rPr>
          <w:rFonts w:ascii="Verdana" w:hAnsi="Verdana" w:cs="Arial"/>
          <w:sz w:val="18"/>
          <w:szCs w:val="18"/>
          <w:lang w:val="nl-NL"/>
        </w:rPr>
        <w:t xml:space="preserve"> uitwisseling van informatie ook betrekking</w:t>
      </w:r>
      <w:r w:rsidR="00BD5424">
        <w:rPr>
          <w:rFonts w:ascii="Verdana" w:hAnsi="Verdana" w:cs="Arial"/>
          <w:sz w:val="18"/>
          <w:szCs w:val="18"/>
          <w:lang w:val="nl-NL"/>
        </w:rPr>
        <w:t xml:space="preserve"> heeft</w:t>
      </w:r>
      <w:r w:rsidRPr="0021450B" w:rsidR="001A5002">
        <w:rPr>
          <w:rFonts w:ascii="Verdana" w:hAnsi="Verdana" w:cs="Arial"/>
          <w:sz w:val="18"/>
          <w:szCs w:val="18"/>
          <w:lang w:val="nl-NL"/>
        </w:rPr>
        <w:t xml:space="preserve"> op </w:t>
      </w:r>
      <w:r w:rsidRPr="0021450B" w:rsidR="00C70490">
        <w:rPr>
          <w:rFonts w:ascii="Verdana" w:hAnsi="Verdana" w:cs="Arial"/>
          <w:sz w:val="18"/>
          <w:szCs w:val="18"/>
          <w:lang w:val="nl-NL"/>
        </w:rPr>
        <w:t xml:space="preserve">informatie </w:t>
      </w:r>
      <w:r w:rsidR="00BD5424">
        <w:rPr>
          <w:rFonts w:ascii="Verdana" w:hAnsi="Verdana" w:cs="Arial"/>
          <w:sz w:val="18"/>
          <w:szCs w:val="18"/>
          <w:lang w:val="nl-NL"/>
        </w:rPr>
        <w:t xml:space="preserve">van vóór </w:t>
      </w:r>
      <w:r w:rsidRPr="0021450B" w:rsidR="00C70490">
        <w:rPr>
          <w:rFonts w:ascii="Verdana" w:hAnsi="Verdana" w:cs="Arial"/>
          <w:sz w:val="18"/>
          <w:szCs w:val="18"/>
          <w:lang w:val="nl-NL"/>
        </w:rPr>
        <w:t>de inwerkingtreding van dit Verdrag, mits de uitwisseling plaatsvindt nadat de</w:t>
      </w:r>
      <w:r w:rsidR="00BD5424">
        <w:rPr>
          <w:rFonts w:ascii="Verdana" w:hAnsi="Verdana" w:cs="Arial"/>
          <w:sz w:val="18"/>
          <w:szCs w:val="18"/>
          <w:lang w:val="nl-NL"/>
        </w:rPr>
        <w:t xml:space="preserve"> bepaling van toepassing wordt. </w:t>
      </w:r>
      <w:r w:rsidRPr="00BA2B89" w:rsidR="00C70490">
        <w:rPr>
          <w:rFonts w:ascii="Verdana" w:hAnsi="Verdana" w:cs="Arial"/>
          <w:sz w:val="18"/>
          <w:szCs w:val="18"/>
          <w:lang w:val="nl-NL"/>
        </w:rPr>
        <w:t xml:space="preserve">Hierbij </w:t>
      </w:r>
      <w:r w:rsidRPr="00B6639D" w:rsidR="00154477">
        <w:rPr>
          <w:rFonts w:ascii="Verdana" w:hAnsi="Verdana" w:cs="Arial"/>
          <w:sz w:val="18"/>
          <w:szCs w:val="18"/>
          <w:lang w:val="nl-NL"/>
        </w:rPr>
        <w:t>wordt</w:t>
      </w:r>
      <w:r w:rsidRPr="006C1373" w:rsidR="00C70490">
        <w:rPr>
          <w:rFonts w:ascii="Verdana" w:hAnsi="Verdana" w:cs="Arial"/>
          <w:sz w:val="18"/>
          <w:szCs w:val="18"/>
          <w:lang w:val="nl-NL"/>
        </w:rPr>
        <w:t xml:space="preserve"> gewezen op paragraaf 10.3 van het OESO-comm</w:t>
      </w:r>
      <w:r w:rsidRPr="00DD3563" w:rsidR="00C70490">
        <w:rPr>
          <w:rFonts w:ascii="Verdana" w:hAnsi="Verdana" w:cs="Arial"/>
          <w:sz w:val="18"/>
          <w:szCs w:val="18"/>
          <w:lang w:val="nl-NL"/>
        </w:rPr>
        <w:t>entaar op artikel 26 van het OESO-modelverdrag.</w:t>
      </w:r>
    </w:p>
    <w:p w:rsidRPr="00606D22" w:rsidR="00CC0FEE" w:rsidP="00CD077B" w:rsidRDefault="00CC0FEE" w14:paraId="350D81F1" w14:textId="77777777">
      <w:pPr>
        <w:rPr>
          <w:rFonts w:ascii="Verdana" w:hAnsi="Verdana" w:cs="Arial"/>
          <w:sz w:val="18"/>
          <w:szCs w:val="18"/>
          <w:lang w:val="nl-NL"/>
        </w:rPr>
      </w:pPr>
      <w:r w:rsidRPr="0021450B">
        <w:rPr>
          <w:rFonts w:ascii="Verdana" w:hAnsi="Verdana" w:cs="Arial"/>
          <w:sz w:val="18"/>
          <w:szCs w:val="18"/>
          <w:lang w:val="nl-NL"/>
        </w:rPr>
        <w:t xml:space="preserve">Het tweede lid regelt hoe de </w:t>
      </w:r>
      <w:r w:rsidR="0021450B">
        <w:rPr>
          <w:rFonts w:ascii="Verdana" w:hAnsi="Verdana" w:cs="Arial"/>
          <w:sz w:val="18"/>
          <w:szCs w:val="18"/>
          <w:lang w:val="nl-NL"/>
        </w:rPr>
        <w:t>verdragsluitende staat</w:t>
      </w:r>
      <w:r w:rsidRPr="0021450B">
        <w:rPr>
          <w:rFonts w:ascii="Verdana" w:hAnsi="Verdana" w:cs="Arial"/>
          <w:sz w:val="18"/>
          <w:szCs w:val="18"/>
          <w:lang w:val="nl-NL"/>
        </w:rPr>
        <w:t xml:space="preserve"> die informatie ontvangt </w:t>
      </w:r>
      <w:r w:rsidRPr="0021450B" w:rsidR="00D409DF">
        <w:rPr>
          <w:rFonts w:ascii="Verdana" w:hAnsi="Verdana" w:cs="Arial"/>
          <w:sz w:val="18"/>
          <w:szCs w:val="18"/>
          <w:lang w:val="nl-NL"/>
        </w:rPr>
        <w:t xml:space="preserve">van de andere </w:t>
      </w:r>
      <w:r w:rsidR="0021450B">
        <w:rPr>
          <w:rFonts w:ascii="Verdana" w:hAnsi="Verdana" w:cs="Arial"/>
          <w:sz w:val="18"/>
          <w:szCs w:val="18"/>
          <w:lang w:val="nl-NL"/>
        </w:rPr>
        <w:t>verdragsluitende staat</w:t>
      </w:r>
      <w:r w:rsidRPr="0021450B">
        <w:rPr>
          <w:rFonts w:ascii="Verdana" w:hAnsi="Verdana" w:cs="Arial"/>
          <w:sz w:val="18"/>
          <w:szCs w:val="18"/>
          <w:lang w:val="nl-NL"/>
        </w:rPr>
        <w:t xml:space="preserve"> met deze informatie dient om te gaan. </w:t>
      </w:r>
      <w:r w:rsidRPr="0021450B" w:rsidR="00ED0757">
        <w:rPr>
          <w:rFonts w:ascii="Verdana" w:hAnsi="Verdana" w:cs="Arial"/>
          <w:sz w:val="18"/>
          <w:szCs w:val="18"/>
          <w:lang w:val="nl-NL"/>
        </w:rPr>
        <w:t xml:space="preserve">Deze bepaling is in de eerste plaats bedoeld om waarborgen te bieden voor de vertrouwelijkheid van de uitgewisselde informatie. </w:t>
      </w:r>
      <w:r w:rsidRPr="0021450B" w:rsidR="00C36702">
        <w:rPr>
          <w:rFonts w:ascii="Verdana" w:hAnsi="Verdana" w:cs="Arial"/>
          <w:sz w:val="18"/>
          <w:szCs w:val="18"/>
          <w:lang w:val="nl-NL"/>
        </w:rPr>
        <w:t xml:space="preserve">Voor de ontvangen informatie geldt dezelfde geheimhoudingsplicht als </w:t>
      </w:r>
      <w:r w:rsidR="00AB2F9F">
        <w:rPr>
          <w:rFonts w:ascii="Verdana" w:hAnsi="Verdana" w:cs="Arial"/>
          <w:sz w:val="18"/>
          <w:szCs w:val="18"/>
          <w:lang w:val="nl-NL"/>
        </w:rPr>
        <w:t xml:space="preserve">voor </w:t>
      </w:r>
      <w:r w:rsidRPr="0021450B" w:rsidR="00C36702">
        <w:rPr>
          <w:rFonts w:ascii="Verdana" w:hAnsi="Verdana" w:cs="Arial"/>
          <w:sz w:val="18"/>
          <w:szCs w:val="18"/>
          <w:lang w:val="nl-NL"/>
        </w:rPr>
        <w:t xml:space="preserve">informatie die onder de nationale wetgeving van die </w:t>
      </w:r>
      <w:r w:rsidR="003103E7">
        <w:rPr>
          <w:rFonts w:ascii="Verdana" w:hAnsi="Verdana" w:cs="Arial"/>
          <w:sz w:val="18"/>
          <w:szCs w:val="18"/>
          <w:lang w:val="nl-NL"/>
        </w:rPr>
        <w:t>staat</w:t>
      </w:r>
      <w:r w:rsidRPr="0021450B" w:rsidR="00C36702">
        <w:rPr>
          <w:rFonts w:ascii="Verdana" w:hAnsi="Verdana" w:cs="Arial"/>
          <w:sz w:val="18"/>
          <w:szCs w:val="18"/>
          <w:lang w:val="nl-NL"/>
        </w:rPr>
        <w:t xml:space="preserve"> wordt verkregen. Ook is bepaald dat de informatie alleen mag worden vrijgegeven aan bepaalde personen of autoriteit</w:t>
      </w:r>
      <w:r w:rsidRPr="0021450B" w:rsidR="00B1433E">
        <w:rPr>
          <w:rFonts w:ascii="Verdana" w:hAnsi="Verdana" w:cs="Arial"/>
          <w:sz w:val="18"/>
          <w:szCs w:val="18"/>
          <w:lang w:val="nl-NL"/>
        </w:rPr>
        <w:t xml:space="preserve">en belast met specifieke taken. </w:t>
      </w:r>
      <w:r w:rsidRPr="00BA2B89" w:rsidR="00740085">
        <w:rPr>
          <w:rFonts w:ascii="Verdana" w:hAnsi="Verdana" w:cs="Arial"/>
          <w:sz w:val="18"/>
          <w:szCs w:val="18"/>
          <w:lang w:val="nl-NL"/>
        </w:rPr>
        <w:t>Het tweede</w:t>
      </w:r>
      <w:r w:rsidR="00BD5424">
        <w:rPr>
          <w:rFonts w:ascii="Verdana" w:hAnsi="Verdana" w:cs="Arial"/>
          <w:sz w:val="18"/>
          <w:szCs w:val="18"/>
          <w:lang w:val="nl-NL"/>
        </w:rPr>
        <w:t xml:space="preserve"> lid</w:t>
      </w:r>
      <w:r w:rsidRPr="00BA2B89" w:rsidR="00740085">
        <w:rPr>
          <w:rFonts w:ascii="Verdana" w:hAnsi="Verdana" w:cs="Arial"/>
          <w:sz w:val="18"/>
          <w:szCs w:val="18"/>
          <w:lang w:val="nl-NL"/>
        </w:rPr>
        <w:t xml:space="preserve"> </w:t>
      </w:r>
      <w:r w:rsidRPr="00B6639D" w:rsidR="00B1433E">
        <w:rPr>
          <w:rFonts w:ascii="Verdana" w:hAnsi="Verdana" w:cs="Arial"/>
          <w:sz w:val="18"/>
          <w:szCs w:val="18"/>
          <w:lang w:val="nl-NL"/>
        </w:rPr>
        <w:t xml:space="preserve">bepaalt </w:t>
      </w:r>
      <w:r w:rsidRPr="006C1373" w:rsidR="00ED0757">
        <w:rPr>
          <w:rFonts w:ascii="Verdana" w:hAnsi="Verdana" w:cs="Arial"/>
          <w:sz w:val="18"/>
          <w:szCs w:val="18"/>
          <w:lang w:val="nl-NL"/>
        </w:rPr>
        <w:t>dat</w:t>
      </w:r>
      <w:r w:rsidRPr="00DD3563" w:rsidR="007554D7">
        <w:rPr>
          <w:rFonts w:ascii="Verdana" w:hAnsi="Verdana" w:cs="Arial"/>
          <w:sz w:val="18"/>
          <w:szCs w:val="18"/>
          <w:lang w:val="nl-NL"/>
        </w:rPr>
        <w:t xml:space="preserve"> de informatie ook voor andere </w:t>
      </w:r>
      <w:r w:rsidRPr="00DD3563" w:rsidR="006336B1">
        <w:rPr>
          <w:rFonts w:ascii="Verdana" w:hAnsi="Verdana" w:cs="Arial"/>
          <w:sz w:val="18"/>
          <w:szCs w:val="18"/>
          <w:lang w:val="nl-NL"/>
        </w:rPr>
        <w:t xml:space="preserve">(niet fiscale) </w:t>
      </w:r>
      <w:r w:rsidRPr="00DD3563" w:rsidR="007554D7">
        <w:rPr>
          <w:rFonts w:ascii="Verdana" w:hAnsi="Verdana" w:cs="Arial"/>
          <w:sz w:val="18"/>
          <w:szCs w:val="18"/>
          <w:lang w:val="nl-NL"/>
        </w:rPr>
        <w:t>doeleinden mag worden gebruikt, mits dat wettel</w:t>
      </w:r>
      <w:r w:rsidRPr="003F7CD6" w:rsidR="007554D7">
        <w:rPr>
          <w:rFonts w:ascii="Verdana" w:hAnsi="Verdana" w:cs="Arial"/>
          <w:sz w:val="18"/>
          <w:szCs w:val="18"/>
          <w:lang w:val="nl-NL"/>
        </w:rPr>
        <w:t>ijk is toegestaan in beide landen en de bevoegde autoriteiten dit toestaan.</w:t>
      </w:r>
    </w:p>
    <w:p w:rsidRPr="0021450B" w:rsidR="00C549C4" w:rsidP="00C549C4" w:rsidRDefault="007554D7" w14:paraId="623ED49D" w14:textId="77777777">
      <w:pPr>
        <w:ind w:firstLine="720"/>
        <w:rPr>
          <w:rFonts w:ascii="Verdana" w:hAnsi="Verdana" w:cs="Arial"/>
          <w:i/>
          <w:sz w:val="18"/>
          <w:szCs w:val="18"/>
          <w:lang w:val="nl-NL"/>
        </w:rPr>
      </w:pPr>
      <w:r w:rsidRPr="00606D22">
        <w:rPr>
          <w:rFonts w:ascii="Verdana" w:hAnsi="Verdana" w:cs="Arial"/>
          <w:sz w:val="18"/>
          <w:szCs w:val="18"/>
          <w:lang w:val="nl-NL"/>
        </w:rPr>
        <w:t>H</w:t>
      </w:r>
      <w:r w:rsidRPr="00FA4BC6" w:rsidR="00CC0FEE">
        <w:rPr>
          <w:rFonts w:ascii="Verdana" w:hAnsi="Verdana" w:cs="Arial"/>
          <w:sz w:val="18"/>
          <w:szCs w:val="18"/>
          <w:lang w:val="nl-NL"/>
        </w:rPr>
        <w:t xml:space="preserve">et </w:t>
      </w:r>
      <w:r w:rsidRPr="00BD4E1D" w:rsidR="00405A7C">
        <w:rPr>
          <w:rFonts w:ascii="Verdana" w:hAnsi="Verdana" w:cs="Arial"/>
          <w:sz w:val="18"/>
          <w:szCs w:val="18"/>
          <w:lang w:val="nl-NL"/>
        </w:rPr>
        <w:t>der</w:t>
      </w:r>
      <w:r w:rsidRPr="00BD4E1D" w:rsidR="00CC0FEE">
        <w:rPr>
          <w:rFonts w:ascii="Verdana" w:hAnsi="Verdana" w:cs="Arial"/>
          <w:sz w:val="18"/>
          <w:szCs w:val="18"/>
          <w:lang w:val="nl-NL"/>
        </w:rPr>
        <w:t xml:space="preserve">de lid </w:t>
      </w:r>
      <w:r w:rsidRPr="00BD4E1D">
        <w:rPr>
          <w:rFonts w:ascii="Verdana" w:hAnsi="Verdana" w:cs="Arial"/>
          <w:sz w:val="18"/>
          <w:szCs w:val="18"/>
          <w:lang w:val="nl-NL"/>
        </w:rPr>
        <w:t xml:space="preserve">geeft aan </w:t>
      </w:r>
      <w:r w:rsidRPr="00E01754" w:rsidR="00CC0FEE">
        <w:rPr>
          <w:rFonts w:ascii="Verdana" w:hAnsi="Verdana" w:cs="Arial"/>
          <w:sz w:val="18"/>
          <w:szCs w:val="18"/>
          <w:lang w:val="nl-NL"/>
        </w:rPr>
        <w:t>onder welke omsta</w:t>
      </w:r>
      <w:r w:rsidRPr="00E01754" w:rsidR="00D409DF">
        <w:rPr>
          <w:rFonts w:ascii="Verdana" w:hAnsi="Verdana" w:cs="Arial"/>
          <w:sz w:val="18"/>
          <w:szCs w:val="18"/>
          <w:lang w:val="nl-NL"/>
        </w:rPr>
        <w:t xml:space="preserve">ndigheden een </w:t>
      </w:r>
      <w:r w:rsidR="0021450B">
        <w:rPr>
          <w:rFonts w:ascii="Verdana" w:hAnsi="Verdana" w:cs="Arial"/>
          <w:sz w:val="18"/>
          <w:szCs w:val="18"/>
          <w:lang w:val="nl-NL"/>
        </w:rPr>
        <w:t>verdragsluitende staat</w:t>
      </w:r>
      <w:r w:rsidRPr="0021450B" w:rsidR="00CC0FEE">
        <w:rPr>
          <w:rFonts w:ascii="Verdana" w:hAnsi="Verdana" w:cs="Arial"/>
          <w:sz w:val="18"/>
          <w:szCs w:val="18"/>
          <w:lang w:val="nl-NL"/>
        </w:rPr>
        <w:t xml:space="preserve"> geen informatie hoeft te verstrekken </w:t>
      </w:r>
      <w:r w:rsidRPr="0021450B" w:rsidR="00D409DF">
        <w:rPr>
          <w:rFonts w:ascii="Verdana" w:hAnsi="Verdana" w:cs="Arial"/>
          <w:sz w:val="18"/>
          <w:szCs w:val="18"/>
          <w:lang w:val="nl-NL"/>
        </w:rPr>
        <w:t xml:space="preserve">aan de andere </w:t>
      </w:r>
      <w:r w:rsidR="0021450B">
        <w:rPr>
          <w:rFonts w:ascii="Verdana" w:hAnsi="Verdana" w:cs="Arial"/>
          <w:sz w:val="18"/>
          <w:szCs w:val="18"/>
          <w:lang w:val="nl-NL"/>
        </w:rPr>
        <w:t>verdragsluitende staat</w:t>
      </w:r>
      <w:r w:rsidRPr="0021450B" w:rsidR="00CC0FEE">
        <w:rPr>
          <w:rFonts w:ascii="Verdana" w:hAnsi="Verdana" w:cs="Arial"/>
          <w:sz w:val="18"/>
          <w:szCs w:val="18"/>
          <w:lang w:val="nl-NL"/>
        </w:rPr>
        <w:t>.</w:t>
      </w:r>
      <w:r w:rsidRPr="0021450B" w:rsidR="006336B1">
        <w:rPr>
          <w:rFonts w:ascii="Verdana" w:hAnsi="Verdana" w:cs="Arial"/>
          <w:sz w:val="18"/>
          <w:szCs w:val="18"/>
          <w:lang w:val="nl-NL"/>
        </w:rPr>
        <w:t xml:space="preserve"> Een </w:t>
      </w:r>
      <w:r w:rsidR="0021450B">
        <w:rPr>
          <w:rFonts w:ascii="Verdana" w:hAnsi="Verdana" w:cs="Arial"/>
          <w:sz w:val="18"/>
          <w:szCs w:val="18"/>
          <w:lang w:val="nl-NL"/>
        </w:rPr>
        <w:t>verdragsluitende staat</w:t>
      </w:r>
      <w:r w:rsidRPr="0021450B" w:rsidR="006336B1">
        <w:rPr>
          <w:rFonts w:ascii="Verdana" w:hAnsi="Verdana" w:cs="Arial"/>
          <w:sz w:val="18"/>
          <w:szCs w:val="18"/>
          <w:lang w:val="nl-NL"/>
        </w:rPr>
        <w:t xml:space="preserve"> is </w:t>
      </w:r>
      <w:r w:rsidRPr="0021450B" w:rsidR="00D4147C">
        <w:rPr>
          <w:rFonts w:ascii="Verdana" w:hAnsi="Verdana" w:cs="Arial"/>
          <w:sz w:val="18"/>
          <w:szCs w:val="18"/>
          <w:lang w:val="nl-NL"/>
        </w:rPr>
        <w:t xml:space="preserve">bij de inspanningen om de informatie te verschaffen </w:t>
      </w:r>
      <w:r w:rsidR="00AB2F9F">
        <w:rPr>
          <w:rFonts w:ascii="Verdana" w:hAnsi="Verdana" w:cs="Arial"/>
          <w:sz w:val="18"/>
          <w:szCs w:val="18"/>
          <w:lang w:val="nl-NL"/>
        </w:rPr>
        <w:t xml:space="preserve">allereerst </w:t>
      </w:r>
      <w:r w:rsidRPr="0021450B" w:rsidR="00D4147C">
        <w:rPr>
          <w:rFonts w:ascii="Verdana" w:hAnsi="Verdana" w:cs="Arial"/>
          <w:sz w:val="18"/>
          <w:szCs w:val="18"/>
          <w:lang w:val="nl-NL"/>
        </w:rPr>
        <w:t xml:space="preserve">niet gehouden om </w:t>
      </w:r>
      <w:r w:rsidRPr="0021450B" w:rsidR="00C549C4">
        <w:rPr>
          <w:rFonts w:ascii="Verdana" w:hAnsi="Verdana" w:cs="Arial"/>
          <w:sz w:val="18"/>
          <w:szCs w:val="18"/>
          <w:lang w:val="nl-NL"/>
        </w:rPr>
        <w:t xml:space="preserve">bestuurlijke maatregelen te nemen die in strijd zijn met de wetgeving of bestuurlijke praktijk van die of van de </w:t>
      </w:r>
      <w:r w:rsidRPr="0021450B" w:rsidR="00C549C4">
        <w:rPr>
          <w:rFonts w:ascii="Verdana" w:hAnsi="Verdana" w:cs="Arial"/>
          <w:sz w:val="18"/>
          <w:szCs w:val="18"/>
          <w:lang w:val="nl-NL"/>
        </w:rPr>
        <w:lastRenderedPageBreak/>
        <w:t xml:space="preserve">andere </w:t>
      </w:r>
      <w:r w:rsidR="0021450B">
        <w:rPr>
          <w:rFonts w:ascii="Verdana" w:hAnsi="Verdana" w:cs="Arial"/>
          <w:sz w:val="18"/>
          <w:szCs w:val="18"/>
          <w:lang w:val="nl-NL"/>
        </w:rPr>
        <w:t>verdragsluitende staat</w:t>
      </w:r>
      <w:r w:rsidRPr="0021450B" w:rsidR="00C549C4">
        <w:rPr>
          <w:rFonts w:ascii="Verdana" w:hAnsi="Verdana" w:cs="Arial"/>
          <w:sz w:val="18"/>
          <w:szCs w:val="18"/>
          <w:lang w:val="nl-NL"/>
        </w:rPr>
        <w:t xml:space="preserve">. Een </w:t>
      </w:r>
      <w:r w:rsidR="0021450B">
        <w:rPr>
          <w:rFonts w:ascii="Verdana" w:hAnsi="Verdana" w:cs="Arial"/>
          <w:sz w:val="18"/>
          <w:szCs w:val="18"/>
          <w:lang w:val="nl-NL"/>
        </w:rPr>
        <w:t>verdragsluitende staat</w:t>
      </w:r>
      <w:r w:rsidRPr="0021450B" w:rsidR="00C549C4">
        <w:rPr>
          <w:rFonts w:ascii="Verdana" w:hAnsi="Verdana" w:cs="Arial"/>
          <w:sz w:val="18"/>
          <w:szCs w:val="18"/>
          <w:lang w:val="nl-NL"/>
        </w:rPr>
        <w:t xml:space="preserve"> is ook niet gehouden informatie uit te wisselen die niet verkrijgbaar is volgens de wetgeving of in de normale bestuurlijke gang van zaken van die </w:t>
      </w:r>
      <w:r w:rsidR="0021450B">
        <w:rPr>
          <w:rFonts w:ascii="Verdana" w:hAnsi="Verdana" w:cs="Arial"/>
          <w:sz w:val="18"/>
          <w:szCs w:val="18"/>
          <w:lang w:val="nl-NL"/>
        </w:rPr>
        <w:t>verdragsluitende staat</w:t>
      </w:r>
      <w:r w:rsidRPr="0021450B" w:rsidR="00C549C4">
        <w:rPr>
          <w:rFonts w:ascii="Verdana" w:hAnsi="Verdana" w:cs="Arial"/>
          <w:sz w:val="18"/>
          <w:szCs w:val="18"/>
          <w:lang w:val="nl-NL"/>
        </w:rPr>
        <w:t xml:space="preserve"> of van de andere </w:t>
      </w:r>
      <w:r w:rsidR="003103E7">
        <w:rPr>
          <w:rFonts w:ascii="Verdana" w:hAnsi="Verdana" w:cs="Arial"/>
          <w:sz w:val="18"/>
          <w:szCs w:val="18"/>
          <w:lang w:val="nl-NL"/>
        </w:rPr>
        <w:t>staat</w:t>
      </w:r>
      <w:r w:rsidRPr="0021450B" w:rsidR="00C549C4">
        <w:rPr>
          <w:rFonts w:ascii="Verdana" w:hAnsi="Verdana" w:cs="Arial"/>
          <w:sz w:val="18"/>
          <w:szCs w:val="18"/>
          <w:lang w:val="nl-NL"/>
        </w:rPr>
        <w:t xml:space="preserve">. Verder vallen </w:t>
      </w:r>
      <w:r w:rsidRPr="0021450B" w:rsidR="00D4147C">
        <w:rPr>
          <w:rFonts w:ascii="Verdana" w:hAnsi="Verdana" w:cs="Arial"/>
          <w:sz w:val="18"/>
          <w:szCs w:val="18"/>
          <w:lang w:val="nl-NL"/>
        </w:rPr>
        <w:t xml:space="preserve">bedrijfsgeheimen </w:t>
      </w:r>
      <w:r w:rsidRPr="0021450B" w:rsidR="00C549C4">
        <w:rPr>
          <w:rFonts w:ascii="Verdana" w:hAnsi="Verdana" w:cs="Arial"/>
          <w:sz w:val="18"/>
          <w:szCs w:val="18"/>
          <w:lang w:val="nl-NL"/>
        </w:rPr>
        <w:t>buiten de toepassing van de informatie-uitwisselingsbepaling en hoeft ook geen informatie uitgewisseld te worden als dat in strijd zou zijn met de openbare orde</w:t>
      </w:r>
      <w:r w:rsidRPr="0021450B" w:rsidR="00C549C4">
        <w:rPr>
          <w:rFonts w:ascii="Verdana" w:hAnsi="Verdana" w:cs="Arial"/>
          <w:i/>
          <w:sz w:val="18"/>
          <w:szCs w:val="18"/>
          <w:lang w:val="nl-NL"/>
        </w:rPr>
        <w:t>.</w:t>
      </w:r>
    </w:p>
    <w:p w:rsidRPr="00DD3563" w:rsidR="00FB290D" w:rsidP="00CD077B" w:rsidRDefault="00CC0FEE" w14:paraId="1F6F889E" w14:textId="77777777">
      <w:pPr>
        <w:ind w:firstLine="720"/>
        <w:rPr>
          <w:rFonts w:ascii="Verdana" w:hAnsi="Verdana" w:cs="Arial"/>
          <w:sz w:val="18"/>
          <w:szCs w:val="18"/>
          <w:lang w:val="nl-NL"/>
        </w:rPr>
      </w:pPr>
      <w:r w:rsidRPr="0021450B">
        <w:rPr>
          <w:rFonts w:ascii="Verdana" w:hAnsi="Verdana" w:cs="Arial"/>
          <w:sz w:val="18"/>
          <w:szCs w:val="18"/>
          <w:lang w:val="nl-NL"/>
        </w:rPr>
        <w:t>Het vi</w:t>
      </w:r>
      <w:r w:rsidRPr="0021450B" w:rsidR="00405A7C">
        <w:rPr>
          <w:rFonts w:ascii="Verdana" w:hAnsi="Verdana" w:cs="Arial"/>
          <w:sz w:val="18"/>
          <w:szCs w:val="18"/>
          <w:lang w:val="nl-NL"/>
        </w:rPr>
        <w:t>er</w:t>
      </w:r>
      <w:r w:rsidRPr="00BA2B89">
        <w:rPr>
          <w:rFonts w:ascii="Verdana" w:hAnsi="Verdana" w:cs="Arial"/>
          <w:sz w:val="18"/>
          <w:szCs w:val="18"/>
          <w:lang w:val="nl-NL"/>
        </w:rPr>
        <w:t xml:space="preserve">de lid brengt expliciet tot uitdrukking dat de aangezochte </w:t>
      </w:r>
      <w:r w:rsidR="003103E7">
        <w:rPr>
          <w:rFonts w:ascii="Verdana" w:hAnsi="Verdana" w:cs="Arial"/>
          <w:sz w:val="18"/>
          <w:szCs w:val="18"/>
          <w:lang w:val="nl-NL"/>
        </w:rPr>
        <w:t>staat</w:t>
      </w:r>
      <w:r w:rsidRPr="006C1373">
        <w:rPr>
          <w:rFonts w:ascii="Verdana" w:hAnsi="Verdana" w:cs="Arial"/>
          <w:sz w:val="18"/>
          <w:szCs w:val="18"/>
          <w:lang w:val="nl-NL"/>
        </w:rPr>
        <w:t xml:space="preserve"> de gevraagde informatie niet kan weigeren op grond van het feit dat het deze informatie niet nodig heeft voor de eigen belastingheffing. </w:t>
      </w:r>
    </w:p>
    <w:p w:rsidR="004D4F0D" w:rsidP="004D4F0D" w:rsidRDefault="00CC0FEE" w14:paraId="14D8D95D" w14:textId="77777777">
      <w:pPr>
        <w:rPr>
          <w:rFonts w:ascii="Verdana" w:hAnsi="Verdana"/>
          <w:sz w:val="18"/>
          <w:szCs w:val="18"/>
          <w:lang w:val="nl-NL"/>
        </w:rPr>
      </w:pPr>
      <w:r w:rsidRPr="00DD3563">
        <w:rPr>
          <w:rFonts w:ascii="Verdana" w:hAnsi="Verdana" w:cs="Arial"/>
          <w:sz w:val="18"/>
          <w:szCs w:val="18"/>
          <w:lang w:val="nl-NL"/>
        </w:rPr>
        <w:t xml:space="preserve">Tot slot bepaalt het </w:t>
      </w:r>
      <w:r w:rsidRPr="00DD3563" w:rsidR="00405A7C">
        <w:rPr>
          <w:rFonts w:ascii="Verdana" w:hAnsi="Verdana" w:cs="Arial"/>
          <w:sz w:val="18"/>
          <w:szCs w:val="18"/>
          <w:lang w:val="nl-NL"/>
        </w:rPr>
        <w:t>vijf</w:t>
      </w:r>
      <w:r w:rsidRPr="003F7CD6">
        <w:rPr>
          <w:rFonts w:ascii="Verdana" w:hAnsi="Verdana" w:cs="Arial"/>
          <w:sz w:val="18"/>
          <w:szCs w:val="18"/>
          <w:lang w:val="nl-NL"/>
        </w:rPr>
        <w:t>de lid dat het enkele feit</w:t>
      </w:r>
      <w:r w:rsidRPr="00606D22">
        <w:rPr>
          <w:rFonts w:ascii="Verdana" w:hAnsi="Verdana" w:cs="Arial"/>
          <w:sz w:val="18"/>
          <w:szCs w:val="18"/>
          <w:lang w:val="nl-NL"/>
        </w:rPr>
        <w:t xml:space="preserve"> dat informatie in het bezit is van bijvoorbeeld een bank, een andere financiële instelling of een zaakwaarnemer, of </w:t>
      </w:r>
      <w:r w:rsidRPr="00606D22" w:rsidR="00B439E6">
        <w:rPr>
          <w:rFonts w:ascii="Verdana" w:hAnsi="Verdana" w:cs="Arial"/>
          <w:sz w:val="18"/>
          <w:szCs w:val="18"/>
          <w:lang w:val="nl-NL"/>
        </w:rPr>
        <w:t xml:space="preserve">dat </w:t>
      </w:r>
      <w:r w:rsidRPr="00FA4BC6">
        <w:rPr>
          <w:rFonts w:ascii="Verdana" w:hAnsi="Verdana" w:cs="Arial"/>
          <w:sz w:val="18"/>
          <w:szCs w:val="18"/>
          <w:lang w:val="nl-NL"/>
        </w:rPr>
        <w:t xml:space="preserve">de informatie betrekking heeft op eigendomsverhoudingen, geen reden is voor de aangezochte </w:t>
      </w:r>
      <w:r w:rsidR="003103E7">
        <w:rPr>
          <w:rFonts w:ascii="Verdana" w:hAnsi="Verdana" w:cs="Arial"/>
          <w:sz w:val="18"/>
          <w:szCs w:val="18"/>
          <w:lang w:val="nl-NL"/>
        </w:rPr>
        <w:t>staat</w:t>
      </w:r>
      <w:r w:rsidRPr="00FA4BC6">
        <w:rPr>
          <w:rFonts w:ascii="Verdana" w:hAnsi="Verdana" w:cs="Arial"/>
          <w:sz w:val="18"/>
          <w:szCs w:val="18"/>
          <w:lang w:val="nl-NL"/>
        </w:rPr>
        <w:t xml:space="preserve"> om de gevraagde informatie niet te ver</w:t>
      </w:r>
      <w:r w:rsidRPr="00BD4E1D">
        <w:rPr>
          <w:rFonts w:ascii="Verdana" w:hAnsi="Verdana" w:cs="Arial"/>
          <w:sz w:val="18"/>
          <w:szCs w:val="18"/>
          <w:lang w:val="nl-NL"/>
        </w:rPr>
        <w:t xml:space="preserve">strekken aan de verzoekende </w:t>
      </w:r>
      <w:r w:rsidR="003103E7">
        <w:rPr>
          <w:rFonts w:ascii="Verdana" w:hAnsi="Verdana" w:cs="Arial"/>
          <w:sz w:val="18"/>
          <w:szCs w:val="18"/>
          <w:lang w:val="nl-NL"/>
        </w:rPr>
        <w:t>staat</w:t>
      </w:r>
      <w:r w:rsidRPr="00E01754" w:rsidR="00B439E6">
        <w:rPr>
          <w:rFonts w:ascii="Verdana" w:hAnsi="Verdana" w:cs="Arial"/>
          <w:sz w:val="18"/>
          <w:szCs w:val="18"/>
          <w:lang w:val="nl-NL"/>
        </w:rPr>
        <w:t>.</w:t>
      </w:r>
      <w:r w:rsidR="004D4F0D">
        <w:rPr>
          <w:rFonts w:ascii="Verdana" w:hAnsi="Verdana"/>
          <w:sz w:val="18"/>
          <w:szCs w:val="18"/>
          <w:lang w:val="nl-NL"/>
        </w:rPr>
        <w:t xml:space="preserve"> </w:t>
      </w:r>
    </w:p>
    <w:p w:rsidR="004D4F0D" w:rsidP="004D4F0D" w:rsidRDefault="004D4F0D" w14:paraId="5E176E98" w14:textId="77777777">
      <w:pPr>
        <w:rPr>
          <w:rFonts w:ascii="Verdana" w:hAnsi="Verdana"/>
          <w:sz w:val="18"/>
          <w:szCs w:val="18"/>
          <w:lang w:val="nl-NL"/>
        </w:rPr>
      </w:pPr>
      <w:r w:rsidRPr="005C1870">
        <w:rPr>
          <w:rFonts w:ascii="Verdana" w:hAnsi="Verdana"/>
          <w:sz w:val="18"/>
          <w:szCs w:val="18"/>
          <w:lang w:val="nl-NL"/>
        </w:rPr>
        <w:t>Wat betreft de uitwisseling van informatie bij belastingschulden wordt opgemerkt dat Bulgarije en Nederland tevens zijn gebonden aan de bepalingen van de Europese invorderingsrichtlijn</w:t>
      </w:r>
      <w:r w:rsidRPr="005C1870">
        <w:rPr>
          <w:rStyle w:val="Voetnootmarkering"/>
          <w:rFonts w:ascii="Verdana" w:hAnsi="Verdana"/>
          <w:sz w:val="18"/>
          <w:szCs w:val="18"/>
          <w:lang w:val="nl-NL"/>
        </w:rPr>
        <w:footnoteReference w:id="20"/>
      </w:r>
      <w:r w:rsidRPr="005C1870">
        <w:rPr>
          <w:rFonts w:ascii="Verdana" w:hAnsi="Verdana"/>
          <w:sz w:val="18"/>
          <w:szCs w:val="18"/>
          <w:lang w:val="nl-NL"/>
        </w:rPr>
        <w:t xml:space="preserve"> en het op 25 januari 1988 te Straatsburg tot stand gekomen Verdrag inzake wederzijdse administratieve bijstand in belastingzaken (</w:t>
      </w:r>
      <w:r w:rsidRPr="00A6119F">
        <w:rPr>
          <w:rFonts w:ascii="Verdana" w:hAnsi="Verdana"/>
          <w:i/>
          <w:sz w:val="18"/>
          <w:szCs w:val="18"/>
          <w:lang w:val="nl-NL"/>
        </w:rPr>
        <w:t>Trb</w:t>
      </w:r>
      <w:r w:rsidRPr="005C1870">
        <w:rPr>
          <w:rFonts w:ascii="Verdana" w:hAnsi="Verdana"/>
          <w:sz w:val="18"/>
          <w:szCs w:val="18"/>
          <w:lang w:val="nl-NL"/>
        </w:rPr>
        <w:t xml:space="preserve">. 1991, 4, zoals laatstelijk gewijzigd bij Protocol van 27 mei 2010, </w:t>
      </w:r>
      <w:r w:rsidRPr="00A6119F">
        <w:rPr>
          <w:rFonts w:ascii="Verdana" w:hAnsi="Verdana"/>
          <w:i/>
          <w:sz w:val="18"/>
          <w:szCs w:val="18"/>
          <w:lang w:val="nl-NL"/>
        </w:rPr>
        <w:t>Trb</w:t>
      </w:r>
      <w:r w:rsidRPr="005C1870">
        <w:rPr>
          <w:rFonts w:ascii="Verdana" w:hAnsi="Verdana"/>
          <w:sz w:val="18"/>
          <w:szCs w:val="18"/>
          <w:lang w:val="nl-NL"/>
        </w:rPr>
        <w:t>. 2010, 221). Deze instrumenten voorzien ook in de uitwisseling van informatie waarbij een (aanzienlijke) mate van onderlinge overlap bestaat tussen deze instrumenten en artikel 26 van het Verdrag. Daarbij prevaleert in beginsel het meest vergaande instrument voor</w:t>
      </w:r>
      <w:r>
        <w:rPr>
          <w:rFonts w:ascii="Verdana" w:hAnsi="Verdana"/>
          <w:sz w:val="18"/>
          <w:szCs w:val="18"/>
          <w:lang w:val="nl-NL"/>
        </w:rPr>
        <w:t xml:space="preserve"> de uitwisseling van informatie. </w:t>
      </w:r>
    </w:p>
    <w:p w:rsidRPr="004D4F0D" w:rsidR="004D4F0D" w:rsidP="004D4F0D" w:rsidRDefault="004D4F0D" w14:paraId="43FAA4B2" w14:textId="77777777">
      <w:pPr>
        <w:rPr>
          <w:rFonts w:ascii="Verdana" w:hAnsi="Verdana"/>
          <w:color w:val="1F497D"/>
          <w:sz w:val="18"/>
          <w:szCs w:val="18"/>
          <w:lang w:val="nl-NL"/>
        </w:rPr>
      </w:pPr>
      <w:r>
        <w:rPr>
          <w:rFonts w:ascii="Verdana" w:hAnsi="Verdana"/>
          <w:sz w:val="18"/>
          <w:szCs w:val="18"/>
          <w:lang w:val="nl-NL"/>
        </w:rPr>
        <w:t xml:space="preserve">Voorts wordt gewezen op </w:t>
      </w:r>
      <w:r w:rsidRPr="005C1870">
        <w:rPr>
          <w:rFonts w:ascii="Verdana" w:hAnsi="Verdana"/>
          <w:sz w:val="18"/>
          <w:szCs w:val="18"/>
          <w:lang w:val="nl-NL"/>
        </w:rPr>
        <w:t xml:space="preserve">artikel XIV van het Protocol </w:t>
      </w:r>
      <w:r>
        <w:rPr>
          <w:rFonts w:ascii="Verdana" w:hAnsi="Verdana"/>
          <w:sz w:val="18"/>
          <w:szCs w:val="18"/>
          <w:lang w:val="nl-NL"/>
        </w:rPr>
        <w:t>waarin, zoals reeds opgemerkt,</w:t>
      </w:r>
      <w:r w:rsidRPr="005C1870">
        <w:rPr>
          <w:rFonts w:ascii="Verdana" w:hAnsi="Verdana"/>
          <w:sz w:val="18"/>
          <w:szCs w:val="18"/>
          <w:lang w:val="nl-NL"/>
        </w:rPr>
        <w:t xml:space="preserve"> </w:t>
      </w:r>
      <w:r>
        <w:rPr>
          <w:rFonts w:ascii="Verdana" w:hAnsi="Verdana"/>
          <w:sz w:val="18"/>
          <w:szCs w:val="18"/>
          <w:lang w:val="nl-NL"/>
        </w:rPr>
        <w:t xml:space="preserve">is </w:t>
      </w:r>
      <w:r w:rsidRPr="005C1870">
        <w:rPr>
          <w:rFonts w:ascii="Verdana" w:hAnsi="Verdana"/>
          <w:sz w:val="18"/>
          <w:szCs w:val="18"/>
          <w:lang w:val="nl-NL"/>
        </w:rPr>
        <w:t>bewerkstellig</w:t>
      </w:r>
      <w:r>
        <w:rPr>
          <w:rFonts w:ascii="Verdana" w:hAnsi="Verdana"/>
          <w:sz w:val="18"/>
          <w:szCs w:val="18"/>
          <w:lang w:val="nl-NL"/>
        </w:rPr>
        <w:t>d</w:t>
      </w:r>
      <w:r w:rsidRPr="005C1870">
        <w:rPr>
          <w:rFonts w:ascii="Verdana" w:hAnsi="Verdana"/>
          <w:sz w:val="18"/>
          <w:szCs w:val="18"/>
          <w:lang w:val="nl-NL"/>
        </w:rPr>
        <w:t xml:space="preserve"> dat </w:t>
      </w:r>
      <w:r>
        <w:rPr>
          <w:rFonts w:ascii="Verdana" w:hAnsi="Verdana"/>
          <w:sz w:val="18"/>
          <w:szCs w:val="18"/>
          <w:lang w:val="nl-NL"/>
        </w:rPr>
        <w:t xml:space="preserve">artikel 26 van het Verdrag </w:t>
      </w:r>
      <w:r w:rsidR="00A65903">
        <w:rPr>
          <w:rFonts w:ascii="Verdana" w:hAnsi="Verdana"/>
          <w:sz w:val="18"/>
          <w:szCs w:val="18"/>
          <w:lang w:val="nl-NL"/>
        </w:rPr>
        <w:t>ook</w:t>
      </w:r>
      <w:r w:rsidR="007B5C36">
        <w:rPr>
          <w:rFonts w:ascii="Verdana" w:hAnsi="Verdana"/>
          <w:sz w:val="18"/>
          <w:szCs w:val="18"/>
          <w:lang w:val="nl-NL"/>
        </w:rPr>
        <w:t xml:space="preserve"> </w:t>
      </w:r>
      <w:r>
        <w:rPr>
          <w:rFonts w:ascii="Verdana" w:hAnsi="Verdana"/>
          <w:sz w:val="18"/>
          <w:szCs w:val="18"/>
          <w:lang w:val="nl-NL"/>
        </w:rPr>
        <w:t xml:space="preserve">geldt </w:t>
      </w:r>
      <w:r w:rsidRPr="005C1870">
        <w:rPr>
          <w:rFonts w:ascii="Verdana" w:hAnsi="Verdana"/>
          <w:sz w:val="18"/>
          <w:szCs w:val="18"/>
          <w:lang w:val="nl-NL"/>
        </w:rPr>
        <w:t xml:space="preserve">voor </w:t>
      </w:r>
      <w:r>
        <w:rPr>
          <w:rFonts w:ascii="Verdana" w:hAnsi="Verdana"/>
          <w:sz w:val="18"/>
          <w:szCs w:val="18"/>
          <w:lang w:val="nl-NL"/>
        </w:rPr>
        <w:t xml:space="preserve">de Nederlandse </w:t>
      </w:r>
      <w:r w:rsidRPr="005C1870">
        <w:rPr>
          <w:rFonts w:ascii="Verdana" w:hAnsi="Verdana"/>
          <w:sz w:val="18"/>
          <w:szCs w:val="18"/>
          <w:lang w:val="nl-NL"/>
        </w:rPr>
        <w:t>inkomensafhankelijke regelingen. D</w:t>
      </w:r>
      <w:r>
        <w:rPr>
          <w:rFonts w:ascii="Verdana" w:hAnsi="Verdana"/>
          <w:sz w:val="18"/>
          <w:szCs w:val="18"/>
          <w:lang w:val="nl-NL"/>
        </w:rPr>
        <w:t xml:space="preserve">it </w:t>
      </w:r>
      <w:r w:rsidRPr="005C1870">
        <w:rPr>
          <w:rFonts w:ascii="Verdana" w:hAnsi="Verdana"/>
          <w:sz w:val="18"/>
          <w:szCs w:val="18"/>
          <w:lang w:val="nl-NL"/>
        </w:rPr>
        <w:t xml:space="preserve">is met name relevant voor de </w:t>
      </w:r>
      <w:r>
        <w:rPr>
          <w:rFonts w:ascii="Verdana" w:hAnsi="Verdana"/>
          <w:sz w:val="18"/>
          <w:szCs w:val="18"/>
          <w:lang w:val="nl-NL"/>
        </w:rPr>
        <w:t xml:space="preserve">uitvoering van de </w:t>
      </w:r>
      <w:r w:rsidRPr="005C1870">
        <w:rPr>
          <w:rFonts w:ascii="Verdana" w:hAnsi="Verdana"/>
          <w:sz w:val="18"/>
          <w:szCs w:val="18"/>
          <w:lang w:val="nl-NL"/>
        </w:rPr>
        <w:t xml:space="preserve">huurtoeslag, omdat </w:t>
      </w:r>
      <w:r>
        <w:rPr>
          <w:rFonts w:ascii="Verdana" w:hAnsi="Verdana"/>
          <w:sz w:val="18"/>
          <w:szCs w:val="18"/>
          <w:lang w:val="nl-NL"/>
        </w:rPr>
        <w:t xml:space="preserve">met name met betrekking tot deze toeslag een rechtsbasis ontbrak </w:t>
      </w:r>
      <w:r w:rsidRPr="005C1870">
        <w:rPr>
          <w:rFonts w:ascii="Verdana" w:hAnsi="Verdana"/>
          <w:sz w:val="18"/>
          <w:szCs w:val="18"/>
          <w:lang w:val="nl-NL"/>
        </w:rPr>
        <w:t>voor de uitwisseling van informatie</w:t>
      </w:r>
      <w:r>
        <w:rPr>
          <w:rFonts w:ascii="Verdana" w:hAnsi="Verdana"/>
          <w:sz w:val="18"/>
          <w:szCs w:val="18"/>
          <w:lang w:val="nl-NL"/>
        </w:rPr>
        <w:t xml:space="preserve">. Anders namelijk dan </w:t>
      </w:r>
      <w:r w:rsidRPr="005C1870">
        <w:rPr>
          <w:rFonts w:ascii="Verdana" w:hAnsi="Verdana"/>
          <w:sz w:val="18"/>
          <w:szCs w:val="18"/>
          <w:lang w:val="nl-NL"/>
        </w:rPr>
        <w:t xml:space="preserve">bij de overige toeslagen </w:t>
      </w:r>
      <w:r>
        <w:rPr>
          <w:rFonts w:ascii="Verdana" w:hAnsi="Verdana"/>
          <w:sz w:val="18"/>
          <w:szCs w:val="18"/>
          <w:lang w:val="nl-NL"/>
        </w:rPr>
        <w:t>het geval is, bied</w:t>
      </w:r>
      <w:r w:rsidR="00895217">
        <w:rPr>
          <w:rFonts w:ascii="Verdana" w:hAnsi="Verdana"/>
          <w:sz w:val="18"/>
          <w:szCs w:val="18"/>
          <w:lang w:val="nl-NL"/>
        </w:rPr>
        <w:t>en</w:t>
      </w:r>
      <w:r>
        <w:rPr>
          <w:rFonts w:ascii="Verdana" w:hAnsi="Verdana"/>
          <w:sz w:val="18"/>
          <w:szCs w:val="18"/>
          <w:lang w:val="nl-NL"/>
        </w:rPr>
        <w:t xml:space="preserve"> de </w:t>
      </w:r>
      <w:r w:rsidRPr="005C1870">
        <w:rPr>
          <w:rFonts w:ascii="Verdana" w:hAnsi="Verdana"/>
          <w:sz w:val="18"/>
          <w:szCs w:val="18"/>
          <w:lang w:val="nl-NL"/>
        </w:rPr>
        <w:t>binnen de E</w:t>
      </w:r>
      <w:r>
        <w:rPr>
          <w:rFonts w:ascii="Verdana" w:hAnsi="Verdana"/>
          <w:sz w:val="18"/>
          <w:szCs w:val="18"/>
          <w:lang w:val="nl-NL"/>
        </w:rPr>
        <w:t>uropese Unie geldende regelgeving (</w:t>
      </w:r>
      <w:r w:rsidRPr="005C1870">
        <w:rPr>
          <w:rFonts w:ascii="Verdana" w:hAnsi="Verdana"/>
          <w:sz w:val="18"/>
          <w:szCs w:val="18"/>
          <w:lang w:val="nl-NL"/>
        </w:rPr>
        <w:t>Verordening 883/2004</w:t>
      </w:r>
      <w:r>
        <w:rPr>
          <w:rStyle w:val="Voetnootmarkering"/>
          <w:rFonts w:ascii="Verdana" w:hAnsi="Verdana"/>
          <w:sz w:val="18"/>
          <w:szCs w:val="18"/>
          <w:lang w:val="nl-NL"/>
        </w:rPr>
        <w:footnoteReference w:id="21"/>
      </w:r>
      <w:r w:rsidRPr="005C1870">
        <w:rPr>
          <w:rFonts w:ascii="Verdana" w:hAnsi="Verdana"/>
          <w:sz w:val="18"/>
          <w:szCs w:val="18"/>
          <w:lang w:val="nl-NL"/>
        </w:rPr>
        <w:t xml:space="preserve"> en </w:t>
      </w:r>
      <w:r>
        <w:rPr>
          <w:rFonts w:ascii="Verdana" w:hAnsi="Verdana"/>
          <w:sz w:val="18"/>
          <w:szCs w:val="18"/>
          <w:lang w:val="nl-NL"/>
        </w:rPr>
        <w:t>V</w:t>
      </w:r>
      <w:r w:rsidRPr="00556990">
        <w:rPr>
          <w:rFonts w:ascii="Verdana" w:hAnsi="Verdana"/>
          <w:sz w:val="18"/>
          <w:szCs w:val="18"/>
          <w:lang w:val="nl-NL"/>
        </w:rPr>
        <w:t>erordening 987/2009</w:t>
      </w:r>
      <w:r>
        <w:rPr>
          <w:rStyle w:val="Voetnootmarkering"/>
          <w:rFonts w:ascii="Verdana" w:hAnsi="Verdana"/>
          <w:sz w:val="18"/>
          <w:szCs w:val="18"/>
          <w:lang w:val="nl-NL"/>
        </w:rPr>
        <w:footnoteReference w:id="22"/>
      </w:r>
      <w:r w:rsidR="006563D6">
        <w:rPr>
          <w:rFonts w:ascii="Verdana" w:hAnsi="Verdana"/>
          <w:sz w:val="18"/>
          <w:szCs w:val="18"/>
          <w:lang w:val="nl-NL"/>
        </w:rPr>
        <w:t>)</w:t>
      </w:r>
      <w:r w:rsidR="00220C2C">
        <w:rPr>
          <w:rFonts w:ascii="Verdana" w:hAnsi="Verdana"/>
          <w:sz w:val="18"/>
          <w:szCs w:val="18"/>
          <w:lang w:val="nl-NL"/>
        </w:rPr>
        <w:t xml:space="preserve"> en</w:t>
      </w:r>
      <w:r>
        <w:rPr>
          <w:rFonts w:ascii="Verdana" w:hAnsi="Verdana"/>
          <w:sz w:val="18"/>
          <w:szCs w:val="18"/>
          <w:lang w:val="nl-NL"/>
        </w:rPr>
        <w:t xml:space="preserve"> het </w:t>
      </w:r>
      <w:r w:rsidR="009302A5">
        <w:rPr>
          <w:rFonts w:ascii="Verdana" w:hAnsi="Verdana"/>
          <w:sz w:val="18"/>
          <w:szCs w:val="18"/>
          <w:lang w:val="nl-NL"/>
        </w:rPr>
        <w:t>V</w:t>
      </w:r>
      <w:r>
        <w:rPr>
          <w:rFonts w:ascii="Verdana" w:hAnsi="Verdana"/>
          <w:sz w:val="18"/>
          <w:szCs w:val="18"/>
          <w:lang w:val="nl-NL"/>
        </w:rPr>
        <w:t>erdrag van 1990</w:t>
      </w:r>
      <w:r w:rsidR="00220C2C">
        <w:rPr>
          <w:rFonts w:ascii="Verdana" w:hAnsi="Verdana"/>
          <w:sz w:val="18"/>
          <w:szCs w:val="18"/>
          <w:lang w:val="nl-NL"/>
        </w:rPr>
        <w:t xml:space="preserve"> daarvoor</w:t>
      </w:r>
      <w:r>
        <w:rPr>
          <w:rFonts w:ascii="Verdana" w:hAnsi="Verdana"/>
          <w:sz w:val="18"/>
          <w:szCs w:val="18"/>
          <w:lang w:val="nl-NL"/>
        </w:rPr>
        <w:t xml:space="preserve"> </w:t>
      </w:r>
      <w:r w:rsidR="005A1DEE">
        <w:rPr>
          <w:rFonts w:ascii="Verdana" w:hAnsi="Verdana"/>
          <w:sz w:val="18"/>
          <w:szCs w:val="18"/>
          <w:lang w:val="nl-NL"/>
        </w:rPr>
        <w:t>g</w:t>
      </w:r>
      <w:r>
        <w:rPr>
          <w:rFonts w:ascii="Verdana" w:hAnsi="Verdana"/>
          <w:sz w:val="18"/>
          <w:szCs w:val="18"/>
          <w:lang w:val="nl-NL"/>
        </w:rPr>
        <w:t>een rechtsbasis</w:t>
      </w:r>
      <w:r w:rsidRPr="00556990">
        <w:rPr>
          <w:rFonts w:ascii="Verdana" w:hAnsi="Verdana"/>
          <w:sz w:val="18"/>
          <w:szCs w:val="18"/>
          <w:lang w:val="nl-NL"/>
        </w:rPr>
        <w:t>.</w:t>
      </w:r>
      <w:r w:rsidRPr="001C6327">
        <w:rPr>
          <w:rFonts w:ascii="Verdana" w:hAnsi="Verdana"/>
          <w:sz w:val="18"/>
          <w:szCs w:val="18"/>
          <w:lang w:val="nl-NL"/>
        </w:rPr>
        <w:t xml:space="preserve"> </w:t>
      </w:r>
    </w:p>
    <w:p w:rsidRPr="001C6327" w:rsidR="00CC0FEE" w:rsidP="00CD077B" w:rsidRDefault="00CC0FEE" w14:paraId="018D1496" w14:textId="77777777">
      <w:pPr>
        <w:ind w:firstLine="0"/>
        <w:rPr>
          <w:rFonts w:ascii="Verdana" w:hAnsi="Verdana"/>
          <w:sz w:val="18"/>
          <w:szCs w:val="18"/>
          <w:lang w:val="nl-NL"/>
        </w:rPr>
      </w:pPr>
    </w:p>
    <w:p w:rsidRPr="006E5CFF" w:rsidR="006D62AA" w:rsidP="00CD077B" w:rsidRDefault="006D62AA" w14:paraId="1C5B82C1" w14:textId="77777777">
      <w:pPr>
        <w:ind w:firstLine="0"/>
        <w:outlineLvl w:val="4"/>
        <w:rPr>
          <w:rFonts w:ascii="Verdana" w:hAnsi="Verdana" w:cs="Arial"/>
          <w:i/>
          <w:iCs/>
          <w:sz w:val="18"/>
          <w:szCs w:val="18"/>
          <w:lang w:val="nl-NL"/>
        </w:rPr>
      </w:pPr>
      <w:r w:rsidRPr="00F578EC">
        <w:rPr>
          <w:rFonts w:ascii="Verdana" w:hAnsi="Verdana" w:cs="Arial"/>
          <w:i/>
          <w:iCs/>
          <w:sz w:val="18"/>
          <w:szCs w:val="18"/>
          <w:lang w:val="nl-NL"/>
        </w:rPr>
        <w:t>II.2</w:t>
      </w:r>
      <w:r w:rsidRPr="00F578EC" w:rsidR="00DA00A7">
        <w:rPr>
          <w:rFonts w:ascii="Verdana" w:hAnsi="Verdana" w:cs="Arial"/>
          <w:i/>
          <w:iCs/>
          <w:sz w:val="18"/>
          <w:szCs w:val="18"/>
          <w:lang w:val="nl-NL"/>
        </w:rPr>
        <w:t>7</w:t>
      </w:r>
      <w:r w:rsidRPr="00F578EC">
        <w:rPr>
          <w:rFonts w:ascii="Verdana" w:hAnsi="Verdana" w:cs="Arial"/>
          <w:i/>
          <w:iCs/>
          <w:sz w:val="18"/>
          <w:szCs w:val="18"/>
          <w:lang w:val="nl-NL"/>
        </w:rPr>
        <w:t>. Bijstand bij de invordering van belastingen (artikel 2</w:t>
      </w:r>
      <w:r w:rsidRPr="00323312" w:rsidR="00BB106C">
        <w:rPr>
          <w:rFonts w:ascii="Verdana" w:hAnsi="Verdana" w:cs="Arial"/>
          <w:i/>
          <w:iCs/>
          <w:sz w:val="18"/>
          <w:szCs w:val="18"/>
          <w:lang w:val="nl-NL"/>
        </w:rPr>
        <w:t>7</w:t>
      </w:r>
      <w:r w:rsidRPr="006E5CFF" w:rsidR="00DA00A7">
        <w:rPr>
          <w:rFonts w:ascii="Verdana" w:hAnsi="Verdana" w:cs="Arial"/>
          <w:i/>
          <w:iCs/>
          <w:sz w:val="18"/>
          <w:szCs w:val="18"/>
          <w:lang w:val="nl-NL"/>
        </w:rPr>
        <w:t xml:space="preserve"> </w:t>
      </w:r>
      <w:r w:rsidRPr="00780A5E" w:rsidR="00780A5E">
        <w:rPr>
          <w:rFonts w:ascii="Verdana" w:hAnsi="Verdana" w:cs="Arial"/>
          <w:i/>
          <w:iCs/>
          <w:sz w:val="18"/>
          <w:szCs w:val="18"/>
          <w:lang w:val="nl-NL"/>
        </w:rPr>
        <w:t xml:space="preserve">van het Verdrag </w:t>
      </w:r>
      <w:r w:rsidRPr="006E5CFF" w:rsidR="00DA00A7">
        <w:rPr>
          <w:rFonts w:ascii="Verdana" w:hAnsi="Verdana" w:cs="Arial"/>
          <w:i/>
          <w:iCs/>
          <w:sz w:val="18"/>
          <w:szCs w:val="18"/>
          <w:lang w:val="nl-NL"/>
        </w:rPr>
        <w:t xml:space="preserve">en </w:t>
      </w:r>
      <w:r w:rsidR="00780A5E">
        <w:rPr>
          <w:rFonts w:ascii="Verdana" w:hAnsi="Verdana" w:cs="Arial"/>
          <w:i/>
          <w:iCs/>
          <w:sz w:val="18"/>
          <w:szCs w:val="18"/>
          <w:lang w:val="nl-NL"/>
        </w:rPr>
        <w:t xml:space="preserve">artikel </w:t>
      </w:r>
      <w:r w:rsidRPr="006E5CFF" w:rsidR="00DA00A7">
        <w:rPr>
          <w:rFonts w:ascii="Verdana" w:hAnsi="Verdana" w:cs="Arial"/>
          <w:i/>
          <w:iCs/>
          <w:sz w:val="18"/>
          <w:szCs w:val="18"/>
          <w:lang w:val="nl-NL"/>
        </w:rPr>
        <w:t>XIV</w:t>
      </w:r>
      <w:r w:rsidRPr="00780A5E" w:rsidR="00780A5E">
        <w:rPr>
          <w:rFonts w:ascii="Verdana" w:hAnsi="Verdana" w:cs="Arial"/>
          <w:i/>
          <w:iCs/>
          <w:sz w:val="18"/>
          <w:szCs w:val="18"/>
          <w:lang w:val="nl-NL"/>
        </w:rPr>
        <w:t xml:space="preserve"> </w:t>
      </w:r>
      <w:r w:rsidR="00780A5E">
        <w:rPr>
          <w:rFonts w:ascii="Verdana" w:hAnsi="Verdana" w:cs="Arial"/>
          <w:i/>
          <w:iCs/>
          <w:sz w:val="18"/>
          <w:szCs w:val="18"/>
          <w:lang w:val="nl-NL"/>
        </w:rPr>
        <w:t xml:space="preserve">van het </w:t>
      </w:r>
      <w:r w:rsidRPr="006E5CFF" w:rsidR="00780A5E">
        <w:rPr>
          <w:rFonts w:ascii="Verdana" w:hAnsi="Verdana" w:cs="Arial"/>
          <w:i/>
          <w:iCs/>
          <w:sz w:val="18"/>
          <w:szCs w:val="18"/>
          <w:lang w:val="nl-NL"/>
        </w:rPr>
        <w:t>Protocol</w:t>
      </w:r>
      <w:r w:rsidRPr="006E5CFF">
        <w:rPr>
          <w:rFonts w:ascii="Verdana" w:hAnsi="Verdana" w:cs="Arial"/>
          <w:i/>
          <w:iCs/>
          <w:sz w:val="18"/>
          <w:szCs w:val="18"/>
          <w:lang w:val="nl-NL"/>
        </w:rPr>
        <w:t xml:space="preserve">) </w:t>
      </w:r>
    </w:p>
    <w:p w:rsidRPr="00BC6175" w:rsidR="006D62AA" w:rsidP="00CD077B" w:rsidRDefault="006D62AA" w14:paraId="7DB3EBCB" w14:textId="77777777">
      <w:pPr>
        <w:rPr>
          <w:rFonts w:ascii="Verdana" w:hAnsi="Verdana" w:cs="Arial"/>
          <w:sz w:val="18"/>
          <w:szCs w:val="18"/>
          <w:lang w:val="nl-NL"/>
        </w:rPr>
      </w:pPr>
    </w:p>
    <w:p w:rsidRPr="005C1870" w:rsidR="004528ED" w:rsidP="00CD077B" w:rsidRDefault="006D62AA" w14:paraId="7A69D399" w14:textId="77777777">
      <w:pPr>
        <w:ind w:firstLine="720"/>
        <w:rPr>
          <w:rFonts w:ascii="Verdana" w:hAnsi="Verdana" w:cs="Arial"/>
          <w:sz w:val="18"/>
          <w:szCs w:val="18"/>
          <w:lang w:val="nl-NL"/>
        </w:rPr>
      </w:pPr>
      <w:r w:rsidRPr="00BC6175">
        <w:rPr>
          <w:rFonts w:ascii="Verdana" w:hAnsi="Verdana" w:cs="Arial"/>
          <w:sz w:val="18"/>
          <w:szCs w:val="18"/>
          <w:lang w:val="nl-NL"/>
        </w:rPr>
        <w:t>Artikel 2</w:t>
      </w:r>
      <w:r w:rsidRPr="00BC6175" w:rsidR="00BB106C">
        <w:rPr>
          <w:rFonts w:ascii="Verdana" w:hAnsi="Verdana" w:cs="Arial"/>
          <w:sz w:val="18"/>
          <w:szCs w:val="18"/>
          <w:lang w:val="nl-NL"/>
        </w:rPr>
        <w:t>7</w:t>
      </w:r>
      <w:r w:rsidRPr="00CF22A8">
        <w:rPr>
          <w:rFonts w:ascii="Verdana" w:hAnsi="Verdana" w:cs="Arial"/>
          <w:sz w:val="18"/>
          <w:szCs w:val="18"/>
          <w:lang w:val="nl-NL"/>
        </w:rPr>
        <w:t xml:space="preserve"> </w:t>
      </w:r>
      <w:r w:rsidRPr="00CF22A8" w:rsidR="00D1524A">
        <w:rPr>
          <w:rFonts w:ascii="Verdana" w:hAnsi="Verdana" w:cs="Arial"/>
          <w:sz w:val="18"/>
          <w:szCs w:val="18"/>
          <w:lang w:val="nl-NL"/>
        </w:rPr>
        <w:t xml:space="preserve">bewerkstelligt dat beide </w:t>
      </w:r>
      <w:r w:rsidR="0021450B">
        <w:rPr>
          <w:rFonts w:ascii="Verdana" w:hAnsi="Verdana" w:cs="Arial"/>
          <w:sz w:val="18"/>
          <w:szCs w:val="18"/>
          <w:lang w:val="nl-NL"/>
        </w:rPr>
        <w:t>verdragsluitende staten</w:t>
      </w:r>
      <w:r w:rsidRPr="005C1870" w:rsidR="008C113B">
        <w:rPr>
          <w:rFonts w:ascii="Verdana" w:hAnsi="Verdana" w:cs="Arial"/>
          <w:sz w:val="18"/>
          <w:szCs w:val="18"/>
          <w:lang w:val="nl-NL"/>
        </w:rPr>
        <w:t xml:space="preserve"> </w:t>
      </w:r>
      <w:r w:rsidRPr="005C1870" w:rsidR="00D1524A">
        <w:rPr>
          <w:rFonts w:ascii="Verdana" w:hAnsi="Verdana" w:cs="Arial"/>
          <w:sz w:val="18"/>
          <w:szCs w:val="18"/>
          <w:lang w:val="nl-NL"/>
        </w:rPr>
        <w:t xml:space="preserve">elkaar bijstand bij invordering van uitstaande belastingschulden verlenen. Het artikel komt </w:t>
      </w:r>
      <w:r w:rsidRPr="005C1870" w:rsidR="00BB106C">
        <w:rPr>
          <w:rFonts w:ascii="Verdana" w:hAnsi="Verdana" w:cs="Arial"/>
          <w:sz w:val="18"/>
          <w:szCs w:val="18"/>
          <w:lang w:val="nl-NL"/>
        </w:rPr>
        <w:t>overeen met artikel 27 van het OESO-modelverdrag.</w:t>
      </w:r>
      <w:r w:rsidRPr="005C1870" w:rsidR="00D1524A">
        <w:rPr>
          <w:rFonts w:ascii="Verdana" w:hAnsi="Verdana" w:cs="Arial"/>
          <w:sz w:val="18"/>
          <w:szCs w:val="18"/>
          <w:lang w:val="nl-NL"/>
        </w:rPr>
        <w:t xml:space="preserve"> De bepaling geldt op grond van artikel XIV van het Protocol ook voor </w:t>
      </w:r>
      <w:r w:rsidR="004D4F0D">
        <w:rPr>
          <w:rFonts w:ascii="Verdana" w:hAnsi="Verdana" w:cs="Arial"/>
          <w:sz w:val="18"/>
          <w:szCs w:val="18"/>
          <w:lang w:val="nl-NL"/>
        </w:rPr>
        <w:t xml:space="preserve">de Nederlandse </w:t>
      </w:r>
      <w:r w:rsidRPr="005C1870" w:rsidR="00D1524A">
        <w:rPr>
          <w:rFonts w:ascii="Verdana" w:hAnsi="Verdana" w:cs="Arial"/>
          <w:sz w:val="18"/>
          <w:szCs w:val="18"/>
          <w:lang w:val="nl-NL"/>
        </w:rPr>
        <w:t>inkomensafhankelijke regelingen</w:t>
      </w:r>
      <w:r w:rsidR="001F715A">
        <w:rPr>
          <w:rFonts w:ascii="Verdana" w:hAnsi="Verdana" w:cs="Arial"/>
          <w:sz w:val="18"/>
          <w:szCs w:val="18"/>
          <w:lang w:val="nl-NL"/>
        </w:rPr>
        <w:t xml:space="preserve"> (‘de toeslagen’)</w:t>
      </w:r>
      <w:r w:rsidRPr="005C1870" w:rsidR="00D1524A">
        <w:rPr>
          <w:rFonts w:ascii="Verdana" w:hAnsi="Verdana" w:cs="Arial"/>
          <w:sz w:val="18"/>
          <w:szCs w:val="18"/>
          <w:lang w:val="nl-NL"/>
        </w:rPr>
        <w:t xml:space="preserve">. </w:t>
      </w:r>
    </w:p>
    <w:p w:rsidRPr="005C1870" w:rsidR="006D62AA" w:rsidP="00CD077B" w:rsidRDefault="004528ED" w14:paraId="48E79F20" w14:textId="77777777">
      <w:pPr>
        <w:ind w:firstLine="720"/>
        <w:rPr>
          <w:rFonts w:ascii="Verdana" w:hAnsi="Verdana" w:cs="Arial"/>
          <w:sz w:val="18"/>
          <w:szCs w:val="18"/>
          <w:lang w:val="nl-NL"/>
        </w:rPr>
      </w:pPr>
      <w:r w:rsidRPr="005C1870">
        <w:rPr>
          <w:rFonts w:ascii="Verdana" w:hAnsi="Verdana" w:cs="Arial"/>
          <w:sz w:val="18"/>
          <w:szCs w:val="18"/>
          <w:lang w:val="nl-NL"/>
        </w:rPr>
        <w:lastRenderedPageBreak/>
        <w:t xml:space="preserve">Het eerste lid bevat </w:t>
      </w:r>
      <w:r w:rsidRPr="005C1870" w:rsidR="00D1524A">
        <w:rPr>
          <w:rFonts w:ascii="Verdana" w:hAnsi="Verdana" w:cs="Arial"/>
          <w:sz w:val="18"/>
          <w:szCs w:val="18"/>
          <w:lang w:val="nl-NL"/>
        </w:rPr>
        <w:t xml:space="preserve">het principe dat een </w:t>
      </w:r>
      <w:r w:rsidR="0021450B">
        <w:rPr>
          <w:rFonts w:ascii="Verdana" w:hAnsi="Verdana" w:cs="Arial"/>
          <w:sz w:val="18"/>
          <w:szCs w:val="18"/>
          <w:lang w:val="nl-NL"/>
        </w:rPr>
        <w:t>verdragsluitende staat</w:t>
      </w:r>
      <w:r w:rsidRPr="005C1870" w:rsidR="00D1524A">
        <w:rPr>
          <w:rFonts w:ascii="Verdana" w:hAnsi="Verdana" w:cs="Arial"/>
          <w:sz w:val="18"/>
          <w:szCs w:val="18"/>
          <w:lang w:val="nl-NL"/>
        </w:rPr>
        <w:t xml:space="preserve"> verplicht is de andere </w:t>
      </w:r>
      <w:r w:rsidR="0021450B">
        <w:rPr>
          <w:rFonts w:ascii="Verdana" w:hAnsi="Verdana" w:cs="Arial"/>
          <w:sz w:val="18"/>
          <w:szCs w:val="18"/>
          <w:lang w:val="nl-NL"/>
        </w:rPr>
        <w:t>verdragsluitende staat</w:t>
      </w:r>
      <w:r w:rsidRPr="005C1870" w:rsidR="00154477">
        <w:rPr>
          <w:rFonts w:ascii="Verdana" w:hAnsi="Verdana" w:cs="Arial"/>
          <w:sz w:val="18"/>
          <w:szCs w:val="18"/>
          <w:lang w:val="nl-NL"/>
        </w:rPr>
        <w:t xml:space="preserve"> bij te staan bij </w:t>
      </w:r>
      <w:r w:rsidRPr="005C1870" w:rsidR="00D1524A">
        <w:rPr>
          <w:rFonts w:ascii="Verdana" w:hAnsi="Verdana" w:cs="Arial"/>
          <w:sz w:val="18"/>
          <w:szCs w:val="18"/>
          <w:lang w:val="nl-NL"/>
        </w:rPr>
        <w:t xml:space="preserve">invordering. </w:t>
      </w:r>
      <w:r w:rsidRPr="005C1870" w:rsidR="006D62AA">
        <w:rPr>
          <w:rFonts w:ascii="Verdana" w:hAnsi="Verdana" w:cs="Arial"/>
          <w:sz w:val="18"/>
          <w:szCs w:val="18"/>
          <w:lang w:val="nl-NL"/>
        </w:rPr>
        <w:t xml:space="preserve">Net als het geval is bij de uitwisseling van informatie, is de bijstand bij invordering niet beperkt tot </w:t>
      </w:r>
      <w:r w:rsidRPr="005C1870" w:rsidR="00F311AB">
        <w:rPr>
          <w:rFonts w:ascii="Verdana" w:hAnsi="Verdana" w:cs="Arial"/>
          <w:sz w:val="18"/>
          <w:szCs w:val="18"/>
          <w:lang w:val="nl-NL"/>
        </w:rPr>
        <w:t xml:space="preserve">belastingschulden van </w:t>
      </w:r>
      <w:r w:rsidRPr="005C1870" w:rsidR="006D62AA">
        <w:rPr>
          <w:rFonts w:ascii="Verdana" w:hAnsi="Verdana" w:cs="Arial"/>
          <w:sz w:val="18"/>
          <w:szCs w:val="18"/>
          <w:lang w:val="nl-NL"/>
        </w:rPr>
        <w:t>in</w:t>
      </w:r>
      <w:r w:rsidRPr="005C1870" w:rsidR="00D409DF">
        <w:rPr>
          <w:rFonts w:ascii="Verdana" w:hAnsi="Verdana" w:cs="Arial"/>
          <w:sz w:val="18"/>
          <w:szCs w:val="18"/>
          <w:lang w:val="nl-NL"/>
        </w:rPr>
        <w:t xml:space="preserve">woners van de </w:t>
      </w:r>
      <w:r w:rsidR="0021450B">
        <w:rPr>
          <w:rFonts w:ascii="Verdana" w:hAnsi="Verdana" w:cs="Arial"/>
          <w:sz w:val="18"/>
          <w:szCs w:val="18"/>
          <w:lang w:val="nl-NL"/>
        </w:rPr>
        <w:t>verdragsluitende staten</w:t>
      </w:r>
      <w:r w:rsidRPr="005C1870" w:rsidR="008C113B">
        <w:rPr>
          <w:rFonts w:ascii="Verdana" w:hAnsi="Verdana" w:cs="Arial"/>
          <w:sz w:val="18"/>
          <w:szCs w:val="18"/>
          <w:lang w:val="nl-NL"/>
        </w:rPr>
        <w:t xml:space="preserve"> </w:t>
      </w:r>
      <w:r w:rsidRPr="005C1870" w:rsidR="006D62AA">
        <w:rPr>
          <w:rFonts w:ascii="Verdana" w:hAnsi="Verdana" w:cs="Arial"/>
          <w:sz w:val="18"/>
          <w:szCs w:val="18"/>
          <w:lang w:val="nl-NL"/>
        </w:rPr>
        <w:t>en evenmin tot de belastingen waarop het Verdrag van toepassing is.</w:t>
      </w:r>
      <w:r w:rsidR="001F715A">
        <w:rPr>
          <w:rFonts w:ascii="Verdana" w:hAnsi="Verdana" w:cs="Arial"/>
          <w:sz w:val="18"/>
          <w:szCs w:val="18"/>
          <w:lang w:val="nl-NL"/>
        </w:rPr>
        <w:t xml:space="preserve"> Ook is de bijstand in beginsel niet beperkt wat betreft de hoogte van de belastingschuld.</w:t>
      </w:r>
      <w:r w:rsidRPr="005C1870" w:rsidR="00516C6A">
        <w:rPr>
          <w:rFonts w:ascii="Verdana" w:hAnsi="Verdana" w:cs="Arial"/>
          <w:sz w:val="18"/>
          <w:szCs w:val="18"/>
          <w:lang w:val="nl-NL"/>
        </w:rPr>
        <w:t xml:space="preserve"> </w:t>
      </w:r>
      <w:r w:rsidRPr="005C1870" w:rsidR="002B7B33">
        <w:rPr>
          <w:rFonts w:ascii="Verdana" w:hAnsi="Verdana" w:cs="Arial"/>
          <w:sz w:val="18"/>
          <w:szCs w:val="18"/>
          <w:lang w:val="nl-NL"/>
        </w:rPr>
        <w:t xml:space="preserve">In afwijking </w:t>
      </w:r>
      <w:r w:rsidR="001F715A">
        <w:rPr>
          <w:rFonts w:ascii="Verdana" w:hAnsi="Verdana" w:cs="Arial"/>
          <w:sz w:val="18"/>
          <w:szCs w:val="18"/>
          <w:lang w:val="nl-NL"/>
        </w:rPr>
        <w:t xml:space="preserve">namelijk </w:t>
      </w:r>
      <w:r w:rsidRPr="005C1870" w:rsidR="002B7B33">
        <w:rPr>
          <w:rFonts w:ascii="Verdana" w:hAnsi="Verdana" w:cs="Arial"/>
          <w:sz w:val="18"/>
          <w:szCs w:val="18"/>
          <w:lang w:val="nl-NL"/>
        </w:rPr>
        <w:t xml:space="preserve">van onderdeel 2.16.2 van de NFV 2011 is geen doelmatigheidsgrens opgenomen. </w:t>
      </w:r>
      <w:r w:rsidR="001F715A">
        <w:rPr>
          <w:rFonts w:ascii="Verdana" w:hAnsi="Verdana" w:cs="Arial"/>
          <w:sz w:val="18"/>
          <w:szCs w:val="18"/>
          <w:lang w:val="nl-NL"/>
        </w:rPr>
        <w:t xml:space="preserve">Dit is juist van belang voor de bijstand bij relatief geringe </w:t>
      </w:r>
      <w:r w:rsidRPr="005C1870" w:rsidR="001F715A">
        <w:rPr>
          <w:rFonts w:ascii="Verdana" w:hAnsi="Verdana" w:cs="Arial"/>
          <w:sz w:val="18"/>
          <w:szCs w:val="18"/>
          <w:lang w:val="nl-NL"/>
        </w:rPr>
        <w:t xml:space="preserve">terugvorderingen van belastingen of </w:t>
      </w:r>
      <w:r w:rsidR="001F715A">
        <w:rPr>
          <w:rFonts w:ascii="Verdana" w:hAnsi="Verdana" w:cs="Arial"/>
          <w:sz w:val="18"/>
          <w:szCs w:val="18"/>
          <w:lang w:val="nl-NL"/>
        </w:rPr>
        <w:t>toeslagen</w:t>
      </w:r>
      <w:r w:rsidR="001F715A">
        <w:rPr>
          <w:rStyle w:val="Voetnootmarkering"/>
          <w:rFonts w:ascii="Verdana" w:hAnsi="Verdana" w:cs="Arial"/>
          <w:sz w:val="18"/>
          <w:szCs w:val="18"/>
          <w:lang w:val="nl-NL"/>
        </w:rPr>
        <w:footnoteReference w:id="23"/>
      </w:r>
      <w:r w:rsidRPr="005C1870" w:rsidR="001F715A">
        <w:rPr>
          <w:rFonts w:ascii="Verdana" w:hAnsi="Verdana" w:cs="Arial"/>
          <w:sz w:val="18"/>
          <w:szCs w:val="18"/>
          <w:lang w:val="nl-NL"/>
        </w:rPr>
        <w:t>.</w:t>
      </w:r>
    </w:p>
    <w:p w:rsidR="001F715A" w:rsidP="00A75973" w:rsidRDefault="00BB106C" w14:paraId="78D062EB" w14:textId="77777777">
      <w:pPr>
        <w:ind w:firstLine="720"/>
        <w:rPr>
          <w:rFonts w:ascii="Verdana" w:hAnsi="Verdana" w:cs="Arial"/>
          <w:sz w:val="18"/>
          <w:szCs w:val="18"/>
          <w:lang w:val="nl-NL"/>
        </w:rPr>
      </w:pPr>
      <w:r w:rsidRPr="005C1870">
        <w:rPr>
          <w:rFonts w:ascii="Verdana" w:hAnsi="Verdana" w:cs="Arial"/>
          <w:sz w:val="18"/>
          <w:szCs w:val="18"/>
          <w:lang w:val="nl-NL"/>
        </w:rPr>
        <w:t xml:space="preserve">Het tweede lid bepaalt wat </w:t>
      </w:r>
      <w:r w:rsidRPr="005C1870" w:rsidR="004528ED">
        <w:rPr>
          <w:rFonts w:ascii="Verdana" w:hAnsi="Verdana" w:cs="Arial"/>
          <w:sz w:val="18"/>
          <w:szCs w:val="18"/>
          <w:lang w:val="nl-NL"/>
        </w:rPr>
        <w:t xml:space="preserve">voor de toepassing van dit artikel wordt </w:t>
      </w:r>
      <w:r w:rsidRPr="005C1870">
        <w:rPr>
          <w:rFonts w:ascii="Verdana" w:hAnsi="Verdana" w:cs="Arial"/>
          <w:sz w:val="18"/>
          <w:szCs w:val="18"/>
          <w:lang w:val="nl-NL"/>
        </w:rPr>
        <w:t xml:space="preserve">verstaan onder een ‘belastingvordering’. </w:t>
      </w:r>
      <w:r w:rsidRPr="005C1870" w:rsidR="00A75973">
        <w:rPr>
          <w:rFonts w:ascii="Verdana" w:hAnsi="Verdana" w:cs="Arial"/>
          <w:sz w:val="18"/>
          <w:szCs w:val="18"/>
          <w:lang w:val="nl-NL"/>
        </w:rPr>
        <w:t>Dit begrip kan betrekking hebben op</w:t>
      </w:r>
      <w:r w:rsidR="002530E7">
        <w:rPr>
          <w:rFonts w:ascii="Verdana" w:hAnsi="Verdana" w:cs="Arial"/>
          <w:sz w:val="18"/>
          <w:szCs w:val="18"/>
          <w:lang w:val="nl-NL"/>
        </w:rPr>
        <w:t xml:space="preserve"> vorderingen met betrekking tot</w:t>
      </w:r>
      <w:r w:rsidRPr="005C1870" w:rsidR="00A75973">
        <w:rPr>
          <w:rFonts w:ascii="Verdana" w:hAnsi="Verdana" w:cs="Arial"/>
          <w:sz w:val="18"/>
          <w:szCs w:val="18"/>
          <w:lang w:val="nl-NL"/>
        </w:rPr>
        <w:t xml:space="preserve"> belastingen van elke soort of omschrijving die </w:t>
      </w:r>
      <w:r w:rsidR="002530E7">
        <w:rPr>
          <w:rFonts w:ascii="Verdana" w:hAnsi="Verdana" w:cs="Arial"/>
          <w:sz w:val="18"/>
          <w:szCs w:val="18"/>
          <w:lang w:val="nl-NL"/>
        </w:rPr>
        <w:t>zijn</w:t>
      </w:r>
      <w:r w:rsidRPr="005C1870" w:rsidR="002530E7">
        <w:rPr>
          <w:rFonts w:ascii="Verdana" w:hAnsi="Verdana" w:cs="Arial"/>
          <w:sz w:val="18"/>
          <w:szCs w:val="18"/>
          <w:lang w:val="nl-NL"/>
        </w:rPr>
        <w:t xml:space="preserve"> </w:t>
      </w:r>
      <w:r w:rsidRPr="005C1870" w:rsidR="00A75973">
        <w:rPr>
          <w:rFonts w:ascii="Verdana" w:hAnsi="Verdana" w:cs="Arial"/>
          <w:sz w:val="18"/>
          <w:szCs w:val="18"/>
          <w:lang w:val="nl-NL"/>
        </w:rPr>
        <w:t xml:space="preserve">opgelegd door een </w:t>
      </w:r>
      <w:r w:rsidR="0021450B">
        <w:rPr>
          <w:rFonts w:ascii="Verdana" w:hAnsi="Verdana" w:cs="Arial"/>
          <w:sz w:val="18"/>
          <w:szCs w:val="18"/>
          <w:lang w:val="nl-NL"/>
        </w:rPr>
        <w:t>verdragsluitende staat</w:t>
      </w:r>
      <w:r w:rsidRPr="005C1870" w:rsidR="00A75973">
        <w:rPr>
          <w:rFonts w:ascii="Verdana" w:hAnsi="Verdana" w:cs="Arial"/>
          <w:sz w:val="18"/>
          <w:szCs w:val="18"/>
          <w:lang w:val="nl-NL"/>
        </w:rPr>
        <w:t>, of zijn staatkundige onderdelen of plaatselijke publiekrechtelijke lichamen, mits de belasting</w:t>
      </w:r>
      <w:r w:rsidR="002530E7">
        <w:rPr>
          <w:rFonts w:ascii="Verdana" w:hAnsi="Verdana" w:cs="Arial"/>
          <w:sz w:val="18"/>
          <w:szCs w:val="18"/>
          <w:lang w:val="nl-NL"/>
        </w:rPr>
        <w:t>heffing</w:t>
      </w:r>
      <w:r w:rsidRPr="005C1870" w:rsidR="00A75973">
        <w:rPr>
          <w:rFonts w:ascii="Verdana" w:hAnsi="Verdana" w:cs="Arial"/>
          <w:sz w:val="18"/>
          <w:szCs w:val="18"/>
          <w:lang w:val="nl-NL"/>
        </w:rPr>
        <w:t xml:space="preserve"> niet in strijd is met het Verdrag of een ander instrument waarbij de </w:t>
      </w:r>
      <w:r w:rsidR="0021450B">
        <w:rPr>
          <w:rFonts w:ascii="Verdana" w:hAnsi="Verdana" w:cs="Arial"/>
          <w:sz w:val="18"/>
          <w:szCs w:val="18"/>
          <w:lang w:val="nl-NL"/>
        </w:rPr>
        <w:t>verdragsluitende staat</w:t>
      </w:r>
      <w:r w:rsidRPr="005C1870" w:rsidR="00A75973">
        <w:rPr>
          <w:rFonts w:ascii="Verdana" w:hAnsi="Verdana" w:cs="Arial"/>
          <w:sz w:val="18"/>
          <w:szCs w:val="18"/>
          <w:lang w:val="nl-NL"/>
        </w:rPr>
        <w:t xml:space="preserve"> partij is. Het begrip</w:t>
      </w:r>
      <w:r w:rsidR="001F715A">
        <w:rPr>
          <w:rFonts w:ascii="Verdana" w:hAnsi="Verdana" w:cs="Arial"/>
          <w:sz w:val="18"/>
          <w:szCs w:val="18"/>
          <w:lang w:val="nl-NL"/>
        </w:rPr>
        <w:t xml:space="preserve"> ‘belastingvordering’</w:t>
      </w:r>
      <w:r w:rsidRPr="005C1870" w:rsidR="00A75973">
        <w:rPr>
          <w:rFonts w:ascii="Verdana" w:hAnsi="Verdana" w:cs="Arial"/>
          <w:sz w:val="18"/>
          <w:szCs w:val="18"/>
          <w:lang w:val="nl-NL"/>
        </w:rPr>
        <w:t xml:space="preserve"> is niet beperkt tot de belastingen genoemd in artikel 2 van het Verdrag, zoals volgt uit het eerste lid. </w:t>
      </w:r>
      <w:r w:rsidR="001F715A">
        <w:rPr>
          <w:rFonts w:ascii="Verdana" w:hAnsi="Verdana" w:cs="Arial"/>
          <w:sz w:val="18"/>
          <w:szCs w:val="18"/>
          <w:lang w:val="nl-NL"/>
        </w:rPr>
        <w:t>Verder heeft het begrip</w:t>
      </w:r>
      <w:r w:rsidRPr="005C1870" w:rsidR="00A75973">
        <w:rPr>
          <w:rFonts w:ascii="Verdana" w:hAnsi="Verdana" w:cs="Arial"/>
          <w:sz w:val="18"/>
          <w:szCs w:val="18"/>
          <w:lang w:val="nl-NL"/>
        </w:rPr>
        <w:t xml:space="preserve"> betrekking op </w:t>
      </w:r>
      <w:r w:rsidRPr="005C1870" w:rsidR="00D1524A">
        <w:rPr>
          <w:rFonts w:ascii="Verdana" w:hAnsi="Verdana" w:cs="Arial"/>
          <w:sz w:val="18"/>
          <w:szCs w:val="18"/>
          <w:lang w:val="nl-NL"/>
        </w:rPr>
        <w:t>rente, bestuurlijke boetes en kosten voor de invordering met betrekking tot de belasting</w:t>
      </w:r>
      <w:r w:rsidRPr="005C1870" w:rsidR="00154477">
        <w:rPr>
          <w:rFonts w:ascii="Verdana" w:hAnsi="Verdana" w:cs="Arial"/>
          <w:sz w:val="18"/>
          <w:szCs w:val="18"/>
          <w:lang w:val="nl-NL"/>
        </w:rPr>
        <w:t xml:space="preserve">en waarop de invordering ziet. </w:t>
      </w:r>
    </w:p>
    <w:p w:rsidRPr="00556990" w:rsidR="00A75973" w:rsidP="00A75973" w:rsidRDefault="00A75973" w14:paraId="6D6FB878" w14:textId="35AF8489">
      <w:pPr>
        <w:ind w:firstLine="720"/>
        <w:rPr>
          <w:rFonts w:ascii="Verdana" w:hAnsi="Verdana" w:cs="Arial"/>
          <w:sz w:val="18"/>
          <w:szCs w:val="18"/>
          <w:lang w:val="nl-NL"/>
        </w:rPr>
      </w:pPr>
      <w:r w:rsidRPr="005C1870">
        <w:rPr>
          <w:rFonts w:ascii="Verdana" w:hAnsi="Verdana"/>
          <w:sz w:val="18"/>
          <w:szCs w:val="18"/>
          <w:lang w:val="nl-NL"/>
        </w:rPr>
        <w:t>De bepaling over de bijstand bij invordering heeft ook betrekking op belasting</w:t>
      </w:r>
      <w:r w:rsidRPr="005C1870" w:rsidR="002F1C9B">
        <w:rPr>
          <w:rFonts w:ascii="Verdana" w:hAnsi="Verdana"/>
          <w:sz w:val="18"/>
          <w:szCs w:val="18"/>
          <w:lang w:val="nl-NL"/>
        </w:rPr>
        <w:t>vorderingen of vorderingen met betrekking tot toeslagen die</w:t>
      </w:r>
      <w:r w:rsidRPr="005C1870">
        <w:rPr>
          <w:rFonts w:ascii="Verdana" w:hAnsi="Verdana"/>
          <w:sz w:val="18"/>
          <w:szCs w:val="18"/>
          <w:lang w:val="nl-NL"/>
        </w:rPr>
        <w:t xml:space="preserve"> al bestaa</w:t>
      </w:r>
      <w:r w:rsidR="00F46ED0">
        <w:rPr>
          <w:rFonts w:ascii="Verdana" w:hAnsi="Verdana"/>
          <w:sz w:val="18"/>
          <w:szCs w:val="18"/>
          <w:lang w:val="nl-NL"/>
        </w:rPr>
        <w:t>n</w:t>
      </w:r>
      <w:r w:rsidRPr="005C1870">
        <w:rPr>
          <w:rFonts w:ascii="Verdana" w:hAnsi="Verdana"/>
          <w:sz w:val="18"/>
          <w:szCs w:val="18"/>
          <w:lang w:val="nl-NL"/>
        </w:rPr>
        <w:t xml:space="preserve"> voor de in</w:t>
      </w:r>
      <w:r w:rsidRPr="005C1870" w:rsidR="002F1C9B">
        <w:rPr>
          <w:rFonts w:ascii="Verdana" w:hAnsi="Verdana"/>
          <w:sz w:val="18"/>
          <w:szCs w:val="18"/>
          <w:lang w:val="nl-NL"/>
        </w:rPr>
        <w:t xml:space="preserve">werkingtreding van dit Verdrag. Voorwaarde is wel dat de bijstand wordt verleend </w:t>
      </w:r>
      <w:r w:rsidRPr="005C1870">
        <w:rPr>
          <w:rFonts w:ascii="Verdana" w:hAnsi="Verdana"/>
          <w:sz w:val="18"/>
          <w:szCs w:val="18"/>
          <w:lang w:val="nl-NL"/>
        </w:rPr>
        <w:t xml:space="preserve">nadat de bepaling van toepassing wordt. Hierbij </w:t>
      </w:r>
      <w:r w:rsidRPr="005C1870" w:rsidR="00154477">
        <w:rPr>
          <w:rFonts w:ascii="Verdana" w:hAnsi="Verdana"/>
          <w:sz w:val="18"/>
          <w:szCs w:val="18"/>
          <w:lang w:val="nl-NL"/>
        </w:rPr>
        <w:t>wordt</w:t>
      </w:r>
      <w:r w:rsidRPr="005C1870" w:rsidR="002F1C9B">
        <w:rPr>
          <w:rFonts w:ascii="Verdana" w:hAnsi="Verdana"/>
          <w:sz w:val="18"/>
          <w:szCs w:val="18"/>
          <w:lang w:val="nl-NL"/>
        </w:rPr>
        <w:t xml:space="preserve"> gewezen op paragraaf 14 </w:t>
      </w:r>
      <w:r w:rsidRPr="005C1870">
        <w:rPr>
          <w:rFonts w:ascii="Verdana" w:hAnsi="Verdana"/>
          <w:sz w:val="18"/>
          <w:szCs w:val="18"/>
          <w:lang w:val="nl-NL"/>
        </w:rPr>
        <w:t>van h</w:t>
      </w:r>
      <w:r w:rsidRPr="005C1870" w:rsidR="002F1C9B">
        <w:rPr>
          <w:rFonts w:ascii="Verdana" w:hAnsi="Verdana"/>
          <w:sz w:val="18"/>
          <w:szCs w:val="18"/>
          <w:lang w:val="nl-NL"/>
        </w:rPr>
        <w:t>et commentaar op artikel 27</w:t>
      </w:r>
      <w:r w:rsidRPr="005C1870">
        <w:rPr>
          <w:rFonts w:ascii="Verdana" w:hAnsi="Verdana"/>
          <w:sz w:val="18"/>
          <w:szCs w:val="18"/>
          <w:lang w:val="nl-NL"/>
        </w:rPr>
        <w:t xml:space="preserve"> van het OESO-modelverdrag.</w:t>
      </w:r>
    </w:p>
    <w:p w:rsidRPr="00F578EC" w:rsidR="002F1C9B" w:rsidP="00CD077B" w:rsidRDefault="002F1C9B" w14:paraId="7204D165" w14:textId="77777777">
      <w:pPr>
        <w:rPr>
          <w:rFonts w:ascii="Verdana" w:hAnsi="Verdana" w:cs="Arial"/>
          <w:sz w:val="18"/>
          <w:szCs w:val="18"/>
          <w:lang w:val="nl-NL"/>
        </w:rPr>
      </w:pPr>
      <w:r w:rsidRPr="00556990">
        <w:rPr>
          <w:rFonts w:ascii="Verdana" w:hAnsi="Verdana" w:cs="Arial"/>
          <w:sz w:val="18"/>
          <w:szCs w:val="18"/>
          <w:lang w:val="nl-NL"/>
        </w:rPr>
        <w:t xml:space="preserve">Het derde lid </w:t>
      </w:r>
      <w:r w:rsidR="00F82464">
        <w:rPr>
          <w:rFonts w:ascii="Verdana" w:hAnsi="Verdana" w:cs="Arial"/>
          <w:sz w:val="18"/>
          <w:szCs w:val="18"/>
          <w:lang w:val="nl-NL"/>
        </w:rPr>
        <w:t>beschrijft</w:t>
      </w:r>
      <w:r w:rsidRPr="00556990">
        <w:rPr>
          <w:rFonts w:ascii="Verdana" w:hAnsi="Verdana" w:cs="Arial"/>
          <w:sz w:val="18"/>
          <w:szCs w:val="18"/>
          <w:lang w:val="nl-NL"/>
        </w:rPr>
        <w:t xml:space="preserve"> de voorwaarden waaronder een verzoek </w:t>
      </w:r>
      <w:r w:rsidR="00F82464">
        <w:rPr>
          <w:rFonts w:ascii="Verdana" w:hAnsi="Verdana" w:cs="Arial"/>
          <w:sz w:val="18"/>
          <w:szCs w:val="18"/>
          <w:lang w:val="nl-NL"/>
        </w:rPr>
        <w:t>tot</w:t>
      </w:r>
      <w:r w:rsidRPr="00556990" w:rsidR="00F82464">
        <w:rPr>
          <w:rFonts w:ascii="Verdana" w:hAnsi="Verdana" w:cs="Arial"/>
          <w:sz w:val="18"/>
          <w:szCs w:val="18"/>
          <w:lang w:val="nl-NL"/>
        </w:rPr>
        <w:t xml:space="preserve"> </w:t>
      </w:r>
      <w:r w:rsidRPr="00556990">
        <w:rPr>
          <w:rFonts w:ascii="Verdana" w:hAnsi="Verdana" w:cs="Arial"/>
          <w:sz w:val="18"/>
          <w:szCs w:val="18"/>
          <w:lang w:val="nl-NL"/>
        </w:rPr>
        <w:t>bijs</w:t>
      </w:r>
      <w:r w:rsidRPr="001C6327">
        <w:rPr>
          <w:rFonts w:ascii="Verdana" w:hAnsi="Verdana" w:cs="Arial"/>
          <w:sz w:val="18"/>
          <w:szCs w:val="18"/>
          <w:lang w:val="nl-NL"/>
        </w:rPr>
        <w:t>tand bij invordering dient te worden verleen</w:t>
      </w:r>
      <w:r w:rsidR="00B2631E">
        <w:rPr>
          <w:rFonts w:ascii="Verdana" w:hAnsi="Verdana" w:cs="Arial"/>
          <w:sz w:val="18"/>
          <w:szCs w:val="18"/>
          <w:lang w:val="nl-NL"/>
        </w:rPr>
        <w:t>d</w:t>
      </w:r>
      <w:r w:rsidR="00F82464">
        <w:rPr>
          <w:rFonts w:ascii="Verdana" w:hAnsi="Verdana" w:cs="Arial"/>
          <w:sz w:val="18"/>
          <w:szCs w:val="18"/>
          <w:lang w:val="nl-NL"/>
        </w:rPr>
        <w:t>; d</w:t>
      </w:r>
      <w:r w:rsidRPr="001C6327">
        <w:rPr>
          <w:rFonts w:ascii="Verdana" w:hAnsi="Verdana" w:cs="Arial"/>
          <w:sz w:val="18"/>
          <w:szCs w:val="18"/>
          <w:lang w:val="nl-NL"/>
        </w:rPr>
        <w:t xml:space="preserve">e belastingvordering dient invorderbaar te zijn in de verzoekende </w:t>
      </w:r>
      <w:r w:rsidR="003103E7">
        <w:rPr>
          <w:rFonts w:ascii="Verdana" w:hAnsi="Verdana" w:cs="Arial"/>
          <w:sz w:val="18"/>
          <w:szCs w:val="18"/>
          <w:lang w:val="nl-NL"/>
        </w:rPr>
        <w:t>staat</w:t>
      </w:r>
      <w:r w:rsidRPr="001C6327">
        <w:rPr>
          <w:rFonts w:ascii="Verdana" w:hAnsi="Verdana" w:cs="Arial"/>
          <w:sz w:val="18"/>
          <w:szCs w:val="18"/>
          <w:lang w:val="nl-NL"/>
        </w:rPr>
        <w:t xml:space="preserve"> en dient verschuldigd te zijn door een persoon die dit op dat moment, onder het recht van de verzoekende </w:t>
      </w:r>
      <w:r w:rsidR="003103E7">
        <w:rPr>
          <w:rFonts w:ascii="Verdana" w:hAnsi="Verdana" w:cs="Arial"/>
          <w:sz w:val="18"/>
          <w:szCs w:val="18"/>
          <w:lang w:val="nl-NL"/>
        </w:rPr>
        <w:t>staat</w:t>
      </w:r>
      <w:r w:rsidRPr="001C6327">
        <w:rPr>
          <w:rFonts w:ascii="Verdana" w:hAnsi="Verdana" w:cs="Arial"/>
          <w:sz w:val="18"/>
          <w:szCs w:val="18"/>
          <w:lang w:val="nl-NL"/>
        </w:rPr>
        <w:t>, niet (juridisch) kan ver</w:t>
      </w:r>
      <w:r w:rsidRPr="00F578EC">
        <w:rPr>
          <w:rFonts w:ascii="Verdana" w:hAnsi="Verdana" w:cs="Arial"/>
          <w:sz w:val="18"/>
          <w:szCs w:val="18"/>
          <w:lang w:val="nl-NL"/>
        </w:rPr>
        <w:t xml:space="preserve">hinderen. </w:t>
      </w:r>
    </w:p>
    <w:p w:rsidRPr="005C1870" w:rsidR="002F44C6" w:rsidP="00CD077B" w:rsidRDefault="002F1C9B" w14:paraId="3DE20EFF" w14:textId="77777777">
      <w:pPr>
        <w:rPr>
          <w:rFonts w:ascii="Verdana" w:hAnsi="Verdana" w:cs="Arial"/>
          <w:sz w:val="18"/>
          <w:szCs w:val="18"/>
          <w:lang w:val="nl-NL"/>
        </w:rPr>
      </w:pPr>
      <w:r w:rsidRPr="00BC6175">
        <w:rPr>
          <w:rFonts w:ascii="Verdana" w:hAnsi="Verdana" w:cs="Arial"/>
          <w:sz w:val="18"/>
          <w:szCs w:val="18"/>
          <w:lang w:val="nl-NL"/>
        </w:rPr>
        <w:t>Het vierde lid bevat regels om de belastingvordering te waarborgen.</w:t>
      </w:r>
      <w:r w:rsidRPr="00BC6175" w:rsidR="002F44C6">
        <w:rPr>
          <w:rFonts w:ascii="Verdana" w:hAnsi="Verdana" w:cs="Arial"/>
          <w:sz w:val="18"/>
          <w:szCs w:val="18"/>
          <w:lang w:val="nl-NL"/>
        </w:rPr>
        <w:t xml:space="preserve"> Het lid bepaalt dat een verzoek tot het nemen van conservatoire maatregelen van de bevoegde autoriteit van een </w:t>
      </w:r>
      <w:r w:rsidR="0021450B">
        <w:rPr>
          <w:rFonts w:ascii="Verdana" w:hAnsi="Verdana" w:cs="Arial"/>
          <w:sz w:val="18"/>
          <w:szCs w:val="18"/>
          <w:lang w:val="nl-NL"/>
        </w:rPr>
        <w:t>verdragsluitende staat</w:t>
      </w:r>
      <w:r w:rsidR="00F82464">
        <w:rPr>
          <w:rFonts w:ascii="Verdana" w:hAnsi="Verdana" w:cs="Arial"/>
          <w:sz w:val="18"/>
          <w:szCs w:val="18"/>
          <w:lang w:val="nl-NL"/>
        </w:rPr>
        <w:t>,</w:t>
      </w:r>
      <w:r w:rsidRPr="005C1870" w:rsidR="002F44C6">
        <w:rPr>
          <w:rFonts w:ascii="Verdana" w:hAnsi="Verdana" w:cs="Arial"/>
          <w:sz w:val="18"/>
          <w:szCs w:val="18"/>
          <w:lang w:val="nl-NL"/>
        </w:rPr>
        <w:t xml:space="preserve"> die volgens zijn eigen recht conservatoire maatregelen mag nemen ter behoud van de belastingclaim, door de bevoegde autoriteit van de andere </w:t>
      </w:r>
      <w:r w:rsidR="0021450B">
        <w:rPr>
          <w:rFonts w:ascii="Verdana" w:hAnsi="Verdana" w:cs="Arial"/>
          <w:sz w:val="18"/>
          <w:szCs w:val="18"/>
          <w:lang w:val="nl-NL"/>
        </w:rPr>
        <w:t>verdragsluitende staat</w:t>
      </w:r>
      <w:r w:rsidRPr="005C1870" w:rsidR="002F44C6">
        <w:rPr>
          <w:rFonts w:ascii="Verdana" w:hAnsi="Verdana" w:cs="Arial"/>
          <w:sz w:val="18"/>
          <w:szCs w:val="18"/>
          <w:lang w:val="nl-NL"/>
        </w:rPr>
        <w:t xml:space="preserve"> wordt geaccepteerd. Deze </w:t>
      </w:r>
      <w:r w:rsidR="003103E7">
        <w:rPr>
          <w:rFonts w:ascii="Verdana" w:hAnsi="Verdana" w:cs="Arial"/>
          <w:sz w:val="18"/>
          <w:szCs w:val="18"/>
          <w:lang w:val="nl-NL"/>
        </w:rPr>
        <w:t>staat</w:t>
      </w:r>
      <w:r w:rsidRPr="005C1870" w:rsidR="002F44C6">
        <w:rPr>
          <w:rFonts w:ascii="Verdana" w:hAnsi="Verdana" w:cs="Arial"/>
          <w:sz w:val="18"/>
          <w:szCs w:val="18"/>
          <w:lang w:val="nl-NL"/>
        </w:rPr>
        <w:t xml:space="preserve"> neemt vervolgens conservatoire maatregelen overeenkomstig de bepalingen van zijn eigen wetgeving. Dit geldt zelfs als de belastingclaim (nog) niet invorderbaar is. </w:t>
      </w:r>
    </w:p>
    <w:p w:rsidRPr="005C1870" w:rsidR="00E05E9D" w:rsidP="00CD077B" w:rsidRDefault="002F44C6" w14:paraId="2466177E" w14:textId="77777777">
      <w:pPr>
        <w:rPr>
          <w:rFonts w:ascii="Verdana" w:hAnsi="Verdana" w:cs="Arial"/>
          <w:sz w:val="18"/>
          <w:szCs w:val="18"/>
          <w:lang w:val="nl-NL"/>
        </w:rPr>
      </w:pPr>
      <w:r w:rsidRPr="005C1870">
        <w:rPr>
          <w:rFonts w:ascii="Verdana" w:hAnsi="Verdana" w:cs="Arial"/>
          <w:sz w:val="18"/>
          <w:szCs w:val="18"/>
          <w:lang w:val="nl-NL"/>
        </w:rPr>
        <w:t xml:space="preserve">Het vijfde lid </w:t>
      </w:r>
      <w:r w:rsidRPr="005C1870" w:rsidR="00E05E9D">
        <w:rPr>
          <w:rFonts w:ascii="Verdana" w:hAnsi="Verdana" w:cs="Arial"/>
          <w:sz w:val="18"/>
          <w:szCs w:val="18"/>
          <w:lang w:val="nl-NL"/>
        </w:rPr>
        <w:t xml:space="preserve">bepaalt dat de tijdslimieten, zoals verjaringstermijnen, van de </w:t>
      </w:r>
      <w:r w:rsidR="0021450B">
        <w:rPr>
          <w:rFonts w:ascii="Verdana" w:hAnsi="Verdana" w:cs="Arial"/>
          <w:sz w:val="18"/>
          <w:szCs w:val="18"/>
          <w:lang w:val="nl-NL"/>
        </w:rPr>
        <w:t>verdragsluitende staat</w:t>
      </w:r>
      <w:r w:rsidRPr="005C1870" w:rsidR="00E05E9D">
        <w:rPr>
          <w:rFonts w:ascii="Verdana" w:hAnsi="Verdana" w:cs="Arial"/>
          <w:sz w:val="18"/>
          <w:szCs w:val="18"/>
          <w:lang w:val="nl-NL"/>
        </w:rPr>
        <w:t xml:space="preserve"> die een verzoek om bijstand bij invordering heeft geaccepteerd, niet gelden</w:t>
      </w:r>
      <w:r w:rsidR="00F82464">
        <w:rPr>
          <w:rFonts w:ascii="Verdana" w:hAnsi="Verdana" w:cs="Arial"/>
          <w:sz w:val="18"/>
          <w:szCs w:val="18"/>
          <w:lang w:val="nl-NL"/>
        </w:rPr>
        <w:t xml:space="preserve"> voor de betreffende belastingvordering</w:t>
      </w:r>
      <w:r w:rsidRPr="005C1870" w:rsidR="00E05E9D">
        <w:rPr>
          <w:rFonts w:ascii="Verdana" w:hAnsi="Verdana" w:cs="Arial"/>
          <w:sz w:val="18"/>
          <w:szCs w:val="18"/>
          <w:lang w:val="nl-NL"/>
        </w:rPr>
        <w:t xml:space="preserve">. Ook volgt uit het vijfde lid dat een </w:t>
      </w:r>
      <w:r w:rsidR="0021450B">
        <w:rPr>
          <w:rFonts w:ascii="Verdana" w:hAnsi="Verdana" w:cs="Arial"/>
          <w:sz w:val="18"/>
          <w:szCs w:val="18"/>
          <w:lang w:val="nl-NL"/>
        </w:rPr>
        <w:t>verdragsluitende staat</w:t>
      </w:r>
      <w:r w:rsidRPr="005C1870" w:rsidR="00E05E9D">
        <w:rPr>
          <w:rFonts w:ascii="Verdana" w:hAnsi="Verdana" w:cs="Arial"/>
          <w:sz w:val="18"/>
          <w:szCs w:val="18"/>
          <w:lang w:val="nl-NL"/>
        </w:rPr>
        <w:t xml:space="preserve"> aan de belastingvorderingen van de andere </w:t>
      </w:r>
      <w:r w:rsidR="0021450B">
        <w:rPr>
          <w:rFonts w:ascii="Verdana" w:hAnsi="Verdana" w:cs="Arial"/>
          <w:sz w:val="18"/>
          <w:szCs w:val="18"/>
          <w:lang w:val="nl-NL"/>
        </w:rPr>
        <w:t>verdragsluitende staat</w:t>
      </w:r>
      <w:r w:rsidRPr="005C1870" w:rsidR="00E05E9D">
        <w:rPr>
          <w:rFonts w:ascii="Verdana" w:hAnsi="Verdana" w:cs="Arial"/>
          <w:sz w:val="18"/>
          <w:szCs w:val="18"/>
          <w:lang w:val="nl-NL"/>
        </w:rPr>
        <w:t xml:space="preserve"> geen (lagere) prioritering mag geven ten opzichte van eigen belastingvorderingen.</w:t>
      </w:r>
    </w:p>
    <w:p w:rsidRPr="005C1870" w:rsidR="007606F5" w:rsidP="007606F5" w:rsidRDefault="00E05E9D" w14:paraId="7BA001DB" w14:textId="77777777">
      <w:pPr>
        <w:rPr>
          <w:rFonts w:ascii="Verdana" w:hAnsi="Verdana" w:cs="Arial"/>
          <w:sz w:val="18"/>
          <w:szCs w:val="18"/>
          <w:lang w:val="nl-NL"/>
        </w:rPr>
      </w:pPr>
      <w:r w:rsidRPr="005C1870">
        <w:rPr>
          <w:rFonts w:ascii="Verdana" w:hAnsi="Verdana" w:cs="Arial"/>
          <w:sz w:val="18"/>
          <w:szCs w:val="18"/>
          <w:lang w:val="nl-NL"/>
        </w:rPr>
        <w:t xml:space="preserve">Het zesde lid stelt zeker dat in de </w:t>
      </w:r>
      <w:r w:rsidR="0021450B">
        <w:rPr>
          <w:rFonts w:ascii="Verdana" w:hAnsi="Verdana" w:cs="Arial"/>
          <w:sz w:val="18"/>
          <w:szCs w:val="18"/>
          <w:lang w:val="nl-NL"/>
        </w:rPr>
        <w:t>verdragsluitende staat</w:t>
      </w:r>
      <w:r w:rsidRPr="005C1870">
        <w:rPr>
          <w:rFonts w:ascii="Verdana" w:hAnsi="Verdana" w:cs="Arial"/>
          <w:sz w:val="18"/>
          <w:szCs w:val="18"/>
          <w:lang w:val="nl-NL"/>
        </w:rPr>
        <w:t xml:space="preserve"> </w:t>
      </w:r>
      <w:r w:rsidRPr="005C1870" w:rsidR="00053BF2">
        <w:rPr>
          <w:rFonts w:ascii="Verdana" w:hAnsi="Verdana" w:cs="Arial"/>
          <w:sz w:val="18"/>
          <w:szCs w:val="18"/>
          <w:lang w:val="nl-NL"/>
        </w:rPr>
        <w:t>die een verzoek om bijstand bij invordering heeft ontvangen niet geprocedeerd kan worden over het bestaan of de hoogte van de belastingvordering.</w:t>
      </w:r>
      <w:r w:rsidRPr="005C1870" w:rsidR="00053BF2">
        <w:rPr>
          <w:rFonts w:ascii="Verdana" w:hAnsi="Verdana" w:cs="Arial"/>
          <w:sz w:val="18"/>
          <w:szCs w:val="18"/>
          <w:lang w:val="nl-NL"/>
        </w:rPr>
        <w:br/>
      </w:r>
      <w:r w:rsidRPr="005C1870" w:rsidR="00053BF2">
        <w:rPr>
          <w:rFonts w:ascii="Verdana" w:hAnsi="Verdana" w:cs="Arial"/>
          <w:sz w:val="18"/>
          <w:szCs w:val="18"/>
          <w:lang w:val="nl-NL"/>
        </w:rPr>
        <w:lastRenderedPageBreak/>
        <w:t xml:space="preserve"> </w:t>
      </w:r>
      <w:r w:rsidRPr="005C1870" w:rsidR="00053BF2">
        <w:rPr>
          <w:rFonts w:ascii="Verdana" w:hAnsi="Verdana" w:cs="Arial"/>
          <w:sz w:val="18"/>
          <w:szCs w:val="18"/>
          <w:lang w:val="nl-NL"/>
        </w:rPr>
        <w:tab/>
        <w:t xml:space="preserve">Het zevende lid bepaalt dat de </w:t>
      </w:r>
      <w:r w:rsidR="0021450B">
        <w:rPr>
          <w:rFonts w:ascii="Verdana" w:hAnsi="Verdana" w:cs="Arial"/>
          <w:sz w:val="18"/>
          <w:szCs w:val="18"/>
          <w:lang w:val="nl-NL"/>
        </w:rPr>
        <w:t>verdragsluitende staat</w:t>
      </w:r>
      <w:r w:rsidRPr="005C1870" w:rsidR="00053BF2">
        <w:rPr>
          <w:rFonts w:ascii="Verdana" w:hAnsi="Verdana" w:cs="Arial"/>
          <w:sz w:val="18"/>
          <w:szCs w:val="18"/>
          <w:lang w:val="nl-NL"/>
        </w:rPr>
        <w:t xml:space="preserve"> die een verzoek om bijstand bij invordering heeft ingediend, de andere </w:t>
      </w:r>
      <w:r w:rsidR="0021450B">
        <w:rPr>
          <w:rFonts w:ascii="Verdana" w:hAnsi="Verdana" w:cs="Arial"/>
          <w:sz w:val="18"/>
          <w:szCs w:val="18"/>
          <w:lang w:val="nl-NL"/>
        </w:rPr>
        <w:t>verdragsluitende staat</w:t>
      </w:r>
      <w:r w:rsidRPr="005C1870" w:rsidR="00053BF2">
        <w:rPr>
          <w:rFonts w:ascii="Verdana" w:hAnsi="Verdana" w:cs="Arial"/>
          <w:sz w:val="18"/>
          <w:szCs w:val="18"/>
          <w:lang w:val="nl-NL"/>
        </w:rPr>
        <w:t xml:space="preserve"> op de hoogte stelt als de belastingvordering niet meer invorderbaar is of dat conservatoire maatregelen niet meer mogelijk zijn volgens de nationale wetgeving van de eerstgenoemde </w:t>
      </w:r>
      <w:r w:rsidR="003103E7">
        <w:rPr>
          <w:rFonts w:ascii="Verdana" w:hAnsi="Verdana" w:cs="Arial"/>
          <w:sz w:val="18"/>
          <w:szCs w:val="18"/>
          <w:lang w:val="nl-NL"/>
        </w:rPr>
        <w:t>staat</w:t>
      </w:r>
      <w:r w:rsidRPr="005C1870" w:rsidR="00053BF2">
        <w:rPr>
          <w:rFonts w:ascii="Verdana" w:hAnsi="Verdana" w:cs="Arial"/>
          <w:sz w:val="18"/>
          <w:szCs w:val="18"/>
          <w:lang w:val="nl-NL"/>
        </w:rPr>
        <w:t>.</w:t>
      </w:r>
      <w:r w:rsidRPr="005C1870" w:rsidR="00053BF2">
        <w:rPr>
          <w:rFonts w:ascii="Verdana" w:hAnsi="Verdana" w:cs="Arial"/>
          <w:sz w:val="18"/>
          <w:szCs w:val="18"/>
          <w:lang w:val="nl-NL"/>
        </w:rPr>
        <w:br/>
        <w:t xml:space="preserve"> </w:t>
      </w:r>
      <w:r w:rsidRPr="005C1870" w:rsidR="00053BF2">
        <w:rPr>
          <w:rFonts w:ascii="Verdana" w:hAnsi="Verdana" w:cs="Arial"/>
          <w:sz w:val="18"/>
          <w:szCs w:val="18"/>
          <w:lang w:val="nl-NL"/>
        </w:rPr>
        <w:tab/>
        <w:t xml:space="preserve">Het achtste lid beschrijft situaties waarbij een </w:t>
      </w:r>
      <w:r w:rsidR="0021450B">
        <w:rPr>
          <w:rFonts w:ascii="Verdana" w:hAnsi="Verdana" w:cs="Arial"/>
          <w:sz w:val="18"/>
          <w:szCs w:val="18"/>
          <w:lang w:val="nl-NL"/>
        </w:rPr>
        <w:t>verdragsluitende staat</w:t>
      </w:r>
      <w:r w:rsidRPr="005C1870" w:rsidR="00053BF2">
        <w:rPr>
          <w:rFonts w:ascii="Verdana" w:hAnsi="Verdana" w:cs="Arial"/>
          <w:sz w:val="18"/>
          <w:szCs w:val="18"/>
          <w:lang w:val="nl-NL"/>
        </w:rPr>
        <w:t xml:space="preserve"> niet gehouden is bijstand bij invordering te verlenen. Als de bijstand desalniettemin wordt verleend, is dat overigens niet in strijd met artikel 27 van het Verdrag. </w:t>
      </w:r>
      <w:r w:rsidRPr="005C1870" w:rsidR="007A0192">
        <w:rPr>
          <w:rFonts w:ascii="Verdana" w:hAnsi="Verdana" w:cs="Arial"/>
          <w:sz w:val="18"/>
          <w:szCs w:val="18"/>
          <w:lang w:val="nl-NL"/>
        </w:rPr>
        <w:t xml:space="preserve">In de eerste plaats beschrijft het achtste lid dat een </w:t>
      </w:r>
      <w:r w:rsidR="0021450B">
        <w:rPr>
          <w:rFonts w:ascii="Verdana" w:hAnsi="Verdana" w:cs="Arial"/>
          <w:sz w:val="18"/>
          <w:szCs w:val="18"/>
          <w:lang w:val="nl-NL"/>
        </w:rPr>
        <w:t>verdragsluitende staat</w:t>
      </w:r>
      <w:r w:rsidRPr="005C1870" w:rsidR="007A0192">
        <w:rPr>
          <w:rFonts w:ascii="Verdana" w:hAnsi="Verdana" w:cs="Arial"/>
          <w:sz w:val="18"/>
          <w:szCs w:val="18"/>
          <w:lang w:val="nl-NL"/>
        </w:rPr>
        <w:t xml:space="preserve"> niet gehouden</w:t>
      </w:r>
      <w:r w:rsidR="00DD67C2">
        <w:rPr>
          <w:rFonts w:ascii="Verdana" w:hAnsi="Verdana" w:cs="Arial"/>
          <w:sz w:val="18"/>
          <w:szCs w:val="18"/>
          <w:lang w:val="nl-NL"/>
        </w:rPr>
        <w:t xml:space="preserve"> is</w:t>
      </w:r>
      <w:r w:rsidRPr="005C1870" w:rsidR="007A0192">
        <w:rPr>
          <w:rFonts w:ascii="Verdana" w:hAnsi="Verdana" w:cs="Arial"/>
          <w:sz w:val="18"/>
          <w:szCs w:val="18"/>
          <w:lang w:val="nl-NL"/>
        </w:rPr>
        <w:t xml:space="preserve"> maatregelen te nemen die verder gaan dan de eigen nationale wetgeving of administratieve praktijk, of de wetgeving of administratieve praktijk van de </w:t>
      </w:r>
      <w:r w:rsidRPr="005C1870" w:rsidR="00154477">
        <w:rPr>
          <w:rFonts w:ascii="Verdana" w:hAnsi="Verdana" w:cs="Arial"/>
          <w:sz w:val="18"/>
          <w:szCs w:val="18"/>
          <w:lang w:val="nl-NL"/>
        </w:rPr>
        <w:t xml:space="preserve">andere </w:t>
      </w:r>
      <w:r w:rsidR="0021450B">
        <w:rPr>
          <w:rFonts w:ascii="Verdana" w:hAnsi="Verdana" w:cs="Arial"/>
          <w:sz w:val="18"/>
          <w:szCs w:val="18"/>
          <w:lang w:val="nl-NL"/>
        </w:rPr>
        <w:t>verdragsluitende staat</w:t>
      </w:r>
      <w:r w:rsidRPr="005C1870" w:rsidR="00154477">
        <w:rPr>
          <w:rFonts w:ascii="Verdana" w:hAnsi="Verdana" w:cs="Arial"/>
          <w:sz w:val="18"/>
          <w:szCs w:val="18"/>
          <w:lang w:val="nl-NL"/>
        </w:rPr>
        <w:t xml:space="preserve">. </w:t>
      </w:r>
      <w:r w:rsidRPr="005C1870" w:rsidR="007A0192">
        <w:rPr>
          <w:rFonts w:ascii="Verdana" w:hAnsi="Verdana" w:cs="Arial"/>
          <w:sz w:val="18"/>
          <w:szCs w:val="18"/>
          <w:lang w:val="nl-NL"/>
        </w:rPr>
        <w:t xml:space="preserve">Dit doet niet af aan het vijfde lid, op grond waarvan nationale tijdslimieten van de </w:t>
      </w:r>
      <w:r w:rsidR="0021450B">
        <w:rPr>
          <w:rFonts w:ascii="Verdana" w:hAnsi="Verdana" w:cs="Arial"/>
          <w:sz w:val="18"/>
          <w:szCs w:val="18"/>
          <w:lang w:val="nl-NL"/>
        </w:rPr>
        <w:t>verdragsluitende staat</w:t>
      </w:r>
      <w:r w:rsidRPr="005C1870" w:rsidR="007A0192">
        <w:rPr>
          <w:rFonts w:ascii="Verdana" w:hAnsi="Verdana" w:cs="Arial"/>
          <w:sz w:val="18"/>
          <w:szCs w:val="18"/>
          <w:lang w:val="nl-NL"/>
        </w:rPr>
        <w:t xml:space="preserve"> die een verzoek om bijstand bij invordering heeft ontvangen, niet van toepassing zijn. In de tweede plaats is een </w:t>
      </w:r>
      <w:r w:rsidR="0021450B">
        <w:rPr>
          <w:rFonts w:ascii="Verdana" w:hAnsi="Verdana" w:cs="Arial"/>
          <w:sz w:val="18"/>
          <w:szCs w:val="18"/>
          <w:lang w:val="nl-NL"/>
        </w:rPr>
        <w:t>verdragsluitende staat</w:t>
      </w:r>
      <w:r w:rsidRPr="005C1870" w:rsidR="007A0192">
        <w:rPr>
          <w:rFonts w:ascii="Verdana" w:hAnsi="Verdana" w:cs="Arial"/>
          <w:sz w:val="18"/>
          <w:szCs w:val="18"/>
          <w:lang w:val="nl-NL"/>
        </w:rPr>
        <w:t xml:space="preserve"> niet gehouden maatregelen te nemen die in strijd zijn met de openbare orde. De bijstand bij invordering hoeft in de derde plaats ook niet verleend te worden als de verzoekende </w:t>
      </w:r>
      <w:r w:rsidR="003103E7">
        <w:rPr>
          <w:rFonts w:ascii="Verdana" w:hAnsi="Verdana" w:cs="Arial"/>
          <w:sz w:val="18"/>
          <w:szCs w:val="18"/>
          <w:lang w:val="nl-NL"/>
        </w:rPr>
        <w:t>staat</w:t>
      </w:r>
      <w:r w:rsidRPr="005C1870" w:rsidR="007A0192">
        <w:rPr>
          <w:rFonts w:ascii="Verdana" w:hAnsi="Verdana" w:cs="Arial"/>
          <w:sz w:val="18"/>
          <w:szCs w:val="18"/>
          <w:lang w:val="nl-NL"/>
        </w:rPr>
        <w:t xml:space="preserve"> bij de invordering of zekerstelling niet alle redelijke maatregelen heeft genomen op grond van de wetgeving of administratieve praktijk van die </w:t>
      </w:r>
      <w:r w:rsidR="003103E7">
        <w:rPr>
          <w:rFonts w:ascii="Verdana" w:hAnsi="Verdana" w:cs="Arial"/>
          <w:sz w:val="18"/>
          <w:szCs w:val="18"/>
          <w:lang w:val="nl-NL"/>
        </w:rPr>
        <w:t>staat</w:t>
      </w:r>
      <w:r w:rsidRPr="005C1870" w:rsidR="007A0192">
        <w:rPr>
          <w:rFonts w:ascii="Verdana" w:hAnsi="Verdana" w:cs="Arial"/>
          <w:sz w:val="18"/>
          <w:szCs w:val="18"/>
          <w:lang w:val="nl-NL"/>
        </w:rPr>
        <w:t xml:space="preserve">. Tot slot is een </w:t>
      </w:r>
      <w:r w:rsidR="0021450B">
        <w:rPr>
          <w:rFonts w:ascii="Verdana" w:hAnsi="Verdana" w:cs="Arial"/>
          <w:sz w:val="18"/>
          <w:szCs w:val="18"/>
          <w:lang w:val="nl-NL"/>
        </w:rPr>
        <w:t>verdragsluitende staat</w:t>
      </w:r>
      <w:r w:rsidRPr="005C1870" w:rsidR="007A0192">
        <w:rPr>
          <w:rFonts w:ascii="Verdana" w:hAnsi="Verdana" w:cs="Arial"/>
          <w:sz w:val="18"/>
          <w:szCs w:val="18"/>
          <w:lang w:val="nl-NL"/>
        </w:rPr>
        <w:t xml:space="preserve"> niet gehouden bijstand bij invordering te verlenen als het duidelijk is dat de administratieve last niet proportioneel is in verhouding tot het potenti</w:t>
      </w:r>
      <w:r w:rsidR="00DD67C2">
        <w:rPr>
          <w:rFonts w:ascii="Verdana" w:hAnsi="Verdana" w:cs="Arial"/>
          <w:sz w:val="18"/>
          <w:szCs w:val="18"/>
          <w:lang w:val="nl-NL"/>
        </w:rPr>
        <w:t>ë</w:t>
      </w:r>
      <w:r w:rsidRPr="005C1870" w:rsidR="007A0192">
        <w:rPr>
          <w:rFonts w:ascii="Verdana" w:hAnsi="Verdana" w:cs="Arial"/>
          <w:sz w:val="18"/>
          <w:szCs w:val="18"/>
          <w:lang w:val="nl-NL"/>
        </w:rPr>
        <w:t xml:space="preserve">le voordeel van de verzoekende </w:t>
      </w:r>
      <w:r w:rsidR="003103E7">
        <w:rPr>
          <w:rFonts w:ascii="Verdana" w:hAnsi="Verdana" w:cs="Arial"/>
          <w:sz w:val="18"/>
          <w:szCs w:val="18"/>
          <w:lang w:val="nl-NL"/>
        </w:rPr>
        <w:t>staat</w:t>
      </w:r>
      <w:r w:rsidRPr="005C1870" w:rsidR="007A0192">
        <w:rPr>
          <w:rFonts w:ascii="Verdana" w:hAnsi="Verdana" w:cs="Arial"/>
          <w:sz w:val="18"/>
          <w:szCs w:val="18"/>
          <w:lang w:val="nl-NL"/>
        </w:rPr>
        <w:t>.</w:t>
      </w:r>
    </w:p>
    <w:p w:rsidR="001F715A" w:rsidP="00A966A6" w:rsidRDefault="001349E4" w14:paraId="44741A88" w14:textId="77777777">
      <w:pPr>
        <w:rPr>
          <w:rFonts w:ascii="Verdana" w:hAnsi="Verdana"/>
          <w:sz w:val="18"/>
          <w:szCs w:val="18"/>
          <w:lang w:val="nl-NL"/>
        </w:rPr>
      </w:pPr>
      <w:r w:rsidRPr="005C1870">
        <w:rPr>
          <w:rFonts w:ascii="Verdana" w:hAnsi="Verdana"/>
          <w:sz w:val="18"/>
          <w:szCs w:val="18"/>
          <w:lang w:val="nl-NL"/>
        </w:rPr>
        <w:t xml:space="preserve">Wat betreft invorderingsbijstand bij belastingschulden wordt opgemerkt </w:t>
      </w:r>
      <w:r w:rsidRPr="005C1870" w:rsidR="00154477">
        <w:rPr>
          <w:rFonts w:ascii="Verdana" w:hAnsi="Verdana"/>
          <w:sz w:val="18"/>
          <w:szCs w:val="18"/>
          <w:lang w:val="nl-NL"/>
        </w:rPr>
        <w:t xml:space="preserve">dat </w:t>
      </w:r>
      <w:r w:rsidRPr="005C1870">
        <w:rPr>
          <w:rFonts w:ascii="Verdana" w:hAnsi="Verdana"/>
          <w:sz w:val="18"/>
          <w:szCs w:val="18"/>
          <w:lang w:val="nl-NL"/>
        </w:rPr>
        <w:t>Bulgarije en Nederland tevens zijn gebonden aan de bepalingen van de Europese invorderingsrichtlijn</w:t>
      </w:r>
      <w:r w:rsidRPr="005C1870">
        <w:rPr>
          <w:rStyle w:val="Voetnootmarkering"/>
          <w:rFonts w:ascii="Verdana" w:hAnsi="Verdana"/>
          <w:sz w:val="18"/>
          <w:szCs w:val="18"/>
          <w:lang w:val="nl-NL"/>
        </w:rPr>
        <w:footnoteReference w:id="24"/>
      </w:r>
      <w:r w:rsidR="0019421E">
        <w:rPr>
          <w:rFonts w:ascii="Verdana" w:hAnsi="Verdana"/>
          <w:sz w:val="18"/>
          <w:szCs w:val="18"/>
          <w:lang w:val="nl-NL"/>
        </w:rPr>
        <w:t xml:space="preserve"> en</w:t>
      </w:r>
      <w:r w:rsidRPr="005C1870">
        <w:rPr>
          <w:rFonts w:ascii="Verdana" w:hAnsi="Verdana"/>
          <w:sz w:val="18"/>
          <w:szCs w:val="18"/>
          <w:lang w:val="nl-NL"/>
        </w:rPr>
        <w:t xml:space="preserve"> het op 25 januari 1988 te Straatsburg tot stand gekomen Verdrag inzake wederzijdse administratieve bijstand in belastingzaken (</w:t>
      </w:r>
      <w:r w:rsidRPr="005C1870">
        <w:rPr>
          <w:rFonts w:ascii="Verdana" w:hAnsi="Verdana"/>
          <w:i/>
          <w:sz w:val="18"/>
          <w:szCs w:val="18"/>
          <w:lang w:val="nl-NL"/>
        </w:rPr>
        <w:t>Trb</w:t>
      </w:r>
      <w:r w:rsidRPr="005C1870">
        <w:rPr>
          <w:rFonts w:ascii="Verdana" w:hAnsi="Verdana"/>
          <w:sz w:val="18"/>
          <w:szCs w:val="18"/>
          <w:lang w:val="nl-NL"/>
        </w:rPr>
        <w:t xml:space="preserve">. 1991, 4, zoals laatstelijk gewijzigd bij Protocol van 27 mei 2010, </w:t>
      </w:r>
      <w:r w:rsidRPr="005C1870">
        <w:rPr>
          <w:rFonts w:ascii="Verdana" w:hAnsi="Verdana"/>
          <w:i/>
          <w:sz w:val="18"/>
          <w:szCs w:val="18"/>
          <w:lang w:val="nl-NL"/>
        </w:rPr>
        <w:t>Trb</w:t>
      </w:r>
      <w:r w:rsidRPr="005C1870">
        <w:rPr>
          <w:rFonts w:ascii="Verdana" w:hAnsi="Verdana"/>
          <w:sz w:val="18"/>
          <w:szCs w:val="18"/>
          <w:lang w:val="nl-NL"/>
        </w:rPr>
        <w:t>. 201</w:t>
      </w:r>
      <w:r w:rsidRPr="005C1870" w:rsidR="00154477">
        <w:rPr>
          <w:rFonts w:ascii="Verdana" w:hAnsi="Verdana"/>
          <w:sz w:val="18"/>
          <w:szCs w:val="18"/>
          <w:lang w:val="nl-NL"/>
        </w:rPr>
        <w:t xml:space="preserve">0, 221). </w:t>
      </w:r>
      <w:r w:rsidRPr="005C1870">
        <w:rPr>
          <w:rFonts w:ascii="Verdana" w:hAnsi="Verdana"/>
          <w:sz w:val="18"/>
          <w:szCs w:val="18"/>
          <w:lang w:val="nl-NL"/>
        </w:rPr>
        <w:t>Deze instrumenten voorzien ook in internationale</w:t>
      </w:r>
      <w:r w:rsidRPr="005C1870" w:rsidR="00154477">
        <w:rPr>
          <w:rFonts w:ascii="Verdana" w:hAnsi="Verdana"/>
          <w:sz w:val="18"/>
          <w:szCs w:val="18"/>
          <w:lang w:val="nl-NL"/>
        </w:rPr>
        <w:t xml:space="preserve"> bijstand bij invordering</w:t>
      </w:r>
      <w:r w:rsidRPr="005C1870">
        <w:rPr>
          <w:rFonts w:ascii="Verdana" w:hAnsi="Verdana"/>
          <w:sz w:val="18"/>
          <w:szCs w:val="18"/>
          <w:lang w:val="nl-NL"/>
        </w:rPr>
        <w:t xml:space="preserve">, waarbij een (aanzienlijke) mate van onderlinge overlap bestaat </w:t>
      </w:r>
      <w:r w:rsidRPr="005C1870" w:rsidR="00432712">
        <w:rPr>
          <w:rFonts w:ascii="Verdana" w:hAnsi="Verdana"/>
          <w:sz w:val="18"/>
          <w:szCs w:val="18"/>
          <w:lang w:val="nl-NL"/>
        </w:rPr>
        <w:t xml:space="preserve">tussen deze instrumenten en </w:t>
      </w:r>
      <w:r w:rsidRPr="005C1870">
        <w:rPr>
          <w:rFonts w:ascii="Verdana" w:hAnsi="Verdana"/>
          <w:sz w:val="18"/>
          <w:szCs w:val="18"/>
          <w:lang w:val="nl-NL"/>
        </w:rPr>
        <w:t>artikel 27 van</w:t>
      </w:r>
      <w:r w:rsidRPr="005C1870" w:rsidR="00C01FA0">
        <w:rPr>
          <w:rFonts w:ascii="Verdana" w:hAnsi="Verdana"/>
          <w:sz w:val="18"/>
          <w:szCs w:val="18"/>
          <w:lang w:val="nl-NL"/>
        </w:rPr>
        <w:t xml:space="preserve"> het Verdrag</w:t>
      </w:r>
      <w:r w:rsidRPr="005C1870">
        <w:rPr>
          <w:rFonts w:ascii="Verdana" w:hAnsi="Verdana"/>
          <w:sz w:val="18"/>
          <w:szCs w:val="18"/>
          <w:lang w:val="nl-NL"/>
        </w:rPr>
        <w:t xml:space="preserve">. </w:t>
      </w:r>
      <w:r w:rsidRPr="005C1870" w:rsidR="00154477">
        <w:rPr>
          <w:rFonts w:ascii="Verdana" w:hAnsi="Verdana"/>
          <w:sz w:val="18"/>
          <w:szCs w:val="18"/>
          <w:lang w:val="nl-NL"/>
        </w:rPr>
        <w:t>Daarbij</w:t>
      </w:r>
      <w:r w:rsidRPr="005C1870">
        <w:rPr>
          <w:rFonts w:ascii="Verdana" w:hAnsi="Verdana"/>
          <w:sz w:val="18"/>
          <w:szCs w:val="18"/>
          <w:lang w:val="nl-NL"/>
        </w:rPr>
        <w:t xml:space="preserve"> prevaleert in beginsel het meest vergaande invorderingsinstrument. </w:t>
      </w:r>
      <w:r w:rsidRPr="005C1870" w:rsidR="00432712">
        <w:rPr>
          <w:rFonts w:ascii="Verdana" w:hAnsi="Verdana"/>
          <w:sz w:val="18"/>
          <w:szCs w:val="18"/>
          <w:lang w:val="nl-NL"/>
        </w:rPr>
        <w:t xml:space="preserve">Een voorbeeld hiervan is dat artikel 27 van het Verdrag </w:t>
      </w:r>
      <w:r w:rsidRPr="005C1870">
        <w:rPr>
          <w:rFonts w:ascii="Verdana" w:hAnsi="Verdana"/>
          <w:sz w:val="18"/>
          <w:szCs w:val="18"/>
          <w:lang w:val="nl-NL"/>
        </w:rPr>
        <w:t>– anders dan bijvoorbeeld de Europese invorderingsrichtlijn –</w:t>
      </w:r>
      <w:r w:rsidRPr="005C1870" w:rsidR="00432712">
        <w:rPr>
          <w:rFonts w:ascii="Verdana" w:hAnsi="Verdana"/>
          <w:sz w:val="18"/>
          <w:szCs w:val="18"/>
          <w:lang w:val="nl-NL"/>
        </w:rPr>
        <w:t xml:space="preserve"> </w:t>
      </w:r>
      <w:r w:rsidRPr="005C1870">
        <w:rPr>
          <w:rFonts w:ascii="Verdana" w:hAnsi="Verdana"/>
          <w:sz w:val="18"/>
          <w:szCs w:val="18"/>
          <w:lang w:val="nl-NL"/>
        </w:rPr>
        <w:t>geen doelmatigheidsgrens</w:t>
      </w:r>
      <w:r w:rsidRPr="005C1870" w:rsidR="00432712">
        <w:rPr>
          <w:rFonts w:ascii="Verdana" w:hAnsi="Verdana"/>
          <w:sz w:val="18"/>
          <w:szCs w:val="18"/>
          <w:lang w:val="nl-NL"/>
        </w:rPr>
        <w:t xml:space="preserve"> bevat</w:t>
      </w:r>
      <w:r w:rsidRPr="005C1870">
        <w:rPr>
          <w:rFonts w:ascii="Verdana" w:hAnsi="Verdana"/>
          <w:sz w:val="18"/>
          <w:szCs w:val="18"/>
          <w:lang w:val="nl-NL"/>
        </w:rPr>
        <w:t xml:space="preserve">. Derhalve biedt </w:t>
      </w:r>
      <w:r w:rsidRPr="005C1870" w:rsidR="00432712">
        <w:rPr>
          <w:rFonts w:ascii="Verdana" w:hAnsi="Verdana"/>
          <w:sz w:val="18"/>
          <w:szCs w:val="18"/>
          <w:lang w:val="nl-NL"/>
        </w:rPr>
        <w:t>artikel 27</w:t>
      </w:r>
      <w:r w:rsidRPr="005C1870">
        <w:rPr>
          <w:rFonts w:ascii="Verdana" w:hAnsi="Verdana"/>
          <w:sz w:val="18"/>
          <w:szCs w:val="18"/>
          <w:lang w:val="nl-NL"/>
        </w:rPr>
        <w:t xml:space="preserve"> de juridische basis </w:t>
      </w:r>
      <w:r w:rsidR="0019421E">
        <w:rPr>
          <w:rFonts w:ascii="Verdana" w:hAnsi="Verdana"/>
          <w:sz w:val="18"/>
          <w:szCs w:val="18"/>
          <w:lang w:val="nl-NL"/>
        </w:rPr>
        <w:t xml:space="preserve">waarop </w:t>
      </w:r>
      <w:r w:rsidRPr="005C1870">
        <w:rPr>
          <w:rFonts w:ascii="Verdana" w:hAnsi="Verdana"/>
          <w:sz w:val="18"/>
          <w:szCs w:val="18"/>
          <w:lang w:val="nl-NL"/>
        </w:rPr>
        <w:t>in voorkomend geval ook internationale bijstand bij invordering kan worden verleend bij de invorderin</w:t>
      </w:r>
      <w:r w:rsidRPr="005C1870" w:rsidR="00A966A6">
        <w:rPr>
          <w:rFonts w:ascii="Verdana" w:hAnsi="Verdana"/>
          <w:sz w:val="18"/>
          <w:szCs w:val="18"/>
          <w:lang w:val="nl-NL"/>
        </w:rPr>
        <w:t>g van geringe belastingschulden</w:t>
      </w:r>
      <w:r w:rsidR="001F715A">
        <w:rPr>
          <w:rFonts w:ascii="Verdana" w:hAnsi="Verdana"/>
          <w:sz w:val="18"/>
          <w:szCs w:val="18"/>
          <w:lang w:val="nl-NL"/>
        </w:rPr>
        <w:t xml:space="preserve"> en toeslagen</w:t>
      </w:r>
      <w:r w:rsidRPr="005C1870" w:rsidR="00A966A6">
        <w:rPr>
          <w:rFonts w:ascii="Verdana" w:hAnsi="Verdana"/>
          <w:sz w:val="18"/>
          <w:szCs w:val="18"/>
          <w:lang w:val="nl-NL"/>
        </w:rPr>
        <w:t xml:space="preserve">. </w:t>
      </w:r>
    </w:p>
    <w:p w:rsidRPr="005C1870" w:rsidR="007A0192" w:rsidP="00A966A6" w:rsidRDefault="001F715A" w14:paraId="352AA381" w14:textId="77777777">
      <w:pPr>
        <w:rPr>
          <w:rFonts w:ascii="Verdana" w:hAnsi="Verdana"/>
          <w:sz w:val="18"/>
          <w:szCs w:val="18"/>
          <w:lang w:val="nl-NL"/>
        </w:rPr>
      </w:pPr>
      <w:r>
        <w:rPr>
          <w:rFonts w:ascii="Verdana" w:hAnsi="Verdana"/>
          <w:sz w:val="18"/>
          <w:szCs w:val="18"/>
          <w:lang w:val="nl-NL"/>
        </w:rPr>
        <w:t>Tot slot</w:t>
      </w:r>
      <w:r w:rsidRPr="00BB12AD">
        <w:rPr>
          <w:rFonts w:ascii="Verdana" w:hAnsi="Verdana"/>
          <w:sz w:val="18"/>
          <w:szCs w:val="18"/>
          <w:lang w:val="nl-NL"/>
        </w:rPr>
        <w:t xml:space="preserve"> wordt gewezen op artikel XIV van het Protocol waarin, zoals reeds opgemerkt, is bewerkstelligd dat </w:t>
      </w:r>
      <w:r>
        <w:rPr>
          <w:rFonts w:ascii="Verdana" w:hAnsi="Verdana"/>
          <w:sz w:val="18"/>
          <w:szCs w:val="18"/>
          <w:lang w:val="nl-NL"/>
        </w:rPr>
        <w:t>artikel 27</w:t>
      </w:r>
      <w:r w:rsidRPr="00BB12AD">
        <w:rPr>
          <w:rFonts w:ascii="Verdana" w:hAnsi="Verdana"/>
          <w:sz w:val="18"/>
          <w:szCs w:val="18"/>
          <w:lang w:val="nl-NL"/>
        </w:rPr>
        <w:t xml:space="preserve"> van het Verdrag </w:t>
      </w:r>
      <w:r w:rsidR="00220C2C">
        <w:rPr>
          <w:rFonts w:ascii="Verdana" w:hAnsi="Verdana"/>
          <w:sz w:val="18"/>
          <w:szCs w:val="18"/>
          <w:lang w:val="nl-NL"/>
        </w:rPr>
        <w:t>ook</w:t>
      </w:r>
      <w:r w:rsidRPr="00BB12AD" w:rsidR="00220C2C">
        <w:rPr>
          <w:rFonts w:ascii="Verdana" w:hAnsi="Verdana"/>
          <w:sz w:val="18"/>
          <w:szCs w:val="18"/>
          <w:lang w:val="nl-NL"/>
        </w:rPr>
        <w:t xml:space="preserve"> </w:t>
      </w:r>
      <w:r w:rsidRPr="00BB12AD">
        <w:rPr>
          <w:rFonts w:ascii="Verdana" w:hAnsi="Verdana"/>
          <w:sz w:val="18"/>
          <w:szCs w:val="18"/>
          <w:lang w:val="nl-NL"/>
        </w:rPr>
        <w:t xml:space="preserve">geldt voor de Nederlandse inkomensafhankelijke regelingen. Dit is met name relevant voor de uitvoering van de huurtoeslag, omdat met name met betrekking tot deze toeslag een rechtsbasis ontbrak voor </w:t>
      </w:r>
      <w:r>
        <w:rPr>
          <w:rFonts w:ascii="Verdana" w:hAnsi="Verdana"/>
          <w:sz w:val="18"/>
          <w:szCs w:val="18"/>
          <w:lang w:val="nl-NL"/>
        </w:rPr>
        <w:t>invorderingsbijstand</w:t>
      </w:r>
      <w:r w:rsidRPr="00BB12AD">
        <w:rPr>
          <w:rFonts w:ascii="Verdana" w:hAnsi="Verdana"/>
          <w:sz w:val="18"/>
          <w:szCs w:val="18"/>
          <w:lang w:val="nl-NL"/>
        </w:rPr>
        <w:t>. Anders namelijk dan bij de overige toeslagen het geval is, bied</w:t>
      </w:r>
      <w:r w:rsidR="00895217">
        <w:rPr>
          <w:rFonts w:ascii="Verdana" w:hAnsi="Verdana"/>
          <w:sz w:val="18"/>
          <w:szCs w:val="18"/>
          <w:lang w:val="nl-NL"/>
        </w:rPr>
        <w:t>en</w:t>
      </w:r>
      <w:r w:rsidRPr="00BB12AD">
        <w:rPr>
          <w:rFonts w:ascii="Verdana" w:hAnsi="Verdana"/>
          <w:sz w:val="18"/>
          <w:szCs w:val="18"/>
          <w:lang w:val="nl-NL"/>
        </w:rPr>
        <w:t xml:space="preserve"> de binnen de Europese Unie geldende regelgeving (Verordening 883/2004 en Verordening 987/2009</w:t>
      </w:r>
      <w:r w:rsidR="006563D6">
        <w:rPr>
          <w:rFonts w:ascii="Verdana" w:hAnsi="Verdana"/>
          <w:sz w:val="18"/>
          <w:szCs w:val="18"/>
          <w:lang w:val="nl-NL"/>
        </w:rPr>
        <w:t>)</w:t>
      </w:r>
      <w:r w:rsidRPr="00BB12AD">
        <w:rPr>
          <w:rFonts w:ascii="Verdana" w:hAnsi="Verdana"/>
          <w:sz w:val="18"/>
          <w:szCs w:val="18"/>
          <w:lang w:val="nl-NL"/>
        </w:rPr>
        <w:t xml:space="preserve"> </w:t>
      </w:r>
      <w:r w:rsidR="00895217">
        <w:rPr>
          <w:rFonts w:ascii="Verdana" w:hAnsi="Verdana"/>
          <w:sz w:val="18"/>
          <w:szCs w:val="18"/>
          <w:lang w:val="nl-NL"/>
        </w:rPr>
        <w:t xml:space="preserve">en </w:t>
      </w:r>
      <w:r w:rsidRPr="00BB12AD">
        <w:rPr>
          <w:rFonts w:ascii="Verdana" w:hAnsi="Verdana"/>
          <w:sz w:val="18"/>
          <w:szCs w:val="18"/>
          <w:lang w:val="nl-NL"/>
        </w:rPr>
        <w:t xml:space="preserve">het </w:t>
      </w:r>
      <w:r w:rsidR="009302A5">
        <w:rPr>
          <w:rFonts w:ascii="Verdana" w:hAnsi="Verdana"/>
          <w:sz w:val="18"/>
          <w:szCs w:val="18"/>
          <w:lang w:val="nl-NL"/>
        </w:rPr>
        <w:t>V</w:t>
      </w:r>
      <w:r w:rsidRPr="00BB12AD">
        <w:rPr>
          <w:rFonts w:ascii="Verdana" w:hAnsi="Verdana"/>
          <w:sz w:val="18"/>
          <w:szCs w:val="18"/>
          <w:lang w:val="nl-NL"/>
        </w:rPr>
        <w:t>erdrag van 1990</w:t>
      </w:r>
      <w:r w:rsidR="00895217">
        <w:rPr>
          <w:rFonts w:ascii="Verdana" w:hAnsi="Verdana"/>
          <w:sz w:val="18"/>
          <w:szCs w:val="18"/>
          <w:lang w:val="nl-NL"/>
        </w:rPr>
        <w:t xml:space="preserve"> daarvoor</w:t>
      </w:r>
      <w:r w:rsidRPr="00BB12AD">
        <w:rPr>
          <w:rFonts w:ascii="Verdana" w:hAnsi="Verdana"/>
          <w:sz w:val="18"/>
          <w:szCs w:val="18"/>
          <w:lang w:val="nl-NL"/>
        </w:rPr>
        <w:t xml:space="preserve"> </w:t>
      </w:r>
      <w:r w:rsidR="00C50167">
        <w:rPr>
          <w:rFonts w:ascii="Verdana" w:hAnsi="Verdana"/>
          <w:sz w:val="18"/>
          <w:szCs w:val="18"/>
          <w:lang w:val="nl-NL"/>
        </w:rPr>
        <w:t>g</w:t>
      </w:r>
      <w:r w:rsidRPr="00BB12AD">
        <w:rPr>
          <w:rFonts w:ascii="Verdana" w:hAnsi="Verdana"/>
          <w:sz w:val="18"/>
          <w:szCs w:val="18"/>
          <w:lang w:val="nl-NL"/>
        </w:rPr>
        <w:t>een rechtsbasis.</w:t>
      </w:r>
    </w:p>
    <w:p w:rsidRPr="00556990" w:rsidR="00B165B9" w:rsidP="00CD077B" w:rsidRDefault="00B165B9" w14:paraId="3FCF6C5F" w14:textId="77777777">
      <w:pPr>
        <w:ind w:firstLine="720"/>
        <w:rPr>
          <w:rFonts w:ascii="Verdana" w:hAnsi="Verdana" w:cs="Arial"/>
          <w:sz w:val="18"/>
          <w:szCs w:val="18"/>
          <w:lang w:val="nl-NL"/>
        </w:rPr>
      </w:pPr>
    </w:p>
    <w:p w:rsidRPr="00F578EC" w:rsidR="00BB106C" w:rsidP="00CD077B" w:rsidRDefault="00BB106C" w14:paraId="137D508E" w14:textId="77777777">
      <w:pPr>
        <w:ind w:firstLine="0"/>
        <w:outlineLvl w:val="4"/>
        <w:rPr>
          <w:rFonts w:ascii="Verdana" w:hAnsi="Verdana" w:cs="Arial"/>
          <w:i/>
          <w:iCs/>
          <w:sz w:val="18"/>
          <w:szCs w:val="18"/>
          <w:lang w:val="nl-NL"/>
        </w:rPr>
      </w:pPr>
      <w:r w:rsidRPr="001C6327">
        <w:rPr>
          <w:rFonts w:ascii="Verdana" w:hAnsi="Verdana" w:cs="Arial"/>
          <w:i/>
          <w:iCs/>
          <w:sz w:val="18"/>
          <w:szCs w:val="18"/>
          <w:lang w:val="nl-NL"/>
        </w:rPr>
        <w:t>II.28. Leden van diplomatieke vertegenwoordigingen en consulaire posten (artikel 28</w:t>
      </w:r>
      <w:r w:rsidR="00780A5E">
        <w:rPr>
          <w:rFonts w:ascii="Verdana" w:hAnsi="Verdana" w:cs="Arial"/>
          <w:i/>
          <w:iCs/>
          <w:sz w:val="18"/>
          <w:szCs w:val="18"/>
          <w:lang w:val="nl-NL"/>
        </w:rPr>
        <w:t xml:space="preserve"> </w:t>
      </w:r>
      <w:r w:rsidRPr="00780A5E" w:rsidR="00780A5E">
        <w:rPr>
          <w:rFonts w:ascii="Verdana" w:hAnsi="Verdana" w:cs="Arial"/>
          <w:i/>
          <w:iCs/>
          <w:sz w:val="18"/>
          <w:szCs w:val="18"/>
          <w:lang w:val="nl-NL"/>
        </w:rPr>
        <w:t>van het Verdrag</w:t>
      </w:r>
      <w:r w:rsidRPr="001C6327">
        <w:rPr>
          <w:rFonts w:ascii="Verdana" w:hAnsi="Verdana" w:cs="Arial"/>
          <w:i/>
          <w:iCs/>
          <w:sz w:val="18"/>
          <w:szCs w:val="18"/>
          <w:lang w:val="nl-NL"/>
        </w:rPr>
        <w:t xml:space="preserve">) </w:t>
      </w:r>
    </w:p>
    <w:p w:rsidRPr="00BC6175" w:rsidR="00BB106C" w:rsidP="00CD077B" w:rsidRDefault="00BB106C" w14:paraId="49881B79" w14:textId="77777777">
      <w:pPr>
        <w:rPr>
          <w:rFonts w:ascii="Verdana" w:hAnsi="Verdana" w:cs="Arial"/>
          <w:sz w:val="18"/>
          <w:szCs w:val="18"/>
          <w:lang w:val="nl-NL"/>
        </w:rPr>
      </w:pPr>
    </w:p>
    <w:p w:rsidR="007153E9" w:rsidP="00CD077B" w:rsidRDefault="00BB106C" w14:paraId="0592BA2A" w14:textId="77777777">
      <w:pPr>
        <w:ind w:firstLine="720"/>
        <w:rPr>
          <w:rFonts w:ascii="Verdana" w:hAnsi="Verdana" w:cs="Arial"/>
          <w:sz w:val="18"/>
          <w:szCs w:val="18"/>
          <w:lang w:val="nl-NL"/>
        </w:rPr>
      </w:pPr>
      <w:r w:rsidRPr="00BC6175">
        <w:rPr>
          <w:rFonts w:ascii="Verdana" w:hAnsi="Verdana" w:cs="Arial"/>
          <w:sz w:val="18"/>
          <w:szCs w:val="18"/>
          <w:lang w:val="nl-NL"/>
        </w:rPr>
        <w:t xml:space="preserve">Artikel 28 ziet op de toepassing van het Verdrag in relatie tot </w:t>
      </w:r>
      <w:r w:rsidRPr="00BC6175" w:rsidR="00592D39">
        <w:rPr>
          <w:rFonts w:ascii="Verdana" w:hAnsi="Verdana" w:cs="Arial"/>
          <w:sz w:val="18"/>
          <w:szCs w:val="18"/>
          <w:lang w:val="nl-NL"/>
        </w:rPr>
        <w:t xml:space="preserve">leden van een diplomatieke </w:t>
      </w:r>
      <w:r w:rsidRPr="00CF22A8" w:rsidR="00592D39">
        <w:rPr>
          <w:rFonts w:ascii="Verdana" w:hAnsi="Verdana" w:cs="Arial"/>
          <w:sz w:val="18"/>
          <w:szCs w:val="18"/>
          <w:lang w:val="nl-NL"/>
        </w:rPr>
        <w:t>of consulaire vertegenwoordiging</w:t>
      </w:r>
      <w:r w:rsidRPr="005C1870">
        <w:rPr>
          <w:rFonts w:ascii="Verdana" w:hAnsi="Verdana" w:cs="Arial"/>
          <w:sz w:val="18"/>
          <w:szCs w:val="18"/>
          <w:lang w:val="nl-NL"/>
        </w:rPr>
        <w:t xml:space="preserve">. </w:t>
      </w:r>
    </w:p>
    <w:p w:rsidRPr="005C1870" w:rsidR="00BB106C" w:rsidP="00CD077B" w:rsidRDefault="00BB106C" w14:paraId="68FCA27D" w14:textId="14374D8A">
      <w:pPr>
        <w:ind w:firstLine="720"/>
        <w:rPr>
          <w:rFonts w:ascii="Verdana" w:hAnsi="Verdana" w:cs="Arial"/>
          <w:sz w:val="18"/>
          <w:szCs w:val="18"/>
          <w:lang w:val="nl-NL"/>
        </w:rPr>
      </w:pPr>
      <w:r w:rsidRPr="005C1870">
        <w:rPr>
          <w:rFonts w:ascii="Verdana" w:hAnsi="Verdana" w:cs="Arial"/>
          <w:sz w:val="18"/>
          <w:szCs w:val="18"/>
          <w:lang w:val="nl-NL"/>
        </w:rPr>
        <w:t>Het eerste lid bepaalt, conform artikel 28 van het OESO-modelverdrag, dat fiscale voorrechten toegekend aan leden van een diplomatieke of consulaire vertegenwoordiging op grond van internationaal recht of internationale overeenkomsten, niet worden aangetast door het Verdrag.</w:t>
      </w:r>
    </w:p>
    <w:p w:rsidRPr="005C1870" w:rsidR="00BB106C" w:rsidP="00CD077B" w:rsidRDefault="00BB106C" w14:paraId="3EF28F52" w14:textId="77777777">
      <w:pPr>
        <w:ind w:firstLine="720"/>
        <w:rPr>
          <w:rFonts w:ascii="Verdana" w:hAnsi="Verdana" w:cs="Arial"/>
          <w:sz w:val="18"/>
          <w:szCs w:val="18"/>
          <w:lang w:val="nl-NL"/>
        </w:rPr>
      </w:pPr>
      <w:r w:rsidRPr="005C1870">
        <w:rPr>
          <w:rFonts w:ascii="Verdana" w:hAnsi="Verdana" w:cs="Arial"/>
          <w:sz w:val="18"/>
          <w:szCs w:val="18"/>
          <w:lang w:val="nl-NL"/>
        </w:rPr>
        <w:t>Het tweede lid is ontleend aan p</w:t>
      </w:r>
      <w:r w:rsidRPr="005C1870" w:rsidR="00770B7A">
        <w:rPr>
          <w:rFonts w:ascii="Verdana" w:hAnsi="Verdana" w:cs="Arial"/>
          <w:sz w:val="18"/>
          <w:szCs w:val="18"/>
          <w:lang w:val="nl-NL"/>
        </w:rPr>
        <w:t>aragraaf 3 van het commentaar bij</w:t>
      </w:r>
      <w:r w:rsidRPr="005C1870">
        <w:rPr>
          <w:rFonts w:ascii="Verdana" w:hAnsi="Verdana" w:cs="Arial"/>
          <w:sz w:val="18"/>
          <w:szCs w:val="18"/>
          <w:lang w:val="nl-NL"/>
        </w:rPr>
        <w:t xml:space="preserve"> artikel 28 van het OESO-modelverdrag. </w:t>
      </w:r>
      <w:r w:rsidRPr="005C1870" w:rsidR="00873B6E">
        <w:rPr>
          <w:rFonts w:ascii="Verdana" w:hAnsi="Verdana" w:cs="Arial"/>
          <w:sz w:val="18"/>
          <w:szCs w:val="18"/>
          <w:lang w:val="nl-NL"/>
        </w:rPr>
        <w:t>Als gevolg van</w:t>
      </w:r>
      <w:r w:rsidRPr="005C1870">
        <w:rPr>
          <w:rFonts w:ascii="Verdana" w:hAnsi="Verdana" w:cs="Arial"/>
          <w:sz w:val="18"/>
          <w:szCs w:val="18"/>
          <w:lang w:val="nl-NL"/>
        </w:rPr>
        <w:t xml:space="preserve"> deze bepaling wordt een diplomaat voor de toepassing van het Verdrag geacht inwoner te zijn van de zendstaat, indien hij onderdaan is van die </w:t>
      </w:r>
      <w:r w:rsidR="003103E7">
        <w:rPr>
          <w:rFonts w:ascii="Verdana" w:hAnsi="Verdana" w:cs="Arial"/>
          <w:sz w:val="18"/>
          <w:szCs w:val="18"/>
          <w:lang w:val="nl-NL"/>
        </w:rPr>
        <w:t>staat</w:t>
      </w:r>
      <w:r w:rsidRPr="005C1870">
        <w:rPr>
          <w:rFonts w:ascii="Verdana" w:hAnsi="Verdana" w:cs="Arial"/>
          <w:sz w:val="18"/>
          <w:szCs w:val="18"/>
          <w:lang w:val="nl-NL"/>
        </w:rPr>
        <w:t xml:space="preserve"> en daarin op dezelfde wijze aan belastingen naar het inkomen is onderworpen als inwoners van die </w:t>
      </w:r>
      <w:r w:rsidR="003103E7">
        <w:rPr>
          <w:rFonts w:ascii="Verdana" w:hAnsi="Verdana" w:cs="Arial"/>
          <w:sz w:val="18"/>
          <w:szCs w:val="18"/>
          <w:lang w:val="nl-NL"/>
        </w:rPr>
        <w:t>staat</w:t>
      </w:r>
      <w:r w:rsidRPr="005C1870">
        <w:rPr>
          <w:rFonts w:ascii="Verdana" w:hAnsi="Verdana" w:cs="Arial"/>
          <w:sz w:val="18"/>
          <w:szCs w:val="18"/>
          <w:lang w:val="nl-NL"/>
        </w:rPr>
        <w:t xml:space="preserve">. Als aan die voorwaarde is voldaan, </w:t>
      </w:r>
      <w:r w:rsidRPr="005C1870" w:rsidR="00AF5B4E">
        <w:rPr>
          <w:rFonts w:ascii="Verdana" w:hAnsi="Verdana" w:cs="Arial"/>
          <w:sz w:val="18"/>
          <w:szCs w:val="18"/>
          <w:lang w:val="nl-NL"/>
        </w:rPr>
        <w:t>kunnen</w:t>
      </w:r>
      <w:r w:rsidRPr="005C1870">
        <w:rPr>
          <w:rFonts w:ascii="Verdana" w:hAnsi="Verdana" w:cs="Arial"/>
          <w:sz w:val="18"/>
          <w:szCs w:val="18"/>
          <w:lang w:val="nl-NL"/>
        </w:rPr>
        <w:t xml:space="preserve"> diplomaten </w:t>
      </w:r>
      <w:r w:rsidRPr="005C1870" w:rsidR="00AF5B4E">
        <w:rPr>
          <w:rFonts w:ascii="Verdana" w:hAnsi="Verdana" w:cs="Arial"/>
          <w:sz w:val="18"/>
          <w:szCs w:val="18"/>
          <w:lang w:val="nl-NL"/>
        </w:rPr>
        <w:t>een beroep doen op de toepassing van bepalingen van het Verdrag.</w:t>
      </w:r>
      <w:r w:rsidRPr="005C1870" w:rsidR="00770B7A">
        <w:rPr>
          <w:rFonts w:ascii="Verdana" w:hAnsi="Verdana" w:cs="Arial"/>
          <w:sz w:val="18"/>
          <w:szCs w:val="18"/>
          <w:lang w:val="nl-NL"/>
        </w:rPr>
        <w:t xml:space="preserve"> </w:t>
      </w:r>
      <w:r w:rsidRPr="005C1870">
        <w:rPr>
          <w:rFonts w:ascii="Verdana" w:hAnsi="Verdana" w:cs="Arial"/>
          <w:sz w:val="18"/>
          <w:szCs w:val="18"/>
          <w:lang w:val="nl-NL"/>
        </w:rPr>
        <w:t>De bepaling ziet zowel op diplomaten die door de zendstaat zijn uitgezonden n</w:t>
      </w:r>
      <w:r w:rsidRPr="005C1870" w:rsidR="00D409DF">
        <w:rPr>
          <w:rFonts w:ascii="Verdana" w:hAnsi="Verdana" w:cs="Arial"/>
          <w:sz w:val="18"/>
          <w:szCs w:val="18"/>
          <w:lang w:val="nl-NL"/>
        </w:rPr>
        <w:t xml:space="preserve">aar de andere </w:t>
      </w:r>
      <w:r w:rsidR="0021450B">
        <w:rPr>
          <w:rFonts w:ascii="Verdana" w:hAnsi="Verdana" w:cs="Arial"/>
          <w:sz w:val="18"/>
          <w:szCs w:val="18"/>
          <w:lang w:val="nl-NL"/>
        </w:rPr>
        <w:t>verdragsluitende staat</w:t>
      </w:r>
      <w:r w:rsidRPr="005C1870">
        <w:rPr>
          <w:rFonts w:ascii="Verdana" w:hAnsi="Verdana" w:cs="Arial"/>
          <w:sz w:val="18"/>
          <w:szCs w:val="18"/>
          <w:lang w:val="nl-NL"/>
        </w:rPr>
        <w:t xml:space="preserve"> als op diplomaten die naar </w:t>
      </w:r>
      <w:r w:rsidRPr="005C1870" w:rsidR="004528ED">
        <w:rPr>
          <w:rFonts w:ascii="Verdana" w:hAnsi="Verdana" w:cs="Arial"/>
          <w:sz w:val="18"/>
          <w:szCs w:val="18"/>
          <w:lang w:val="nl-NL"/>
        </w:rPr>
        <w:t xml:space="preserve">derde </w:t>
      </w:r>
      <w:r w:rsidRPr="005C1870" w:rsidR="00BD6703">
        <w:rPr>
          <w:rFonts w:ascii="Verdana" w:hAnsi="Verdana" w:cs="Arial"/>
          <w:sz w:val="18"/>
          <w:szCs w:val="18"/>
          <w:lang w:val="nl-NL"/>
        </w:rPr>
        <w:t>s</w:t>
      </w:r>
      <w:r w:rsidRPr="005C1870">
        <w:rPr>
          <w:rFonts w:ascii="Verdana" w:hAnsi="Verdana" w:cs="Arial"/>
          <w:sz w:val="18"/>
          <w:szCs w:val="18"/>
          <w:lang w:val="nl-NL"/>
        </w:rPr>
        <w:t>taten zijn uitgezonden. Voor Nederland sluit deze bepaling aan bij de woonplaatsfictie van artikel 2.2, tweede lid,</w:t>
      </w:r>
      <w:r w:rsidR="00EA4E00">
        <w:rPr>
          <w:rFonts w:ascii="Verdana" w:hAnsi="Verdana" w:cs="Arial"/>
          <w:sz w:val="18"/>
          <w:szCs w:val="18"/>
          <w:lang w:val="nl-NL"/>
        </w:rPr>
        <w:t xml:space="preserve"> aanhef en onderdeel a,</w:t>
      </w:r>
      <w:r w:rsidRPr="005C1870">
        <w:rPr>
          <w:rFonts w:ascii="Verdana" w:hAnsi="Verdana" w:cs="Arial"/>
          <w:sz w:val="18"/>
          <w:szCs w:val="18"/>
          <w:lang w:val="nl-NL"/>
        </w:rPr>
        <w:t xml:space="preserve"> van de Wet inkomstenbelasting 2001.</w:t>
      </w:r>
    </w:p>
    <w:p w:rsidRPr="005C1870" w:rsidR="00BB106C" w:rsidP="00CD077B" w:rsidRDefault="00BB106C" w14:paraId="7A710491" w14:textId="77777777">
      <w:pPr>
        <w:ind w:firstLine="720"/>
        <w:rPr>
          <w:rFonts w:ascii="Verdana" w:hAnsi="Verdana" w:cs="Arial"/>
          <w:sz w:val="18"/>
          <w:szCs w:val="18"/>
          <w:lang w:val="nl-NL"/>
        </w:rPr>
      </w:pPr>
      <w:r w:rsidRPr="005C1870">
        <w:rPr>
          <w:rFonts w:ascii="Verdana" w:hAnsi="Verdana" w:cs="Arial"/>
          <w:sz w:val="18"/>
          <w:szCs w:val="18"/>
          <w:lang w:val="nl-NL"/>
        </w:rPr>
        <w:t xml:space="preserve"> Het derde lid is ontleend aan paragraaf 4 van het commentaar op artikel 28 van het OESO-modelverdrag. Op grond van deze bepaling hebben internationale organisaties en hun organen of hun functionarissen, evenals leden van een diplomatieke vertegenwoordiging of consulaire post van een derde staa</w:t>
      </w:r>
      <w:r w:rsidRPr="005C1870" w:rsidR="00D409DF">
        <w:rPr>
          <w:rFonts w:ascii="Verdana" w:hAnsi="Verdana" w:cs="Arial"/>
          <w:sz w:val="18"/>
          <w:szCs w:val="18"/>
          <w:lang w:val="nl-NL"/>
        </w:rPr>
        <w:t xml:space="preserve">t die in een </w:t>
      </w:r>
      <w:r w:rsidR="0021450B">
        <w:rPr>
          <w:rFonts w:ascii="Verdana" w:hAnsi="Verdana" w:cs="Arial"/>
          <w:sz w:val="18"/>
          <w:szCs w:val="18"/>
          <w:lang w:val="nl-NL"/>
        </w:rPr>
        <w:t>verdragsluitende staat</w:t>
      </w:r>
      <w:r w:rsidRPr="005C1870">
        <w:rPr>
          <w:rFonts w:ascii="Verdana" w:hAnsi="Verdana" w:cs="Arial"/>
          <w:sz w:val="18"/>
          <w:szCs w:val="18"/>
          <w:lang w:val="nl-NL"/>
        </w:rPr>
        <w:t xml:space="preserve"> verblijven</w:t>
      </w:r>
      <w:r w:rsidR="00C9333A">
        <w:rPr>
          <w:rFonts w:ascii="Verdana" w:hAnsi="Verdana" w:cs="Arial"/>
          <w:sz w:val="18"/>
          <w:szCs w:val="18"/>
          <w:lang w:val="nl-NL"/>
        </w:rPr>
        <w:t>,</w:t>
      </w:r>
      <w:r w:rsidRPr="005C1870">
        <w:rPr>
          <w:rFonts w:ascii="Verdana" w:hAnsi="Verdana" w:cs="Arial"/>
          <w:sz w:val="18"/>
          <w:szCs w:val="18"/>
          <w:lang w:val="nl-NL"/>
        </w:rPr>
        <w:t xml:space="preserve"> geen recht op de voordelen van het Verdrag indien zij niet op dezelfde wijze aan de belastingheffing naar het inkomen zijn onderworpen als inwoners van die </w:t>
      </w:r>
      <w:r w:rsidR="003103E7">
        <w:rPr>
          <w:rFonts w:ascii="Verdana" w:hAnsi="Verdana" w:cs="Arial"/>
          <w:sz w:val="18"/>
          <w:szCs w:val="18"/>
          <w:lang w:val="nl-NL"/>
        </w:rPr>
        <w:t>staat</w:t>
      </w:r>
      <w:r w:rsidRPr="005C1870">
        <w:rPr>
          <w:rFonts w:ascii="Verdana" w:hAnsi="Verdana" w:cs="Arial"/>
          <w:sz w:val="18"/>
          <w:szCs w:val="18"/>
          <w:lang w:val="nl-NL"/>
        </w:rPr>
        <w:t xml:space="preserve">. </w:t>
      </w:r>
    </w:p>
    <w:p w:rsidRPr="005C1870" w:rsidR="001460E2" w:rsidRDefault="001460E2" w14:paraId="5CC92F54" w14:textId="77777777">
      <w:pPr>
        <w:spacing w:line="240" w:lineRule="auto"/>
        <w:ind w:firstLine="0"/>
        <w:rPr>
          <w:rFonts w:ascii="Verdana" w:hAnsi="Verdana" w:cs="Arial"/>
          <w:bCs/>
          <w:i/>
          <w:sz w:val="18"/>
          <w:szCs w:val="18"/>
          <w:lang w:val="nl-NL"/>
        </w:rPr>
      </w:pPr>
    </w:p>
    <w:p w:rsidRPr="00916448" w:rsidR="00550965" w:rsidP="00CD077B" w:rsidRDefault="00550965" w14:paraId="2D297EB6" w14:textId="77777777">
      <w:pPr>
        <w:ind w:firstLine="0"/>
        <w:rPr>
          <w:rFonts w:ascii="Verdana" w:hAnsi="Verdana" w:cs="Arial"/>
          <w:i/>
          <w:sz w:val="18"/>
          <w:szCs w:val="18"/>
          <w:lang w:val="nl-NL"/>
        </w:rPr>
      </w:pPr>
      <w:r w:rsidRPr="00916448">
        <w:rPr>
          <w:rFonts w:ascii="Verdana" w:hAnsi="Verdana" w:cs="Arial"/>
          <w:bCs/>
          <w:i/>
          <w:sz w:val="18"/>
          <w:szCs w:val="18"/>
          <w:lang w:val="nl-NL"/>
        </w:rPr>
        <w:t>II.29</w:t>
      </w:r>
      <w:r w:rsidRPr="00916448" w:rsidR="00237644">
        <w:rPr>
          <w:rFonts w:ascii="Verdana" w:hAnsi="Verdana" w:cs="Arial"/>
          <w:bCs/>
          <w:i/>
          <w:sz w:val="18"/>
          <w:szCs w:val="18"/>
          <w:lang w:val="nl-NL"/>
        </w:rPr>
        <w:t>.</w:t>
      </w:r>
      <w:r w:rsidRPr="00916448">
        <w:rPr>
          <w:rFonts w:ascii="Verdana" w:hAnsi="Verdana" w:cs="Arial"/>
          <w:bCs/>
          <w:i/>
          <w:sz w:val="18"/>
          <w:szCs w:val="18"/>
          <w:lang w:val="nl-NL"/>
        </w:rPr>
        <w:t xml:space="preserve"> Uitbreiding tot andere gebieden (artikel 29</w:t>
      </w:r>
      <w:r w:rsidRPr="00780A5E" w:rsidR="00780A5E">
        <w:rPr>
          <w:lang w:val="nl-NL"/>
        </w:rPr>
        <w:t xml:space="preserve"> </w:t>
      </w:r>
      <w:r w:rsidRPr="00780A5E" w:rsidR="00780A5E">
        <w:rPr>
          <w:rFonts w:ascii="Verdana" w:hAnsi="Verdana" w:cs="Arial"/>
          <w:bCs/>
          <w:i/>
          <w:sz w:val="18"/>
          <w:szCs w:val="18"/>
          <w:lang w:val="nl-NL"/>
        </w:rPr>
        <w:t>van het Verdrag</w:t>
      </w:r>
      <w:r w:rsidRPr="00916448">
        <w:rPr>
          <w:rFonts w:ascii="Verdana" w:hAnsi="Verdana" w:cs="Arial"/>
          <w:bCs/>
          <w:i/>
          <w:sz w:val="18"/>
          <w:szCs w:val="18"/>
          <w:lang w:val="nl-NL"/>
        </w:rPr>
        <w:t>)</w:t>
      </w:r>
    </w:p>
    <w:p w:rsidRPr="00780A5E" w:rsidR="00550965" w:rsidP="00CD077B" w:rsidRDefault="00550965" w14:paraId="2BEED3C0" w14:textId="77777777">
      <w:pPr>
        <w:rPr>
          <w:rFonts w:ascii="Verdana" w:hAnsi="Verdana" w:cs="Arial"/>
          <w:sz w:val="18"/>
          <w:szCs w:val="18"/>
          <w:lang w:val="nl-NL"/>
        </w:rPr>
      </w:pPr>
    </w:p>
    <w:p w:rsidRPr="00780A5E" w:rsidR="00550965" w:rsidP="00CD077B" w:rsidRDefault="00451FC3" w14:paraId="043E391B" w14:textId="77777777">
      <w:pPr>
        <w:ind w:firstLine="720"/>
        <w:rPr>
          <w:rFonts w:ascii="Verdana" w:hAnsi="Verdana" w:cs="Arial"/>
          <w:sz w:val="18"/>
          <w:szCs w:val="18"/>
          <w:lang w:val="nl-NL"/>
        </w:rPr>
      </w:pPr>
      <w:r w:rsidRPr="00780A5E">
        <w:rPr>
          <w:rFonts w:ascii="Verdana" w:hAnsi="Verdana" w:cs="Arial"/>
          <w:sz w:val="18"/>
          <w:szCs w:val="18"/>
          <w:lang w:val="nl-NL"/>
        </w:rPr>
        <w:t>H</w:t>
      </w:r>
      <w:r w:rsidRPr="00780A5E" w:rsidR="00273C6D">
        <w:rPr>
          <w:rFonts w:ascii="Verdana" w:hAnsi="Verdana" w:cs="Arial"/>
          <w:sz w:val="18"/>
          <w:szCs w:val="18"/>
          <w:lang w:val="nl-NL"/>
        </w:rPr>
        <w:t>et eerste lid van dit artikel bepaal</w:t>
      </w:r>
      <w:r w:rsidRPr="00780A5E">
        <w:rPr>
          <w:rFonts w:ascii="Verdana" w:hAnsi="Verdana" w:cs="Arial"/>
          <w:sz w:val="18"/>
          <w:szCs w:val="18"/>
          <w:lang w:val="nl-NL"/>
        </w:rPr>
        <w:t>t</w:t>
      </w:r>
      <w:r w:rsidRPr="00780A5E" w:rsidR="00273C6D">
        <w:rPr>
          <w:rFonts w:ascii="Verdana" w:hAnsi="Verdana" w:cs="Arial"/>
          <w:sz w:val="18"/>
          <w:szCs w:val="18"/>
          <w:lang w:val="nl-NL"/>
        </w:rPr>
        <w:t xml:space="preserve"> dat het Verdrag - mits aan bepaalde voorwaarden wordt voldaan - kan worden uitgebreid tot </w:t>
      </w:r>
      <w:r w:rsidRPr="00780A5E" w:rsidR="00550965">
        <w:rPr>
          <w:rFonts w:ascii="Verdana" w:hAnsi="Verdana" w:cs="Arial"/>
          <w:sz w:val="18"/>
          <w:szCs w:val="18"/>
          <w:lang w:val="nl-NL"/>
        </w:rPr>
        <w:t>Aruba, Curaçao</w:t>
      </w:r>
      <w:r w:rsidRPr="00780A5E" w:rsidR="00592D39">
        <w:rPr>
          <w:rFonts w:ascii="Verdana" w:hAnsi="Verdana" w:cs="Arial"/>
          <w:sz w:val="18"/>
          <w:szCs w:val="18"/>
          <w:lang w:val="nl-NL"/>
        </w:rPr>
        <w:t xml:space="preserve"> of </w:t>
      </w:r>
      <w:r w:rsidRPr="00780A5E" w:rsidR="00550965">
        <w:rPr>
          <w:rFonts w:ascii="Verdana" w:hAnsi="Verdana" w:cs="Arial"/>
          <w:sz w:val="18"/>
          <w:szCs w:val="18"/>
          <w:lang w:val="nl-NL"/>
        </w:rPr>
        <w:t xml:space="preserve">Sint Maarten. </w:t>
      </w:r>
    </w:p>
    <w:p w:rsidRPr="00BA2B89" w:rsidR="00550965" w:rsidP="00CD077B" w:rsidRDefault="00550965" w14:paraId="622177CE" w14:textId="306ADE17">
      <w:pPr>
        <w:rPr>
          <w:rFonts w:ascii="Verdana" w:hAnsi="Verdana" w:cs="Arial"/>
          <w:sz w:val="18"/>
          <w:szCs w:val="18"/>
          <w:lang w:val="nl-NL"/>
        </w:rPr>
      </w:pPr>
      <w:r w:rsidRPr="0021450B">
        <w:rPr>
          <w:rFonts w:ascii="Verdana" w:hAnsi="Verdana" w:cs="Arial"/>
          <w:sz w:val="18"/>
          <w:szCs w:val="18"/>
          <w:lang w:val="nl-NL"/>
        </w:rPr>
        <w:t>Als het Verdrag in overeenstemming met het eerste lid is uitgebreid</w:t>
      </w:r>
      <w:r w:rsidRPr="0021450B" w:rsidR="00237644">
        <w:rPr>
          <w:rFonts w:ascii="Verdana" w:hAnsi="Verdana" w:cs="Arial"/>
          <w:sz w:val="18"/>
          <w:szCs w:val="18"/>
          <w:lang w:val="nl-NL"/>
        </w:rPr>
        <w:t>,</w:t>
      </w:r>
      <w:r w:rsidRPr="0021450B">
        <w:rPr>
          <w:rFonts w:ascii="Verdana" w:hAnsi="Verdana" w:cs="Arial"/>
          <w:sz w:val="18"/>
          <w:szCs w:val="18"/>
          <w:lang w:val="nl-NL"/>
        </w:rPr>
        <w:t xml:space="preserve"> dan wordt die uitbreiding op grond van het tweede lid </w:t>
      </w:r>
      <w:r w:rsidRPr="0021450B" w:rsidR="00705B77">
        <w:rPr>
          <w:rFonts w:ascii="Verdana" w:hAnsi="Verdana" w:cs="Arial"/>
          <w:sz w:val="18"/>
          <w:szCs w:val="18"/>
          <w:lang w:val="nl-NL"/>
        </w:rPr>
        <w:t xml:space="preserve">niet </w:t>
      </w:r>
      <w:r w:rsidRPr="0021450B">
        <w:rPr>
          <w:rFonts w:ascii="Verdana" w:hAnsi="Verdana" w:cs="Arial"/>
          <w:sz w:val="18"/>
          <w:szCs w:val="18"/>
          <w:lang w:val="nl-NL"/>
        </w:rPr>
        <w:t xml:space="preserve">automatisch beëindigd als </w:t>
      </w:r>
      <w:r w:rsidRPr="0021450B" w:rsidR="00705B77">
        <w:rPr>
          <w:rFonts w:ascii="Verdana" w:hAnsi="Verdana" w:cs="Arial"/>
          <w:sz w:val="18"/>
          <w:szCs w:val="18"/>
          <w:lang w:val="nl-NL"/>
        </w:rPr>
        <w:t>het</w:t>
      </w:r>
      <w:r w:rsidRPr="00BA2B89">
        <w:rPr>
          <w:rFonts w:ascii="Verdana" w:hAnsi="Verdana" w:cs="Arial"/>
          <w:sz w:val="18"/>
          <w:szCs w:val="18"/>
          <w:lang w:val="nl-NL"/>
        </w:rPr>
        <w:t xml:space="preserve"> Verdrag wordt beëindigd, tenzij anders overeengekomen. </w:t>
      </w:r>
    </w:p>
    <w:p w:rsidRPr="006C1373" w:rsidR="00550965" w:rsidP="00CD077B" w:rsidRDefault="00550965" w14:paraId="38FE001D" w14:textId="77777777">
      <w:pPr>
        <w:rPr>
          <w:rFonts w:ascii="Verdana" w:hAnsi="Verdana" w:cs="Arial"/>
          <w:sz w:val="18"/>
          <w:szCs w:val="18"/>
          <w:lang w:val="nl-NL"/>
        </w:rPr>
      </w:pPr>
    </w:p>
    <w:p w:rsidRPr="00780A5E" w:rsidR="00550965" w:rsidP="00CD077B" w:rsidRDefault="00550965" w14:paraId="0357300E" w14:textId="77777777">
      <w:pPr>
        <w:ind w:firstLine="0"/>
        <w:outlineLvl w:val="4"/>
        <w:rPr>
          <w:rFonts w:ascii="Verdana" w:hAnsi="Verdana" w:cs="Arial"/>
          <w:i/>
          <w:iCs/>
          <w:sz w:val="18"/>
          <w:szCs w:val="18"/>
          <w:lang w:val="nl-NL"/>
        </w:rPr>
      </w:pPr>
      <w:bookmarkStart w:name="d16e975" w:id="1"/>
      <w:bookmarkEnd w:id="1"/>
      <w:r w:rsidRPr="00DD3563">
        <w:rPr>
          <w:rFonts w:ascii="Verdana" w:hAnsi="Verdana" w:cs="Arial"/>
          <w:i/>
          <w:iCs/>
          <w:sz w:val="18"/>
          <w:szCs w:val="18"/>
          <w:lang w:val="nl-NL"/>
        </w:rPr>
        <w:t>II.</w:t>
      </w:r>
      <w:r w:rsidRPr="00DD3563" w:rsidR="00273C6D">
        <w:rPr>
          <w:rFonts w:ascii="Verdana" w:hAnsi="Verdana" w:cs="Arial"/>
          <w:i/>
          <w:iCs/>
          <w:sz w:val="18"/>
          <w:szCs w:val="18"/>
          <w:lang w:val="nl-NL"/>
        </w:rPr>
        <w:t>30</w:t>
      </w:r>
      <w:r w:rsidRPr="00DD3563">
        <w:rPr>
          <w:rFonts w:ascii="Verdana" w:hAnsi="Verdana" w:cs="Arial"/>
          <w:i/>
          <w:iCs/>
          <w:sz w:val="18"/>
          <w:szCs w:val="18"/>
          <w:lang w:val="nl-NL"/>
        </w:rPr>
        <w:t xml:space="preserve">. Inwerkingtreding (artikel </w:t>
      </w:r>
      <w:r w:rsidRPr="003F7CD6" w:rsidR="00273C6D">
        <w:rPr>
          <w:rFonts w:ascii="Verdana" w:hAnsi="Verdana" w:cs="Arial"/>
          <w:i/>
          <w:iCs/>
          <w:sz w:val="18"/>
          <w:szCs w:val="18"/>
          <w:lang w:val="nl-NL"/>
        </w:rPr>
        <w:t>30</w:t>
      </w:r>
      <w:r w:rsidRPr="00780A5E" w:rsidR="00780A5E">
        <w:rPr>
          <w:lang w:val="nl-NL"/>
        </w:rPr>
        <w:t xml:space="preserve"> </w:t>
      </w:r>
      <w:r w:rsidRPr="00780A5E" w:rsidR="00780A5E">
        <w:rPr>
          <w:rFonts w:ascii="Verdana" w:hAnsi="Verdana" w:cs="Arial"/>
          <w:i/>
          <w:iCs/>
          <w:sz w:val="18"/>
          <w:szCs w:val="18"/>
          <w:lang w:val="nl-NL"/>
        </w:rPr>
        <w:t>van het Verdrag</w:t>
      </w:r>
      <w:r w:rsidRPr="00780A5E">
        <w:rPr>
          <w:rFonts w:ascii="Verdana" w:hAnsi="Verdana" w:cs="Arial"/>
          <w:i/>
          <w:iCs/>
          <w:sz w:val="18"/>
          <w:szCs w:val="18"/>
          <w:lang w:val="nl-NL"/>
        </w:rPr>
        <w:t xml:space="preserve">) </w:t>
      </w:r>
    </w:p>
    <w:p w:rsidRPr="00780A5E" w:rsidR="00550965" w:rsidP="00CD077B" w:rsidRDefault="00550965" w14:paraId="42DB428E" w14:textId="77777777">
      <w:pPr>
        <w:rPr>
          <w:rFonts w:ascii="Verdana" w:hAnsi="Verdana" w:cs="Arial"/>
          <w:sz w:val="18"/>
          <w:szCs w:val="18"/>
          <w:lang w:val="nl-NL"/>
        </w:rPr>
      </w:pPr>
    </w:p>
    <w:p w:rsidRPr="005C1870" w:rsidR="00273C6D" w:rsidP="00CD077B" w:rsidRDefault="00273C6D" w14:paraId="709527A3" w14:textId="77777777">
      <w:pPr>
        <w:ind w:firstLine="720"/>
        <w:rPr>
          <w:rFonts w:ascii="Verdana" w:hAnsi="Verdana" w:cs="Arial"/>
          <w:sz w:val="18"/>
          <w:szCs w:val="18"/>
          <w:lang w:val="nl-NL"/>
        </w:rPr>
      </w:pPr>
      <w:r w:rsidRPr="0021450B">
        <w:rPr>
          <w:rFonts w:ascii="Verdana" w:hAnsi="Verdana" w:cs="Arial"/>
          <w:sz w:val="18"/>
          <w:szCs w:val="18"/>
          <w:lang w:val="nl-NL"/>
        </w:rPr>
        <w:t xml:space="preserve">Artikel 30 regelt de inwerkingtreding van het Verdrag. </w:t>
      </w:r>
      <w:r w:rsidRPr="0021450B" w:rsidR="00873B6E">
        <w:rPr>
          <w:rFonts w:ascii="Verdana" w:hAnsi="Verdana" w:cs="Arial"/>
          <w:sz w:val="18"/>
          <w:szCs w:val="18"/>
          <w:lang w:val="nl-NL"/>
        </w:rPr>
        <w:t>Als gevolg van</w:t>
      </w:r>
      <w:r w:rsidRPr="0021450B" w:rsidR="00592D39">
        <w:rPr>
          <w:rFonts w:ascii="Verdana" w:hAnsi="Verdana" w:cs="Arial"/>
          <w:sz w:val="18"/>
          <w:szCs w:val="18"/>
          <w:lang w:val="nl-NL"/>
        </w:rPr>
        <w:t xml:space="preserve"> het eerste lid zullen d</w:t>
      </w:r>
      <w:r w:rsidRPr="0021450B">
        <w:rPr>
          <w:rFonts w:ascii="Verdana" w:hAnsi="Verdana" w:cs="Arial"/>
          <w:sz w:val="18"/>
          <w:szCs w:val="18"/>
          <w:lang w:val="nl-NL"/>
        </w:rPr>
        <w:t xml:space="preserve">e </w:t>
      </w:r>
      <w:r w:rsidR="0021450B">
        <w:rPr>
          <w:rFonts w:ascii="Verdana" w:hAnsi="Verdana" w:cs="Arial"/>
          <w:sz w:val="18"/>
          <w:szCs w:val="18"/>
          <w:lang w:val="nl-NL"/>
        </w:rPr>
        <w:t>verdragsluitende staten</w:t>
      </w:r>
      <w:r w:rsidRPr="0021450B" w:rsidR="008C113B">
        <w:rPr>
          <w:rFonts w:ascii="Verdana" w:hAnsi="Verdana" w:cs="Arial"/>
          <w:sz w:val="18"/>
          <w:szCs w:val="18"/>
          <w:lang w:val="nl-NL"/>
        </w:rPr>
        <w:t xml:space="preserve"> </w:t>
      </w:r>
      <w:r w:rsidRPr="0021450B">
        <w:rPr>
          <w:rFonts w:ascii="Verdana" w:hAnsi="Verdana" w:cs="Arial"/>
          <w:sz w:val="18"/>
          <w:szCs w:val="18"/>
          <w:lang w:val="nl-NL"/>
        </w:rPr>
        <w:t>elkaar</w:t>
      </w:r>
      <w:r w:rsidR="005C1870">
        <w:rPr>
          <w:rFonts w:ascii="Verdana" w:hAnsi="Verdana" w:cs="Arial"/>
          <w:sz w:val="18"/>
          <w:szCs w:val="18"/>
          <w:lang w:val="nl-NL"/>
        </w:rPr>
        <w:t xml:space="preserve"> er</w:t>
      </w:r>
      <w:r w:rsidRPr="005C1870">
        <w:rPr>
          <w:rFonts w:ascii="Verdana" w:hAnsi="Verdana" w:cs="Arial"/>
          <w:sz w:val="18"/>
          <w:szCs w:val="18"/>
          <w:lang w:val="nl-NL"/>
        </w:rPr>
        <w:t xml:space="preserve"> </w:t>
      </w:r>
      <w:r w:rsidR="005C1870">
        <w:rPr>
          <w:rFonts w:ascii="Verdana" w:hAnsi="Verdana" w:cs="Arial"/>
          <w:sz w:val="18"/>
          <w:szCs w:val="18"/>
          <w:lang w:val="nl-NL"/>
        </w:rPr>
        <w:t xml:space="preserve">schriftelijk </w:t>
      </w:r>
      <w:r w:rsidR="0093178B">
        <w:rPr>
          <w:rFonts w:ascii="Verdana" w:hAnsi="Verdana" w:cs="Arial"/>
          <w:sz w:val="18"/>
          <w:szCs w:val="18"/>
          <w:lang w:val="nl-NL"/>
        </w:rPr>
        <w:t xml:space="preserve">van </w:t>
      </w:r>
      <w:r w:rsidRPr="005C1870">
        <w:rPr>
          <w:rFonts w:ascii="Verdana" w:hAnsi="Verdana" w:cs="Arial"/>
          <w:sz w:val="18"/>
          <w:szCs w:val="18"/>
          <w:lang w:val="nl-NL"/>
        </w:rPr>
        <w:t xml:space="preserve">in kennis </w:t>
      </w:r>
      <w:r w:rsidRPr="005C1870" w:rsidR="00592D39">
        <w:rPr>
          <w:rFonts w:ascii="Verdana" w:hAnsi="Verdana" w:cs="Arial"/>
          <w:sz w:val="18"/>
          <w:szCs w:val="18"/>
          <w:lang w:val="nl-NL"/>
        </w:rPr>
        <w:t xml:space="preserve">stellen </w:t>
      </w:r>
      <w:r w:rsidRPr="005C1870">
        <w:rPr>
          <w:rFonts w:ascii="Verdana" w:hAnsi="Verdana" w:cs="Arial"/>
          <w:sz w:val="18"/>
          <w:szCs w:val="18"/>
          <w:lang w:val="nl-NL"/>
        </w:rPr>
        <w:t xml:space="preserve">dat de in hun </w:t>
      </w:r>
      <w:r w:rsidR="003103E7">
        <w:rPr>
          <w:rFonts w:ascii="Verdana" w:hAnsi="Verdana" w:cs="Arial"/>
          <w:sz w:val="18"/>
          <w:szCs w:val="18"/>
          <w:lang w:val="nl-NL"/>
        </w:rPr>
        <w:t>staat</w:t>
      </w:r>
      <w:r w:rsidRPr="005C1870">
        <w:rPr>
          <w:rFonts w:ascii="Verdana" w:hAnsi="Verdana" w:cs="Arial"/>
          <w:sz w:val="18"/>
          <w:szCs w:val="18"/>
          <w:lang w:val="nl-NL"/>
        </w:rPr>
        <w:t xml:space="preserve"> vereiste wettelijke procedures voor de inwerkingtreding van het Verdrag zijn vervuld. Het Verdrag treedt dan in werking op de laatste dag van de maand volgend op de maand waarin de laatste kennisgeving is ontvangen. </w:t>
      </w:r>
    </w:p>
    <w:p w:rsidRPr="0021450B" w:rsidR="00AD15E1" w:rsidP="00CD077B" w:rsidRDefault="00873B6E" w14:paraId="251E8131" w14:textId="77777777">
      <w:pPr>
        <w:rPr>
          <w:rFonts w:ascii="Verdana" w:hAnsi="Verdana" w:cs="Arial"/>
          <w:sz w:val="18"/>
          <w:szCs w:val="18"/>
          <w:lang w:val="nl-NL"/>
        </w:rPr>
      </w:pPr>
      <w:r w:rsidRPr="00916448">
        <w:rPr>
          <w:rFonts w:ascii="Verdana" w:hAnsi="Verdana" w:cs="Arial"/>
          <w:sz w:val="18"/>
          <w:szCs w:val="18"/>
          <w:lang w:val="nl-NL"/>
        </w:rPr>
        <w:t>Als gevolg van</w:t>
      </w:r>
      <w:r w:rsidRPr="00916448" w:rsidR="00592D39">
        <w:rPr>
          <w:rFonts w:ascii="Verdana" w:hAnsi="Verdana" w:cs="Arial"/>
          <w:sz w:val="18"/>
          <w:szCs w:val="18"/>
          <w:lang w:val="nl-NL"/>
        </w:rPr>
        <w:t xml:space="preserve"> het tweede lid vindt d</w:t>
      </w:r>
      <w:r w:rsidRPr="00916448" w:rsidR="00273C6D">
        <w:rPr>
          <w:rFonts w:ascii="Verdana" w:hAnsi="Verdana" w:cs="Arial"/>
          <w:sz w:val="18"/>
          <w:szCs w:val="18"/>
          <w:lang w:val="nl-NL"/>
        </w:rPr>
        <w:t>e toepassing van</w:t>
      </w:r>
      <w:r w:rsidR="0093178B">
        <w:rPr>
          <w:rFonts w:ascii="Verdana" w:hAnsi="Verdana" w:cs="Arial"/>
          <w:sz w:val="18"/>
          <w:szCs w:val="18"/>
          <w:lang w:val="nl-NL"/>
        </w:rPr>
        <w:t xml:space="preserve"> het</w:t>
      </w:r>
      <w:r w:rsidRPr="00916448" w:rsidR="00273C6D">
        <w:rPr>
          <w:rFonts w:ascii="Verdana" w:hAnsi="Verdana" w:cs="Arial"/>
          <w:sz w:val="18"/>
          <w:szCs w:val="18"/>
          <w:lang w:val="nl-NL"/>
        </w:rPr>
        <w:t xml:space="preserve"> Verdrag </w:t>
      </w:r>
      <w:r w:rsidRPr="00780A5E" w:rsidR="00592D39">
        <w:rPr>
          <w:rFonts w:ascii="Verdana" w:hAnsi="Verdana" w:cs="Arial"/>
          <w:sz w:val="18"/>
          <w:szCs w:val="18"/>
          <w:lang w:val="nl-NL"/>
        </w:rPr>
        <w:t xml:space="preserve">voor </w:t>
      </w:r>
      <w:r w:rsidRPr="00780A5E" w:rsidR="00273C6D">
        <w:rPr>
          <w:rFonts w:ascii="Verdana" w:hAnsi="Verdana" w:cs="Arial"/>
          <w:sz w:val="18"/>
          <w:szCs w:val="18"/>
          <w:lang w:val="nl-NL"/>
        </w:rPr>
        <w:t xml:space="preserve">bronbelastingen </w:t>
      </w:r>
      <w:r w:rsidRPr="00780A5E" w:rsidR="00AD15E1">
        <w:rPr>
          <w:rFonts w:ascii="Verdana" w:hAnsi="Verdana" w:cs="Arial"/>
          <w:sz w:val="18"/>
          <w:szCs w:val="18"/>
          <w:lang w:val="nl-NL"/>
        </w:rPr>
        <w:t xml:space="preserve">plaats </w:t>
      </w:r>
      <w:r w:rsidRPr="00780A5E" w:rsidR="00273C6D">
        <w:rPr>
          <w:rFonts w:ascii="Verdana" w:hAnsi="Verdana" w:cs="Arial"/>
          <w:sz w:val="18"/>
          <w:szCs w:val="18"/>
          <w:lang w:val="nl-NL"/>
        </w:rPr>
        <w:t>op bedragen die worden betaald of ontvangen op of na de eerste dag van januari volgend op het kalende</w:t>
      </w:r>
      <w:r w:rsidRPr="00780A5E" w:rsidR="00334E09">
        <w:rPr>
          <w:rFonts w:ascii="Verdana" w:hAnsi="Verdana" w:cs="Arial"/>
          <w:sz w:val="18"/>
          <w:szCs w:val="18"/>
          <w:lang w:val="nl-NL"/>
        </w:rPr>
        <w:t>rjaar waarin het V</w:t>
      </w:r>
      <w:r w:rsidRPr="00780A5E" w:rsidR="00273C6D">
        <w:rPr>
          <w:rFonts w:ascii="Verdana" w:hAnsi="Verdana" w:cs="Arial"/>
          <w:sz w:val="18"/>
          <w:szCs w:val="18"/>
          <w:lang w:val="nl-NL"/>
        </w:rPr>
        <w:t xml:space="preserve">erdrag in werking treedt. Voor andere belastingen geldt dat het Verdrag wordt toegepast </w:t>
      </w:r>
      <w:r w:rsidRPr="00780A5E" w:rsidR="00451FC3">
        <w:rPr>
          <w:rFonts w:ascii="Verdana" w:hAnsi="Verdana" w:cs="Arial"/>
          <w:sz w:val="18"/>
          <w:szCs w:val="18"/>
          <w:lang w:val="nl-NL"/>
        </w:rPr>
        <w:t>op</w:t>
      </w:r>
      <w:r w:rsidRPr="00780A5E" w:rsidR="00273C6D">
        <w:rPr>
          <w:rFonts w:ascii="Verdana" w:hAnsi="Verdana" w:cs="Arial"/>
          <w:sz w:val="18"/>
          <w:szCs w:val="18"/>
          <w:lang w:val="nl-NL"/>
        </w:rPr>
        <w:t xml:space="preserve"> </w:t>
      </w:r>
      <w:r w:rsidRPr="00780A5E" w:rsidR="00451FC3">
        <w:rPr>
          <w:rFonts w:ascii="Verdana" w:hAnsi="Verdana" w:cs="Arial"/>
          <w:sz w:val="18"/>
          <w:szCs w:val="18"/>
          <w:lang w:val="nl-NL"/>
        </w:rPr>
        <w:t xml:space="preserve">belastingjaren en -tijdvakken </w:t>
      </w:r>
      <w:r w:rsidRPr="0021450B" w:rsidR="00273C6D">
        <w:rPr>
          <w:rFonts w:ascii="Verdana" w:hAnsi="Verdana" w:cs="Arial"/>
          <w:sz w:val="18"/>
          <w:szCs w:val="18"/>
          <w:lang w:val="nl-NL"/>
        </w:rPr>
        <w:t xml:space="preserve">die beginnen </w:t>
      </w:r>
      <w:r w:rsidRPr="0021450B" w:rsidR="00451FC3">
        <w:rPr>
          <w:rFonts w:ascii="Verdana" w:hAnsi="Verdana" w:cs="Arial"/>
          <w:sz w:val="18"/>
          <w:szCs w:val="18"/>
          <w:lang w:val="nl-NL"/>
        </w:rPr>
        <w:t xml:space="preserve">op of na 1 januari van het kalenderjaar dat volgt op het kalenderjaar </w:t>
      </w:r>
      <w:r w:rsidRPr="0021450B" w:rsidR="00273C6D">
        <w:rPr>
          <w:rFonts w:ascii="Verdana" w:hAnsi="Verdana" w:cs="Arial"/>
          <w:sz w:val="18"/>
          <w:szCs w:val="18"/>
          <w:lang w:val="nl-NL"/>
        </w:rPr>
        <w:t xml:space="preserve">waarin het </w:t>
      </w:r>
      <w:r w:rsidRPr="0021450B" w:rsidR="00C15D0E">
        <w:rPr>
          <w:rFonts w:ascii="Verdana" w:hAnsi="Verdana" w:cs="Arial"/>
          <w:sz w:val="18"/>
          <w:szCs w:val="18"/>
          <w:lang w:val="nl-NL"/>
        </w:rPr>
        <w:t>V</w:t>
      </w:r>
      <w:r w:rsidRPr="0021450B" w:rsidR="00273C6D">
        <w:rPr>
          <w:rFonts w:ascii="Verdana" w:hAnsi="Verdana" w:cs="Arial"/>
          <w:sz w:val="18"/>
          <w:szCs w:val="18"/>
          <w:lang w:val="nl-NL"/>
        </w:rPr>
        <w:t xml:space="preserve">erdrag in werking treedt. </w:t>
      </w:r>
    </w:p>
    <w:p w:rsidRPr="00BD4E1D" w:rsidR="00AD15E1" w:rsidP="00CD077B" w:rsidRDefault="00273C6D" w14:paraId="1E4EFAB6" w14:textId="77777777">
      <w:pPr>
        <w:rPr>
          <w:rFonts w:ascii="Verdana" w:hAnsi="Verdana" w:cs="Arial"/>
          <w:sz w:val="18"/>
          <w:szCs w:val="18"/>
          <w:lang w:val="nl-NL"/>
        </w:rPr>
      </w:pPr>
      <w:r w:rsidRPr="00BA2B89">
        <w:rPr>
          <w:rFonts w:ascii="Verdana" w:hAnsi="Verdana" w:cs="Arial"/>
          <w:sz w:val="18"/>
          <w:szCs w:val="18"/>
          <w:lang w:val="nl-NL"/>
        </w:rPr>
        <w:lastRenderedPageBreak/>
        <w:t xml:space="preserve"> </w:t>
      </w:r>
      <w:r w:rsidRPr="00B6639D" w:rsidR="004E58EB">
        <w:rPr>
          <w:rFonts w:ascii="Verdana" w:hAnsi="Verdana" w:cs="Arial"/>
          <w:sz w:val="18"/>
          <w:szCs w:val="18"/>
          <w:lang w:val="nl-NL"/>
        </w:rPr>
        <w:t>H</w:t>
      </w:r>
      <w:r w:rsidRPr="006C1373" w:rsidR="00AD15E1">
        <w:rPr>
          <w:rFonts w:ascii="Verdana" w:hAnsi="Verdana" w:cs="Arial"/>
          <w:sz w:val="18"/>
          <w:szCs w:val="18"/>
          <w:lang w:val="nl-NL"/>
        </w:rPr>
        <w:t xml:space="preserve">et derde lid </w:t>
      </w:r>
      <w:r w:rsidRPr="00DD3563" w:rsidR="004E58EB">
        <w:rPr>
          <w:rFonts w:ascii="Verdana" w:hAnsi="Verdana" w:cs="Arial"/>
          <w:sz w:val="18"/>
          <w:szCs w:val="18"/>
          <w:lang w:val="nl-NL"/>
        </w:rPr>
        <w:t xml:space="preserve">bepaalt </w:t>
      </w:r>
      <w:r w:rsidRPr="00DD3563" w:rsidR="00AD15E1">
        <w:rPr>
          <w:rFonts w:ascii="Verdana" w:hAnsi="Verdana" w:cs="Arial"/>
          <w:sz w:val="18"/>
          <w:szCs w:val="18"/>
          <w:lang w:val="nl-NL"/>
        </w:rPr>
        <w:t xml:space="preserve">dat </w:t>
      </w:r>
      <w:r w:rsidRPr="00DD3563" w:rsidR="00237644">
        <w:rPr>
          <w:rFonts w:ascii="Verdana" w:hAnsi="Verdana" w:cs="Arial"/>
          <w:sz w:val="18"/>
          <w:szCs w:val="18"/>
          <w:lang w:val="nl-NL"/>
        </w:rPr>
        <w:t xml:space="preserve">het </w:t>
      </w:r>
      <w:r w:rsidRPr="003F7CD6" w:rsidR="00AD15E1">
        <w:rPr>
          <w:rFonts w:ascii="Verdana" w:hAnsi="Verdana" w:cs="Arial"/>
          <w:sz w:val="18"/>
          <w:szCs w:val="18"/>
          <w:lang w:val="nl-NL"/>
        </w:rPr>
        <w:t xml:space="preserve">Verdrag </w:t>
      </w:r>
      <w:r w:rsidRPr="00606D22" w:rsidR="00556990">
        <w:rPr>
          <w:rFonts w:ascii="Verdana" w:hAnsi="Verdana" w:cs="Arial"/>
          <w:sz w:val="18"/>
          <w:szCs w:val="18"/>
          <w:lang w:val="nl-NL"/>
        </w:rPr>
        <w:t xml:space="preserve">van </w:t>
      </w:r>
      <w:r w:rsidRPr="00606D22" w:rsidR="00237644">
        <w:rPr>
          <w:rFonts w:ascii="Verdana" w:hAnsi="Verdana" w:cs="Arial"/>
          <w:sz w:val="18"/>
          <w:szCs w:val="18"/>
          <w:lang w:val="nl-NL"/>
        </w:rPr>
        <w:t xml:space="preserve">1990 </w:t>
      </w:r>
      <w:r w:rsidRPr="00FA4BC6" w:rsidR="00AD15E1">
        <w:rPr>
          <w:rFonts w:ascii="Verdana" w:hAnsi="Verdana" w:cs="Arial"/>
          <w:sz w:val="18"/>
          <w:szCs w:val="18"/>
          <w:lang w:val="nl-NL"/>
        </w:rPr>
        <w:t xml:space="preserve">niet langer van toepassing zal zijn vanaf het tijdstip dat het Verdrag van toepassing wordt ingevolge het eerste en tweede </w:t>
      </w:r>
      <w:r w:rsidRPr="00BD4E1D" w:rsidR="00AD15E1">
        <w:rPr>
          <w:rFonts w:ascii="Verdana" w:hAnsi="Verdana" w:cs="Arial"/>
          <w:sz w:val="18"/>
          <w:szCs w:val="18"/>
          <w:lang w:val="nl-NL"/>
        </w:rPr>
        <w:t xml:space="preserve">lid. </w:t>
      </w:r>
    </w:p>
    <w:p w:rsidRPr="00CB4452" w:rsidR="007D636D" w:rsidP="00CD077B" w:rsidRDefault="00AD15E1" w14:paraId="56F4DDA6" w14:textId="71AE9A99">
      <w:pPr>
        <w:rPr>
          <w:rFonts w:ascii="Verdana" w:hAnsi="Verdana" w:cs="Arial"/>
          <w:sz w:val="18"/>
          <w:szCs w:val="18"/>
          <w:lang w:val="nl-NL"/>
        </w:rPr>
      </w:pPr>
      <w:r w:rsidRPr="00BD4E1D">
        <w:rPr>
          <w:rFonts w:ascii="Verdana" w:hAnsi="Verdana" w:cs="Arial"/>
          <w:sz w:val="18"/>
          <w:szCs w:val="18"/>
          <w:lang w:val="nl-NL"/>
        </w:rPr>
        <w:t>Het vierde lid bevat een overgangsregeling vo</w:t>
      </w:r>
      <w:r w:rsidRPr="00BD4E1D">
        <w:rPr>
          <w:rFonts w:ascii="Verdana" w:hAnsi="Verdana"/>
          <w:sz w:val="18"/>
          <w:szCs w:val="18"/>
          <w:lang w:val="nl-NL"/>
        </w:rPr>
        <w:t xml:space="preserve">or bestaande pensioenen of </w:t>
      </w:r>
      <w:r w:rsidRPr="00E01754" w:rsidR="00237644">
        <w:rPr>
          <w:rFonts w:ascii="Verdana" w:hAnsi="Verdana"/>
          <w:sz w:val="18"/>
          <w:szCs w:val="18"/>
          <w:lang w:val="nl-NL"/>
        </w:rPr>
        <w:t xml:space="preserve">andere </w:t>
      </w:r>
      <w:r w:rsidRPr="00E01754">
        <w:rPr>
          <w:rFonts w:ascii="Verdana" w:hAnsi="Verdana"/>
          <w:sz w:val="18"/>
          <w:szCs w:val="18"/>
          <w:lang w:val="nl-NL"/>
        </w:rPr>
        <w:t xml:space="preserve">soortgelijke beloningen. </w:t>
      </w:r>
      <w:r w:rsidRPr="003103E7" w:rsidR="005C0EEB">
        <w:rPr>
          <w:rFonts w:ascii="Verdana" w:hAnsi="Verdana"/>
          <w:sz w:val="18"/>
          <w:szCs w:val="18"/>
          <w:lang w:val="nl-NL"/>
        </w:rPr>
        <w:t xml:space="preserve">Zoals </w:t>
      </w:r>
      <w:r w:rsidR="007A3931">
        <w:rPr>
          <w:rFonts w:ascii="Verdana" w:hAnsi="Verdana"/>
          <w:sz w:val="18"/>
          <w:szCs w:val="18"/>
          <w:lang w:val="nl-NL"/>
        </w:rPr>
        <w:t xml:space="preserve">in de toelichting </w:t>
      </w:r>
      <w:r w:rsidR="006C120D">
        <w:rPr>
          <w:rFonts w:ascii="Verdana" w:hAnsi="Verdana"/>
          <w:sz w:val="18"/>
          <w:szCs w:val="18"/>
          <w:lang w:val="nl-NL"/>
        </w:rPr>
        <w:t>op</w:t>
      </w:r>
      <w:r w:rsidRPr="003103E7" w:rsidR="006C120D">
        <w:rPr>
          <w:rFonts w:ascii="Verdana" w:hAnsi="Verdana"/>
          <w:sz w:val="18"/>
          <w:szCs w:val="18"/>
          <w:lang w:val="nl-NL"/>
        </w:rPr>
        <w:t xml:space="preserve"> </w:t>
      </w:r>
      <w:r w:rsidRPr="003103E7" w:rsidR="00BA3F9D">
        <w:rPr>
          <w:rFonts w:ascii="Verdana" w:hAnsi="Verdana"/>
          <w:sz w:val="18"/>
          <w:szCs w:val="18"/>
          <w:lang w:val="nl-NL"/>
        </w:rPr>
        <w:t>artikel 17</w:t>
      </w:r>
      <w:r w:rsidRPr="003103E7" w:rsidR="005C0EEB">
        <w:rPr>
          <w:rFonts w:ascii="Verdana" w:hAnsi="Verdana"/>
          <w:sz w:val="18"/>
          <w:szCs w:val="18"/>
          <w:lang w:val="nl-NL"/>
        </w:rPr>
        <w:t xml:space="preserve"> is toegelicht, </w:t>
      </w:r>
      <w:r w:rsidRPr="003103E7">
        <w:rPr>
          <w:rFonts w:ascii="Verdana" w:hAnsi="Verdana"/>
          <w:sz w:val="18"/>
          <w:szCs w:val="18"/>
          <w:lang w:val="nl-NL"/>
        </w:rPr>
        <w:t xml:space="preserve">blijft </w:t>
      </w:r>
      <w:r w:rsidRPr="003103E7" w:rsidR="005C0EEB">
        <w:rPr>
          <w:rFonts w:ascii="Verdana" w:hAnsi="Verdana"/>
          <w:sz w:val="18"/>
          <w:szCs w:val="18"/>
          <w:lang w:val="nl-NL"/>
        </w:rPr>
        <w:t xml:space="preserve">hierop </w:t>
      </w:r>
      <w:r w:rsidRPr="003103E7">
        <w:rPr>
          <w:rFonts w:ascii="Verdana" w:hAnsi="Verdana"/>
          <w:sz w:val="18"/>
          <w:szCs w:val="18"/>
          <w:lang w:val="nl-NL"/>
        </w:rPr>
        <w:t xml:space="preserve">het Verdrag </w:t>
      </w:r>
      <w:r w:rsidRPr="003103E7" w:rsidR="00556990">
        <w:rPr>
          <w:rFonts w:ascii="Verdana" w:hAnsi="Verdana"/>
          <w:sz w:val="18"/>
          <w:szCs w:val="18"/>
          <w:lang w:val="nl-NL"/>
        </w:rPr>
        <w:t xml:space="preserve">van </w:t>
      </w:r>
      <w:r w:rsidRPr="003103E7" w:rsidR="00237644">
        <w:rPr>
          <w:rFonts w:ascii="Verdana" w:hAnsi="Verdana"/>
          <w:sz w:val="18"/>
          <w:szCs w:val="18"/>
          <w:lang w:val="nl-NL"/>
        </w:rPr>
        <w:t>1990</w:t>
      </w:r>
      <w:r w:rsidRPr="003103E7">
        <w:rPr>
          <w:rFonts w:ascii="Verdana" w:hAnsi="Verdana"/>
          <w:sz w:val="18"/>
          <w:szCs w:val="18"/>
          <w:lang w:val="nl-NL"/>
        </w:rPr>
        <w:t xml:space="preserve"> van toepassing, tenzij deze beloningen niet onderworpen zijn aan belastingh</w:t>
      </w:r>
      <w:r w:rsidRPr="003657E3">
        <w:rPr>
          <w:rFonts w:ascii="Verdana" w:hAnsi="Verdana"/>
          <w:sz w:val="18"/>
          <w:szCs w:val="18"/>
          <w:lang w:val="nl-NL"/>
        </w:rPr>
        <w:t>effing</w:t>
      </w:r>
      <w:r w:rsidR="00550CD8">
        <w:rPr>
          <w:rFonts w:ascii="Verdana" w:hAnsi="Verdana"/>
          <w:sz w:val="18"/>
          <w:szCs w:val="18"/>
          <w:lang w:val="nl-NL"/>
        </w:rPr>
        <w:t xml:space="preserve"> in de </w:t>
      </w:r>
      <w:r w:rsidR="00213DC4">
        <w:rPr>
          <w:rFonts w:ascii="Verdana" w:hAnsi="Verdana"/>
          <w:sz w:val="18"/>
          <w:szCs w:val="18"/>
          <w:lang w:val="nl-NL"/>
        </w:rPr>
        <w:t>v</w:t>
      </w:r>
      <w:r w:rsidR="00550CD8">
        <w:rPr>
          <w:rFonts w:ascii="Verdana" w:hAnsi="Verdana"/>
          <w:sz w:val="18"/>
          <w:szCs w:val="18"/>
          <w:lang w:val="nl-NL"/>
        </w:rPr>
        <w:t xml:space="preserve">erdragsluitende </w:t>
      </w:r>
      <w:r w:rsidR="00213DC4">
        <w:rPr>
          <w:rFonts w:ascii="Verdana" w:hAnsi="Verdana"/>
          <w:sz w:val="18"/>
          <w:szCs w:val="18"/>
          <w:lang w:val="nl-NL"/>
        </w:rPr>
        <w:t>s</w:t>
      </w:r>
      <w:r w:rsidR="00550CD8">
        <w:rPr>
          <w:rFonts w:ascii="Verdana" w:hAnsi="Verdana"/>
          <w:sz w:val="18"/>
          <w:szCs w:val="18"/>
          <w:lang w:val="nl-NL"/>
        </w:rPr>
        <w:t>taat waarvan de pensioengenieter inwoner is</w:t>
      </w:r>
      <w:r w:rsidRPr="003657E3" w:rsidR="00550CD8">
        <w:rPr>
          <w:rFonts w:ascii="Verdana" w:hAnsi="Verdana"/>
          <w:sz w:val="18"/>
          <w:szCs w:val="18"/>
          <w:lang w:val="nl-NL"/>
        </w:rPr>
        <w:t>.</w:t>
      </w:r>
      <w:r w:rsidRPr="00CB4452" w:rsidR="00550CD8">
        <w:rPr>
          <w:rFonts w:ascii="Verdana" w:hAnsi="Verdana"/>
          <w:sz w:val="18"/>
          <w:szCs w:val="18"/>
          <w:lang w:val="nl-NL"/>
        </w:rPr>
        <w:t xml:space="preserve"> </w:t>
      </w:r>
      <w:r w:rsidR="00550CD8">
        <w:rPr>
          <w:rFonts w:ascii="Verdana" w:hAnsi="Verdana"/>
          <w:sz w:val="18"/>
          <w:szCs w:val="18"/>
          <w:lang w:val="nl-NL"/>
        </w:rPr>
        <w:t>In dat geval zijn de bepalingen van artikel 17 van het Verdrag van toepassing.</w:t>
      </w:r>
      <w:r w:rsidRPr="00CB4452" w:rsidR="009E0571">
        <w:rPr>
          <w:rFonts w:ascii="Verdana" w:hAnsi="Verdana"/>
          <w:sz w:val="18"/>
          <w:szCs w:val="18"/>
          <w:lang w:val="nl-NL"/>
        </w:rPr>
        <w:t xml:space="preserve"> </w:t>
      </w:r>
    </w:p>
    <w:p w:rsidRPr="006515E9" w:rsidR="00273C6D" w:rsidP="00CD077B" w:rsidRDefault="00273C6D" w14:paraId="0AE818BA" w14:textId="77777777">
      <w:pPr>
        <w:ind w:firstLine="720"/>
        <w:rPr>
          <w:rFonts w:ascii="Verdana" w:hAnsi="Verdana" w:cs="Arial"/>
          <w:sz w:val="18"/>
          <w:szCs w:val="18"/>
          <w:highlight w:val="yellow"/>
          <w:lang w:val="nl-NL"/>
        </w:rPr>
      </w:pPr>
    </w:p>
    <w:p w:rsidRPr="00780A5E" w:rsidR="00550965" w:rsidP="00CD077B" w:rsidRDefault="00550965" w14:paraId="05094EDF" w14:textId="77777777">
      <w:pPr>
        <w:ind w:firstLine="0"/>
        <w:outlineLvl w:val="4"/>
        <w:rPr>
          <w:rFonts w:ascii="Verdana" w:hAnsi="Verdana" w:cs="Arial"/>
          <w:i/>
          <w:iCs/>
          <w:sz w:val="18"/>
          <w:szCs w:val="18"/>
          <w:lang w:val="nl-NL"/>
        </w:rPr>
      </w:pPr>
      <w:bookmarkStart w:name="d16e987" w:id="2"/>
      <w:bookmarkEnd w:id="2"/>
      <w:r w:rsidRPr="006515E9">
        <w:rPr>
          <w:rFonts w:ascii="Verdana" w:hAnsi="Verdana" w:cs="Arial"/>
          <w:i/>
          <w:iCs/>
          <w:sz w:val="18"/>
          <w:szCs w:val="18"/>
          <w:lang w:val="nl-NL"/>
        </w:rPr>
        <w:t>II.3</w:t>
      </w:r>
      <w:r w:rsidRPr="0018301C" w:rsidR="00334E09">
        <w:rPr>
          <w:rFonts w:ascii="Verdana" w:hAnsi="Verdana" w:cs="Arial"/>
          <w:i/>
          <w:iCs/>
          <w:sz w:val="18"/>
          <w:szCs w:val="18"/>
          <w:lang w:val="nl-NL"/>
        </w:rPr>
        <w:t>1</w:t>
      </w:r>
      <w:r w:rsidRPr="0018301C">
        <w:rPr>
          <w:rFonts w:ascii="Verdana" w:hAnsi="Verdana" w:cs="Arial"/>
          <w:i/>
          <w:iCs/>
          <w:sz w:val="18"/>
          <w:szCs w:val="18"/>
          <w:lang w:val="nl-NL"/>
        </w:rPr>
        <w:t>. Beëindiging (artikel 3</w:t>
      </w:r>
      <w:r w:rsidRPr="00EC1AE5" w:rsidR="00334E09">
        <w:rPr>
          <w:rFonts w:ascii="Verdana" w:hAnsi="Verdana" w:cs="Arial"/>
          <w:i/>
          <w:iCs/>
          <w:sz w:val="18"/>
          <w:szCs w:val="18"/>
          <w:lang w:val="nl-NL"/>
        </w:rPr>
        <w:t>1</w:t>
      </w:r>
      <w:r w:rsidRPr="00780A5E" w:rsidR="00780A5E">
        <w:rPr>
          <w:lang w:val="nl-NL"/>
        </w:rPr>
        <w:t xml:space="preserve"> </w:t>
      </w:r>
      <w:r w:rsidRPr="00780A5E" w:rsidR="00780A5E">
        <w:rPr>
          <w:rFonts w:ascii="Verdana" w:hAnsi="Verdana" w:cs="Arial"/>
          <w:i/>
          <w:iCs/>
          <w:sz w:val="18"/>
          <w:szCs w:val="18"/>
          <w:lang w:val="nl-NL"/>
        </w:rPr>
        <w:t>van het Verdrag</w:t>
      </w:r>
      <w:r w:rsidRPr="00780A5E">
        <w:rPr>
          <w:rFonts w:ascii="Verdana" w:hAnsi="Verdana" w:cs="Arial"/>
          <w:i/>
          <w:iCs/>
          <w:sz w:val="18"/>
          <w:szCs w:val="18"/>
          <w:lang w:val="nl-NL"/>
        </w:rPr>
        <w:t xml:space="preserve">) </w:t>
      </w:r>
    </w:p>
    <w:p w:rsidRPr="0021450B" w:rsidR="00334E09" w:rsidP="00CD077B" w:rsidRDefault="00334E09" w14:paraId="5123766F" w14:textId="77777777">
      <w:pPr>
        <w:rPr>
          <w:rFonts w:ascii="Verdana" w:hAnsi="Verdana" w:cs="Arial"/>
          <w:sz w:val="18"/>
          <w:szCs w:val="18"/>
          <w:lang w:val="nl-NL"/>
        </w:rPr>
      </w:pPr>
    </w:p>
    <w:p w:rsidRPr="0021450B" w:rsidR="007D636D" w:rsidP="00CD077B" w:rsidRDefault="004E58EB" w14:paraId="58836DB8" w14:textId="77777777">
      <w:pPr>
        <w:ind w:firstLine="720"/>
        <w:rPr>
          <w:rFonts w:ascii="Verdana" w:hAnsi="Verdana"/>
          <w:sz w:val="18"/>
          <w:szCs w:val="18"/>
          <w:lang w:val="nl-NL"/>
        </w:rPr>
      </w:pPr>
      <w:r w:rsidRPr="0021450B">
        <w:rPr>
          <w:rFonts w:ascii="Verdana" w:hAnsi="Verdana" w:cs="Arial"/>
          <w:sz w:val="18"/>
          <w:szCs w:val="18"/>
          <w:lang w:val="nl-NL"/>
        </w:rPr>
        <w:t xml:space="preserve">Het Verdrag wordt in beginsel voor onbepaalde tijd aangegaan. Het Verdrag kan echter door elk van beide </w:t>
      </w:r>
      <w:r w:rsidR="0021450B">
        <w:rPr>
          <w:rFonts w:ascii="Verdana" w:hAnsi="Verdana" w:cs="Arial"/>
          <w:sz w:val="18"/>
          <w:szCs w:val="18"/>
          <w:lang w:val="nl-NL"/>
        </w:rPr>
        <w:t>verdragsluitende staten</w:t>
      </w:r>
      <w:r w:rsidRPr="0021450B">
        <w:rPr>
          <w:rFonts w:ascii="Verdana" w:hAnsi="Verdana" w:cs="Arial"/>
          <w:sz w:val="18"/>
          <w:szCs w:val="18"/>
          <w:lang w:val="nl-NL"/>
        </w:rPr>
        <w:t xml:space="preserve">, langs diplomatieke weg, worden beëindigd. Als de kennisgeving van beëindiging is ontvangen in de eerste helft van </w:t>
      </w:r>
      <w:r w:rsidR="00550CD8">
        <w:rPr>
          <w:rFonts w:ascii="Verdana" w:hAnsi="Verdana" w:cs="Arial"/>
          <w:sz w:val="18"/>
          <w:szCs w:val="18"/>
          <w:lang w:val="nl-NL"/>
        </w:rPr>
        <w:t>een</w:t>
      </w:r>
      <w:r w:rsidRPr="0021450B">
        <w:rPr>
          <w:rFonts w:ascii="Verdana" w:hAnsi="Verdana" w:cs="Arial"/>
          <w:sz w:val="18"/>
          <w:szCs w:val="18"/>
          <w:lang w:val="nl-NL"/>
        </w:rPr>
        <w:t xml:space="preserve"> kalenderjaar, dan houdt het Verdrag op van toepassing te zijn op of na 1 januari van het kalenderjaar dat volgt op het kalenderjaar waarin de kennisgeving van beëindiging is </w:t>
      </w:r>
      <w:r w:rsidR="00070FA8">
        <w:rPr>
          <w:rFonts w:ascii="Verdana" w:hAnsi="Verdana" w:cs="Arial"/>
          <w:sz w:val="18"/>
          <w:szCs w:val="18"/>
          <w:lang w:val="nl-NL"/>
        </w:rPr>
        <w:t>ontvangen</w:t>
      </w:r>
      <w:r w:rsidRPr="0021450B">
        <w:rPr>
          <w:rFonts w:ascii="Verdana" w:hAnsi="Verdana" w:cs="Arial"/>
          <w:sz w:val="18"/>
          <w:szCs w:val="18"/>
          <w:lang w:val="nl-NL"/>
        </w:rPr>
        <w:t>. Als de kennisgeving van beëindiging is ontv</w:t>
      </w:r>
      <w:r w:rsidR="00550CD8">
        <w:rPr>
          <w:rFonts w:ascii="Verdana" w:hAnsi="Verdana" w:cs="Arial"/>
          <w:sz w:val="18"/>
          <w:szCs w:val="18"/>
          <w:lang w:val="nl-NL"/>
        </w:rPr>
        <w:t>angen in de tweede helft van een</w:t>
      </w:r>
      <w:r w:rsidRPr="0021450B">
        <w:rPr>
          <w:rFonts w:ascii="Verdana" w:hAnsi="Verdana" w:cs="Arial"/>
          <w:sz w:val="18"/>
          <w:szCs w:val="18"/>
          <w:lang w:val="nl-NL"/>
        </w:rPr>
        <w:t xml:space="preserve"> kalenderjaar, dan houdt het Verdrag op van toepassing te zijn op of na 1 januari van het </w:t>
      </w:r>
      <w:r w:rsidR="00070FA8">
        <w:rPr>
          <w:rFonts w:ascii="Verdana" w:hAnsi="Verdana" w:cs="Arial"/>
          <w:sz w:val="18"/>
          <w:szCs w:val="18"/>
          <w:lang w:val="nl-NL"/>
        </w:rPr>
        <w:t xml:space="preserve">tweede </w:t>
      </w:r>
      <w:r w:rsidRPr="0021450B">
        <w:rPr>
          <w:rFonts w:ascii="Verdana" w:hAnsi="Verdana" w:cs="Arial"/>
          <w:sz w:val="18"/>
          <w:szCs w:val="18"/>
          <w:lang w:val="nl-NL"/>
        </w:rPr>
        <w:t xml:space="preserve">kalenderjaar dat volgt op het kalenderjaar waarin de kennisgeving van beëindiging is gedaan. </w:t>
      </w:r>
    </w:p>
    <w:p w:rsidRPr="0021450B" w:rsidR="007D636D" w:rsidP="00CD077B" w:rsidRDefault="007D636D" w14:paraId="45150D2D" w14:textId="77777777">
      <w:pPr>
        <w:pStyle w:val="Kop2"/>
        <w:numPr>
          <w:ilvl w:val="0"/>
          <w:numId w:val="0"/>
        </w:numPr>
        <w:rPr>
          <w:rFonts w:ascii="Verdana" w:hAnsi="Verdana"/>
          <w:sz w:val="18"/>
          <w:szCs w:val="18"/>
          <w:lang w:val="nl-NL"/>
        </w:rPr>
      </w:pPr>
    </w:p>
    <w:p w:rsidRPr="00BA2B89" w:rsidR="00FC5047" w:rsidP="00CD077B" w:rsidRDefault="00FC5047" w14:paraId="53A74F50" w14:textId="77777777">
      <w:pPr>
        <w:ind w:firstLine="0"/>
        <w:rPr>
          <w:rFonts w:ascii="Verdana" w:hAnsi="Verdana" w:cs="Arial"/>
          <w:sz w:val="18"/>
          <w:szCs w:val="18"/>
          <w:lang w:val="nl-NL"/>
        </w:rPr>
      </w:pPr>
    </w:p>
    <w:p w:rsidRPr="006C1373" w:rsidR="002D160C" w:rsidP="00CD077B" w:rsidRDefault="002D160C" w14:paraId="549A9357" w14:textId="77777777">
      <w:pPr>
        <w:ind w:firstLine="0"/>
        <w:rPr>
          <w:rFonts w:ascii="Verdana" w:hAnsi="Verdana" w:cs="Arial"/>
          <w:sz w:val="18"/>
          <w:szCs w:val="18"/>
          <w:lang w:val="nl-NL"/>
        </w:rPr>
      </w:pPr>
      <w:r w:rsidRPr="006C1373">
        <w:rPr>
          <w:rFonts w:ascii="Verdana" w:hAnsi="Verdana" w:cs="Arial"/>
          <w:sz w:val="18"/>
          <w:szCs w:val="18"/>
          <w:lang w:val="nl-NL"/>
        </w:rPr>
        <w:t>De Staatssecretaris van Financiën,</w:t>
      </w:r>
    </w:p>
    <w:p w:rsidRPr="00DD3563" w:rsidR="002D160C" w:rsidP="00CD077B" w:rsidRDefault="002D160C" w14:paraId="4913644B" w14:textId="77777777">
      <w:pPr>
        <w:ind w:firstLine="0"/>
        <w:rPr>
          <w:rFonts w:ascii="Verdana" w:hAnsi="Verdana" w:cs="Arial"/>
          <w:sz w:val="18"/>
          <w:szCs w:val="18"/>
          <w:lang w:val="nl-NL"/>
        </w:rPr>
      </w:pPr>
    </w:p>
    <w:p w:rsidRPr="00DD3563" w:rsidR="002D160C" w:rsidP="00CD077B" w:rsidRDefault="002D160C" w14:paraId="07FB7C79" w14:textId="77777777">
      <w:pPr>
        <w:ind w:firstLine="0"/>
        <w:rPr>
          <w:rFonts w:ascii="Verdana" w:hAnsi="Verdana" w:cs="Arial"/>
          <w:sz w:val="18"/>
          <w:szCs w:val="18"/>
          <w:lang w:val="nl-NL"/>
        </w:rPr>
      </w:pPr>
    </w:p>
    <w:p w:rsidRPr="00DD3563" w:rsidR="002D160C" w:rsidP="00CD077B" w:rsidRDefault="002D160C" w14:paraId="55E2DEA9" w14:textId="77777777">
      <w:pPr>
        <w:ind w:firstLine="0"/>
        <w:rPr>
          <w:rFonts w:ascii="Verdana" w:hAnsi="Verdana" w:cs="Arial"/>
          <w:sz w:val="18"/>
          <w:szCs w:val="18"/>
          <w:lang w:val="nl-NL"/>
        </w:rPr>
      </w:pPr>
    </w:p>
    <w:p w:rsidRPr="003F7CD6" w:rsidR="002D160C" w:rsidP="00CD077B" w:rsidRDefault="002D160C" w14:paraId="7B84D5C7" w14:textId="77777777">
      <w:pPr>
        <w:ind w:firstLine="0"/>
        <w:rPr>
          <w:rFonts w:ascii="Verdana" w:hAnsi="Verdana" w:cs="Arial"/>
          <w:sz w:val="18"/>
          <w:szCs w:val="18"/>
          <w:lang w:val="nl-NL"/>
        </w:rPr>
      </w:pPr>
    </w:p>
    <w:p w:rsidRPr="00606D22" w:rsidR="002D160C" w:rsidP="00CD077B" w:rsidRDefault="002D160C" w14:paraId="320A3213" w14:textId="77777777">
      <w:pPr>
        <w:ind w:firstLine="0"/>
        <w:rPr>
          <w:rFonts w:ascii="Verdana" w:hAnsi="Verdana" w:cs="Arial"/>
          <w:sz w:val="18"/>
          <w:szCs w:val="18"/>
          <w:lang w:val="nl-NL"/>
        </w:rPr>
      </w:pPr>
    </w:p>
    <w:p w:rsidRPr="00FA4BC6" w:rsidR="002D160C" w:rsidP="00CD077B" w:rsidRDefault="002D160C" w14:paraId="4C2FC344" w14:textId="77777777">
      <w:pPr>
        <w:ind w:firstLine="0"/>
        <w:rPr>
          <w:rFonts w:ascii="Verdana" w:hAnsi="Verdana" w:cs="Arial"/>
          <w:sz w:val="18"/>
          <w:szCs w:val="18"/>
          <w:lang w:val="nl-NL"/>
        </w:rPr>
      </w:pPr>
      <w:r w:rsidRPr="00606D22">
        <w:rPr>
          <w:rFonts w:ascii="Verdana" w:hAnsi="Verdana" w:cs="Arial"/>
          <w:sz w:val="18"/>
          <w:szCs w:val="18"/>
          <w:lang w:val="nl-NL"/>
        </w:rPr>
        <w:t>De Minister van Buitenlandse Zaken,</w:t>
      </w:r>
    </w:p>
    <w:sectPr w:rsidRPr="00FA4BC6" w:rsidR="002D160C" w:rsidSect="009D5043">
      <w:footerReference w:type="default" r:id="rId8"/>
      <w:pgSz w:w="11906" w:h="16838"/>
      <w:pgMar w:top="1276" w:right="1417" w:bottom="1417" w:left="1417" w:header="708" w:footer="708" w:gutter="0"/>
      <w:cols w:space="708"/>
      <w:docGrid w:linePitch="360"/>
      <w:sectPrChange w:author="Lamper S." w:date="2021-03-19T10:03:00Z" w:id="3">
        <w:sectPr w:rsidRPr="00FA4BC6" w:rsidR="002D160C" w:rsidSect="009D5043">
          <w:pgMar w:top="1276" w:right="1417" w:bottom="1417" w:left="1417" w:header="708" w:footer="708" w:gutter="0"/>
        </w:sectPr>
      </w:sectPrChang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9460B9" w14:textId="77777777" w:rsidR="00F600B9" w:rsidRDefault="00F600B9">
      <w:pPr>
        <w:spacing w:line="240" w:lineRule="auto"/>
      </w:pPr>
      <w:r>
        <w:separator/>
      </w:r>
    </w:p>
  </w:endnote>
  <w:endnote w:type="continuationSeparator" w:id="0">
    <w:p w14:paraId="24FC8B7C" w14:textId="77777777" w:rsidR="00F600B9" w:rsidRDefault="00F600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unga">
    <w:panose1 w:val="00000400000000000000"/>
    <w:charset w:val="01"/>
    <w:family w:val="roman"/>
    <w:notTrueType/>
    <w:pitch w:val="variable"/>
  </w:font>
  <w:font w:name="Univers">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A7C96" w14:textId="500D06F0" w:rsidR="00223D0B" w:rsidRPr="006B3122" w:rsidRDefault="00223D0B" w:rsidP="006B3122">
    <w:pPr>
      <w:pStyle w:val="Voettekst"/>
      <w:ind w:firstLine="0"/>
      <w:rPr>
        <w:lang w:val="nl-NL"/>
      </w:rPr>
    </w:pPr>
    <w:r>
      <w:rPr>
        <w:lang w:val="nl-NL"/>
      </w:rPr>
      <w:tab/>
    </w:r>
    <w:r>
      <w:rPr>
        <w:rStyle w:val="Paginanummer"/>
      </w:rPr>
      <w:fldChar w:fldCharType="begin"/>
    </w:r>
    <w:r>
      <w:rPr>
        <w:rStyle w:val="Paginanummer"/>
      </w:rPr>
      <w:instrText xml:space="preserve"> PAGE </w:instrText>
    </w:r>
    <w:r>
      <w:rPr>
        <w:rStyle w:val="Paginanummer"/>
      </w:rPr>
      <w:fldChar w:fldCharType="separate"/>
    </w:r>
    <w:r w:rsidR="009D5043">
      <w:rPr>
        <w:rStyle w:val="Paginanummer"/>
        <w:noProof/>
      </w:rPr>
      <w:t>1</w:t>
    </w:r>
    <w:r>
      <w:rPr>
        <w:rStyle w:val="Paginanumm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E38D5B" w14:textId="77777777" w:rsidR="00F600B9" w:rsidRDefault="00F600B9">
      <w:pPr>
        <w:spacing w:line="240" w:lineRule="auto"/>
      </w:pPr>
      <w:r>
        <w:separator/>
      </w:r>
    </w:p>
  </w:footnote>
  <w:footnote w:type="continuationSeparator" w:id="0">
    <w:p w14:paraId="4A54BAAF" w14:textId="77777777" w:rsidR="00F600B9" w:rsidRDefault="00F600B9">
      <w:pPr>
        <w:spacing w:line="240" w:lineRule="auto"/>
      </w:pPr>
      <w:r>
        <w:continuationSeparator/>
      </w:r>
    </w:p>
  </w:footnote>
  <w:footnote w:id="1">
    <w:p w14:paraId="4DCCFA0F" w14:textId="77777777" w:rsidR="00223D0B" w:rsidRPr="00393BD8" w:rsidRDefault="00223D0B" w:rsidP="0006531F">
      <w:pPr>
        <w:pStyle w:val="Voetnoottekst"/>
        <w:ind w:firstLine="0"/>
        <w:rPr>
          <w:rFonts w:ascii="Verdana" w:hAnsi="Verdana"/>
          <w:sz w:val="16"/>
          <w:szCs w:val="16"/>
          <w:lang w:val="nl-NL"/>
        </w:rPr>
      </w:pPr>
      <w:r w:rsidRPr="00393BD8">
        <w:rPr>
          <w:rStyle w:val="Voetnootmarkering"/>
          <w:rFonts w:ascii="Verdana" w:hAnsi="Verdana"/>
          <w:sz w:val="16"/>
          <w:szCs w:val="16"/>
        </w:rPr>
        <w:footnoteRef/>
      </w:r>
      <w:r w:rsidRPr="00393BD8">
        <w:rPr>
          <w:rFonts w:ascii="Verdana" w:hAnsi="Verdana"/>
          <w:sz w:val="16"/>
          <w:szCs w:val="16"/>
          <w:lang w:val="nl-NL"/>
        </w:rPr>
        <w:t xml:space="preserve"> Bijlage bij Kamerstukken II 2010/11, 25087, nr. 7.</w:t>
      </w:r>
    </w:p>
  </w:footnote>
  <w:footnote w:id="2">
    <w:p w14:paraId="4BA1F09C" w14:textId="77777777" w:rsidR="00223D0B" w:rsidRPr="00393BD8" w:rsidRDefault="00223D0B" w:rsidP="0006531F">
      <w:pPr>
        <w:pStyle w:val="Voetnoottekst"/>
        <w:tabs>
          <w:tab w:val="left" w:pos="0"/>
        </w:tabs>
        <w:ind w:firstLine="0"/>
        <w:rPr>
          <w:rStyle w:val="Voetnootmarkering"/>
          <w:rFonts w:ascii="Verdana" w:hAnsi="Verdana"/>
          <w:sz w:val="16"/>
          <w:szCs w:val="16"/>
          <w:lang w:val="nl-NL"/>
        </w:rPr>
      </w:pPr>
      <w:r w:rsidRPr="00393BD8">
        <w:rPr>
          <w:rStyle w:val="Voetnootmarkering"/>
          <w:rFonts w:ascii="Verdana" w:hAnsi="Verdana"/>
          <w:sz w:val="16"/>
          <w:szCs w:val="16"/>
        </w:rPr>
        <w:footnoteRef/>
      </w:r>
      <w:r w:rsidRPr="00393BD8">
        <w:rPr>
          <w:rStyle w:val="Voetnootmarkering"/>
          <w:rFonts w:ascii="Verdana" w:hAnsi="Verdana"/>
          <w:sz w:val="16"/>
          <w:szCs w:val="16"/>
          <w:lang w:val="nl-NL"/>
        </w:rPr>
        <w:t xml:space="preserve"> </w:t>
      </w:r>
      <w:r w:rsidRPr="006E5CFF">
        <w:rPr>
          <w:rFonts w:ascii="Verdana" w:hAnsi="Verdana"/>
          <w:sz w:val="16"/>
          <w:szCs w:val="16"/>
          <w:lang w:val="nl-NL"/>
        </w:rPr>
        <w:t xml:space="preserve">Bijlage bij </w:t>
      </w:r>
      <w:r w:rsidRPr="005720D8">
        <w:rPr>
          <w:rFonts w:ascii="Verdana" w:hAnsi="Verdana"/>
          <w:sz w:val="16"/>
          <w:szCs w:val="16"/>
          <w:lang w:val="nl-NL"/>
        </w:rPr>
        <w:t xml:space="preserve">Kamerstukken II </w:t>
      </w:r>
      <w:r w:rsidRPr="006E5CFF">
        <w:rPr>
          <w:rFonts w:ascii="Verdana" w:hAnsi="Verdana"/>
          <w:sz w:val="16"/>
          <w:szCs w:val="16"/>
          <w:lang w:val="nl-NL"/>
        </w:rPr>
        <w:t>2010/11</w:t>
      </w:r>
      <w:r w:rsidRPr="00393BD8">
        <w:rPr>
          <w:rFonts w:ascii="Verdana" w:hAnsi="Verdana"/>
          <w:sz w:val="16"/>
          <w:szCs w:val="16"/>
          <w:lang w:val="nl-NL"/>
        </w:rPr>
        <w:t xml:space="preserve">, 25087, nr. 27, ter uitvoering van </w:t>
      </w:r>
      <w:r w:rsidRPr="005720D8">
        <w:rPr>
          <w:rFonts w:ascii="Verdana" w:hAnsi="Verdana"/>
          <w:sz w:val="16"/>
          <w:szCs w:val="16"/>
          <w:lang w:val="nl-NL"/>
        </w:rPr>
        <w:t>Kamerstukken II</w:t>
      </w:r>
      <w:r w:rsidRPr="00393BD8">
        <w:rPr>
          <w:rFonts w:ascii="Verdana" w:hAnsi="Verdana"/>
          <w:sz w:val="16"/>
          <w:szCs w:val="16"/>
          <w:lang w:val="nl-NL"/>
        </w:rPr>
        <w:t xml:space="preserve"> 2010/11, 25087, nr. 8 (motie-Van Vliet).</w:t>
      </w:r>
    </w:p>
  </w:footnote>
  <w:footnote w:id="3">
    <w:p w14:paraId="1E985E60" w14:textId="77777777" w:rsidR="00223D0B" w:rsidRPr="00B713C2" w:rsidRDefault="00223D0B" w:rsidP="00B713C2">
      <w:pPr>
        <w:pStyle w:val="Voetnoottekst"/>
        <w:ind w:firstLine="0"/>
        <w:rPr>
          <w:rFonts w:ascii="Verdana" w:hAnsi="Verdana" w:cs="Arial"/>
          <w:sz w:val="16"/>
          <w:szCs w:val="16"/>
          <w:lang w:val="nl-NL"/>
        </w:rPr>
      </w:pPr>
      <w:r>
        <w:rPr>
          <w:rStyle w:val="Voetnootmarkering"/>
        </w:rPr>
        <w:footnoteRef/>
      </w:r>
      <w:r w:rsidRPr="00B713C2">
        <w:rPr>
          <w:lang w:val="nl-NL"/>
        </w:rPr>
        <w:t xml:space="preserve"> </w:t>
      </w:r>
      <w:r w:rsidRPr="00B713C2">
        <w:rPr>
          <w:rFonts w:ascii="Verdana" w:hAnsi="Verdana" w:cs="Arial"/>
          <w:sz w:val="16"/>
          <w:szCs w:val="16"/>
          <w:lang w:val="nl-NL"/>
        </w:rPr>
        <w:t xml:space="preserve">Richtlijn 2011/96/EU van de Raad van 30 november 2011 betreffende de gemeenschappelijke fiscale regeling voor moedermaatschappijen en dochterondernemingen uit verschillende lidstaten, OJ L 345/8 (29 Dec. 2011). </w:t>
      </w:r>
    </w:p>
  </w:footnote>
  <w:footnote w:id="4">
    <w:p w14:paraId="56694A36" w14:textId="65F463AE" w:rsidR="00223D0B" w:rsidRPr="00B713C2" w:rsidRDefault="00223D0B" w:rsidP="00B713C2">
      <w:pPr>
        <w:pStyle w:val="Voetnoottekst"/>
        <w:ind w:firstLine="0"/>
        <w:rPr>
          <w:lang w:val="nl-NL"/>
        </w:rPr>
      </w:pPr>
      <w:r>
        <w:rPr>
          <w:rStyle w:val="Voetnootmarkering"/>
        </w:rPr>
        <w:footnoteRef/>
      </w:r>
      <w:r w:rsidRPr="00B713C2">
        <w:rPr>
          <w:lang w:val="nl-NL"/>
        </w:rPr>
        <w:t xml:space="preserve"> </w:t>
      </w:r>
      <w:r w:rsidRPr="00393BD8">
        <w:rPr>
          <w:rFonts w:ascii="Verdana" w:hAnsi="Verdana" w:cs="Arial"/>
          <w:sz w:val="16"/>
          <w:szCs w:val="16"/>
          <w:lang w:val="nl-NL"/>
        </w:rPr>
        <w:t>Richtlijn 2003/49/EG van de Raad van 3 juni 2003 betreffende een gemeenschappelijke belastingregeling inzake uitkeringen van interest en royalty’s tussen verbonden ondernemingen van verschillende staten (</w:t>
      </w:r>
      <w:r w:rsidRPr="00E26E7C">
        <w:rPr>
          <w:rFonts w:ascii="Verdana" w:hAnsi="Verdana" w:cs="Arial"/>
          <w:i/>
          <w:sz w:val="16"/>
          <w:szCs w:val="16"/>
          <w:lang w:val="nl-NL"/>
        </w:rPr>
        <w:t>P</w:t>
      </w:r>
      <w:r>
        <w:rPr>
          <w:rFonts w:ascii="Verdana" w:hAnsi="Verdana" w:cs="Arial"/>
          <w:i/>
          <w:sz w:val="16"/>
          <w:szCs w:val="16"/>
          <w:lang w:val="nl-NL"/>
        </w:rPr>
        <w:t>b</w:t>
      </w:r>
      <w:r w:rsidRPr="00E26E7C">
        <w:rPr>
          <w:rFonts w:ascii="Verdana" w:hAnsi="Verdana" w:cs="Arial"/>
          <w:i/>
          <w:sz w:val="16"/>
          <w:szCs w:val="16"/>
          <w:lang w:val="nl-NL"/>
        </w:rPr>
        <w:t>EU</w:t>
      </w:r>
      <w:r w:rsidRPr="00393BD8">
        <w:rPr>
          <w:rFonts w:ascii="Verdana" w:hAnsi="Verdana" w:cs="Arial"/>
          <w:sz w:val="16"/>
          <w:szCs w:val="16"/>
          <w:lang w:val="nl-NL"/>
        </w:rPr>
        <w:t xml:space="preserve"> 2003, L 157/49).</w:t>
      </w:r>
    </w:p>
  </w:footnote>
  <w:footnote w:id="5">
    <w:p w14:paraId="2050E272" w14:textId="77777777" w:rsidR="00223D0B" w:rsidRPr="00393BD8" w:rsidRDefault="00223D0B" w:rsidP="009C438A">
      <w:pPr>
        <w:pStyle w:val="Voetnoottekst"/>
        <w:ind w:firstLine="0"/>
        <w:rPr>
          <w:rFonts w:ascii="Verdana" w:hAnsi="Verdana"/>
          <w:sz w:val="16"/>
          <w:szCs w:val="16"/>
          <w:lang w:val="nl-NL"/>
        </w:rPr>
      </w:pPr>
      <w:r w:rsidRPr="00393BD8">
        <w:rPr>
          <w:rStyle w:val="Voetnootmarkering"/>
          <w:rFonts w:ascii="Verdana" w:hAnsi="Verdana"/>
          <w:sz w:val="16"/>
          <w:szCs w:val="16"/>
        </w:rPr>
        <w:footnoteRef/>
      </w:r>
      <w:r w:rsidRPr="00393BD8">
        <w:rPr>
          <w:rFonts w:ascii="Verdana" w:hAnsi="Verdana"/>
          <w:sz w:val="16"/>
          <w:szCs w:val="16"/>
          <w:lang w:val="nl-NL"/>
        </w:rPr>
        <w:t xml:space="preserve"> Kamerstukken II 2010/11, 25087, nr. 13.</w:t>
      </w:r>
    </w:p>
  </w:footnote>
  <w:footnote w:id="6">
    <w:p w14:paraId="5A0BE74F" w14:textId="77777777" w:rsidR="00223D0B" w:rsidRPr="00393BD8" w:rsidRDefault="00223D0B" w:rsidP="001936B1">
      <w:pPr>
        <w:pStyle w:val="Voetnoottekst"/>
        <w:ind w:firstLine="0"/>
        <w:rPr>
          <w:rFonts w:ascii="Verdana" w:hAnsi="Verdana" w:cs="Tunga"/>
          <w:sz w:val="16"/>
          <w:szCs w:val="16"/>
          <w:lang w:val="nl-NL"/>
        </w:rPr>
      </w:pPr>
      <w:r w:rsidRPr="00393BD8">
        <w:rPr>
          <w:rStyle w:val="Voetnootmarkering"/>
          <w:rFonts w:ascii="Verdana" w:hAnsi="Verdana" w:cs="Arial"/>
          <w:sz w:val="16"/>
          <w:szCs w:val="16"/>
        </w:rPr>
        <w:footnoteRef/>
      </w:r>
      <w:r w:rsidRPr="00393BD8">
        <w:rPr>
          <w:rFonts w:ascii="Verdana" w:hAnsi="Verdana" w:cs="Arial"/>
          <w:sz w:val="16"/>
          <w:szCs w:val="16"/>
          <w:lang w:val="nl-NL"/>
        </w:rPr>
        <w:t xml:space="preserve"> Kamerstukken II 2010/11, 25087, nr. 8 (Van Vliet, PVV).</w:t>
      </w:r>
    </w:p>
  </w:footnote>
  <w:footnote w:id="7">
    <w:p w14:paraId="15B5AEDF" w14:textId="77777777" w:rsidR="00223D0B" w:rsidRPr="00393BD8" w:rsidRDefault="00223D0B" w:rsidP="00B634C9">
      <w:pPr>
        <w:pStyle w:val="Voetnoottekst"/>
        <w:ind w:firstLine="0"/>
        <w:rPr>
          <w:rFonts w:ascii="Verdana" w:hAnsi="Verdana" w:cs="Arial"/>
          <w:sz w:val="16"/>
          <w:szCs w:val="16"/>
          <w:lang w:val="en-US"/>
        </w:rPr>
      </w:pPr>
      <w:r w:rsidRPr="00393BD8">
        <w:rPr>
          <w:rFonts w:ascii="Verdana" w:hAnsi="Verdana"/>
          <w:sz w:val="16"/>
          <w:szCs w:val="16"/>
          <w:vertAlign w:val="superscript"/>
          <w:lang w:val="nl-NL"/>
        </w:rPr>
        <w:footnoteRef/>
      </w:r>
      <w:r w:rsidRPr="0056081D">
        <w:rPr>
          <w:rFonts w:ascii="Verdana" w:hAnsi="Verdana" w:cs="Arial"/>
          <w:sz w:val="16"/>
          <w:szCs w:val="16"/>
          <w:lang w:val="en-US"/>
        </w:rPr>
        <w:t xml:space="preserve"> OECD (2015), Preventing the Granting of Treaty Benefits in Inappropriate Circumstances, Action 6 Final Report, OECD/G20 Base Erosion and Profit Shifting Project, OECD Publishing, Paris.</w:t>
      </w:r>
    </w:p>
  </w:footnote>
  <w:footnote w:id="8">
    <w:p w14:paraId="76026D70" w14:textId="77777777" w:rsidR="00223D0B" w:rsidRPr="00393BD8" w:rsidRDefault="00223D0B" w:rsidP="005E39C5">
      <w:pPr>
        <w:pStyle w:val="Voetnoottekst"/>
        <w:ind w:firstLine="0"/>
        <w:rPr>
          <w:rFonts w:ascii="Verdana" w:hAnsi="Verdana" w:cs="Arial"/>
          <w:sz w:val="16"/>
          <w:szCs w:val="16"/>
          <w:lang w:val="en-US"/>
        </w:rPr>
      </w:pPr>
      <w:r w:rsidRPr="00393BD8">
        <w:rPr>
          <w:rFonts w:ascii="Verdana" w:hAnsi="Verdana"/>
          <w:sz w:val="16"/>
          <w:szCs w:val="16"/>
          <w:vertAlign w:val="superscript"/>
          <w:lang w:val="nl-NL"/>
        </w:rPr>
        <w:footnoteRef/>
      </w:r>
      <w:r w:rsidRPr="0056081D">
        <w:rPr>
          <w:rFonts w:ascii="Verdana" w:hAnsi="Verdana" w:cs="Arial"/>
          <w:sz w:val="16"/>
          <w:szCs w:val="16"/>
          <w:vertAlign w:val="superscript"/>
          <w:lang w:val="en-US"/>
        </w:rPr>
        <w:t xml:space="preserve"> </w:t>
      </w:r>
      <w:r w:rsidRPr="0056081D">
        <w:rPr>
          <w:rFonts w:ascii="Verdana" w:hAnsi="Verdana" w:cs="Arial"/>
          <w:sz w:val="16"/>
          <w:szCs w:val="16"/>
          <w:lang w:val="en-US"/>
        </w:rPr>
        <w:t>OECD (2015), Neutralising the Effects of Hybrid Mismatch Arrangements, Action 2 - 2015 Final Report, OECD/G20 Base Erosion and Profit Shifting Project, OECD Publishing, Paris.</w:t>
      </w:r>
    </w:p>
  </w:footnote>
  <w:footnote w:id="9">
    <w:p w14:paraId="562D4604" w14:textId="77777777" w:rsidR="00223D0B" w:rsidRPr="00393BD8" w:rsidRDefault="00223D0B" w:rsidP="00BD7EF3">
      <w:pPr>
        <w:pStyle w:val="Voetnoottekst"/>
        <w:ind w:firstLine="0"/>
        <w:rPr>
          <w:rFonts w:ascii="Verdana" w:hAnsi="Verdana" w:cs="Arial"/>
          <w:sz w:val="16"/>
          <w:szCs w:val="16"/>
          <w:lang w:val="nl-NL"/>
        </w:rPr>
      </w:pPr>
      <w:r w:rsidRPr="00393BD8">
        <w:rPr>
          <w:rFonts w:ascii="Verdana" w:hAnsi="Verdana" w:cs="Arial"/>
          <w:sz w:val="16"/>
          <w:szCs w:val="16"/>
          <w:vertAlign w:val="superscript"/>
          <w:lang w:val="nl-NL"/>
        </w:rPr>
        <w:footnoteRef/>
      </w:r>
      <w:r w:rsidRPr="0056081D">
        <w:rPr>
          <w:rFonts w:ascii="Verdana" w:hAnsi="Verdana" w:cs="Arial"/>
          <w:sz w:val="16"/>
          <w:szCs w:val="16"/>
          <w:lang w:val="nl-NL"/>
        </w:rPr>
        <w:t xml:space="preserve"> </w:t>
      </w:r>
      <w:r w:rsidRPr="00393BD8">
        <w:rPr>
          <w:rFonts w:ascii="Verdana" w:hAnsi="Verdana" w:cs="Arial"/>
          <w:sz w:val="16"/>
          <w:szCs w:val="16"/>
          <w:lang w:val="nl-NL"/>
        </w:rPr>
        <w:t xml:space="preserve">Kamerstukken II 2016/17, </w:t>
      </w:r>
      <w:r w:rsidRPr="00323312">
        <w:rPr>
          <w:rFonts w:ascii="Verdana" w:hAnsi="Verdana" w:cs="Arial"/>
          <w:sz w:val="16"/>
          <w:szCs w:val="16"/>
          <w:lang w:val="nl-NL"/>
        </w:rPr>
        <w:t>25087</w:t>
      </w:r>
      <w:r w:rsidRPr="00393BD8">
        <w:rPr>
          <w:rFonts w:ascii="Verdana" w:hAnsi="Verdana" w:cs="Arial"/>
          <w:sz w:val="16"/>
          <w:szCs w:val="16"/>
          <w:lang w:val="nl-NL"/>
        </w:rPr>
        <w:t>, nr. 135.</w:t>
      </w:r>
    </w:p>
  </w:footnote>
  <w:footnote w:id="10">
    <w:p w14:paraId="21E3E9B0" w14:textId="77777777" w:rsidR="00223D0B" w:rsidRPr="00393BD8" w:rsidRDefault="00223D0B" w:rsidP="00BD7EF3">
      <w:pPr>
        <w:pStyle w:val="Voetnoottekst"/>
        <w:ind w:firstLine="0"/>
        <w:rPr>
          <w:rFonts w:ascii="Verdana" w:hAnsi="Verdana" w:cs="Arial"/>
          <w:sz w:val="16"/>
          <w:szCs w:val="16"/>
          <w:lang w:val="nl-NL"/>
        </w:rPr>
      </w:pPr>
      <w:r w:rsidRPr="00393BD8">
        <w:rPr>
          <w:rFonts w:ascii="Verdana" w:hAnsi="Verdana"/>
          <w:sz w:val="16"/>
          <w:szCs w:val="16"/>
          <w:vertAlign w:val="superscript"/>
          <w:lang w:val="nl-NL"/>
        </w:rPr>
        <w:footnoteRef/>
      </w:r>
      <w:r w:rsidRPr="00393BD8">
        <w:rPr>
          <w:rFonts w:ascii="Verdana" w:hAnsi="Verdana" w:cs="Arial"/>
          <w:sz w:val="16"/>
          <w:szCs w:val="16"/>
          <w:lang w:val="nl-NL"/>
        </w:rPr>
        <w:t xml:space="preserve"> Kamerstukken II 2010/11, 25</w:t>
      </w:r>
      <w:r w:rsidRPr="00323312">
        <w:rPr>
          <w:rFonts w:ascii="Verdana" w:hAnsi="Verdana" w:cs="Arial"/>
          <w:sz w:val="16"/>
          <w:szCs w:val="16"/>
          <w:lang w:val="nl-NL"/>
        </w:rPr>
        <w:t>087</w:t>
      </w:r>
      <w:r w:rsidRPr="00393BD8">
        <w:rPr>
          <w:rFonts w:ascii="Verdana" w:hAnsi="Verdana" w:cs="Arial"/>
          <w:sz w:val="16"/>
          <w:szCs w:val="16"/>
          <w:lang w:val="nl-NL"/>
        </w:rPr>
        <w:t>, nr. 13.</w:t>
      </w:r>
    </w:p>
  </w:footnote>
  <w:footnote w:id="11">
    <w:p w14:paraId="3F88BD6F" w14:textId="222FFF37" w:rsidR="00223D0B" w:rsidRPr="00733C55" w:rsidRDefault="00223D0B">
      <w:pPr>
        <w:pStyle w:val="Voetnoottekst"/>
        <w:rPr>
          <w:lang w:val="nl-NL"/>
        </w:rPr>
      </w:pPr>
      <w:r>
        <w:rPr>
          <w:rStyle w:val="Voetnootmarkering"/>
        </w:rPr>
        <w:footnoteRef/>
      </w:r>
      <w:r w:rsidRPr="00733C55">
        <w:rPr>
          <w:lang w:val="nl-NL"/>
        </w:rPr>
        <w:t xml:space="preserve"> </w:t>
      </w:r>
      <w:r w:rsidRPr="00733C55">
        <w:rPr>
          <w:rFonts w:ascii="Verdana" w:hAnsi="Verdana" w:cs="Arial"/>
          <w:sz w:val="16"/>
          <w:szCs w:val="16"/>
          <w:lang w:val="nl-NL"/>
        </w:rPr>
        <w:t xml:space="preserve">Hierbij wordt nog opgemerkt dat Bulgarije gebruik heeft gemaakt van de door de OESO geboden mogelijkheid de positie kenbaar te maken over de bepalingen van het OESO-modelverdrag en het </w:t>
      </w:r>
      <w:r>
        <w:rPr>
          <w:rFonts w:ascii="Verdana" w:hAnsi="Verdana" w:cs="Arial"/>
          <w:sz w:val="16"/>
          <w:szCs w:val="16"/>
          <w:lang w:val="nl-NL"/>
        </w:rPr>
        <w:t>c</w:t>
      </w:r>
      <w:r w:rsidRPr="00733C55">
        <w:rPr>
          <w:rFonts w:ascii="Verdana" w:hAnsi="Verdana" w:cs="Arial"/>
          <w:sz w:val="16"/>
          <w:szCs w:val="16"/>
          <w:lang w:val="nl-NL"/>
        </w:rPr>
        <w:t>ommentaar daarop.</w:t>
      </w:r>
      <w:r>
        <w:rPr>
          <w:lang w:val="nl-NL"/>
        </w:rPr>
        <w:t xml:space="preserve"> </w:t>
      </w:r>
    </w:p>
  </w:footnote>
  <w:footnote w:id="12">
    <w:p w14:paraId="7BD82383" w14:textId="77777777" w:rsidR="00223D0B" w:rsidRPr="00B713C2" w:rsidRDefault="00223D0B" w:rsidP="004E2B58">
      <w:pPr>
        <w:pStyle w:val="Voetnoottekst"/>
        <w:ind w:firstLine="0"/>
        <w:rPr>
          <w:rFonts w:ascii="Verdana" w:hAnsi="Verdana" w:cs="Arial"/>
          <w:sz w:val="16"/>
          <w:szCs w:val="16"/>
          <w:lang w:val="nl-NL"/>
        </w:rPr>
      </w:pPr>
      <w:r>
        <w:rPr>
          <w:rStyle w:val="Voetnootmarkering"/>
        </w:rPr>
        <w:footnoteRef/>
      </w:r>
      <w:r w:rsidRPr="004E2B58">
        <w:rPr>
          <w:lang w:val="nl-NL"/>
        </w:rPr>
        <w:t xml:space="preserve"> </w:t>
      </w:r>
      <w:r w:rsidRPr="00B713C2">
        <w:rPr>
          <w:rFonts w:ascii="Verdana" w:hAnsi="Verdana" w:cs="Arial"/>
          <w:sz w:val="16"/>
          <w:szCs w:val="16"/>
          <w:lang w:val="nl-NL"/>
        </w:rPr>
        <w:t xml:space="preserve">Richtlijn 2011/96/EU van de Raad van 30 november 2011 betreffende de gemeenschappelijke fiscale regeling voor moedermaatschappijen en dochterondernemingen uit verschillende lidstaten, OJ L 345/8 (29 Dec. 2011). </w:t>
      </w:r>
    </w:p>
    <w:p w14:paraId="2DD750C7" w14:textId="77777777" w:rsidR="00223D0B" w:rsidRPr="004E2B58" w:rsidRDefault="00223D0B">
      <w:pPr>
        <w:pStyle w:val="Voetnoottekst"/>
        <w:rPr>
          <w:lang w:val="nl-NL"/>
        </w:rPr>
      </w:pPr>
    </w:p>
  </w:footnote>
  <w:footnote w:id="13">
    <w:p w14:paraId="3842A342" w14:textId="00211902" w:rsidR="00223D0B" w:rsidRPr="00393BD8" w:rsidRDefault="00223D0B" w:rsidP="00583E00">
      <w:pPr>
        <w:pStyle w:val="Voetnoottekst"/>
        <w:ind w:firstLine="0"/>
        <w:rPr>
          <w:rFonts w:ascii="Verdana" w:hAnsi="Verdana"/>
          <w:sz w:val="16"/>
          <w:szCs w:val="16"/>
          <w:lang w:val="nl-NL"/>
        </w:rPr>
      </w:pPr>
      <w:r w:rsidRPr="00393BD8">
        <w:rPr>
          <w:rStyle w:val="Voetnootmarkering"/>
          <w:rFonts w:ascii="Verdana" w:hAnsi="Verdana"/>
          <w:sz w:val="16"/>
          <w:szCs w:val="16"/>
        </w:rPr>
        <w:footnoteRef/>
      </w:r>
      <w:r w:rsidRPr="00393BD8">
        <w:rPr>
          <w:rFonts w:ascii="Verdana" w:hAnsi="Verdana"/>
          <w:sz w:val="16"/>
          <w:szCs w:val="16"/>
          <w:lang w:val="nl-NL"/>
        </w:rPr>
        <w:t xml:space="preserve"> </w:t>
      </w:r>
      <w:r w:rsidRPr="00393BD8">
        <w:rPr>
          <w:rFonts w:ascii="Verdana" w:hAnsi="Verdana" w:cs="Arial"/>
          <w:sz w:val="16"/>
          <w:szCs w:val="16"/>
          <w:lang w:val="nl-NL"/>
        </w:rPr>
        <w:t>Richtlijn 2003/49/EG van de Raad van 3 juni 2003 betreffende een gemeenschappelijke belastingregeling inzake uitkeringen van interest en royalty’s tussen verbonden ondernemingen van verschillende staten (</w:t>
      </w:r>
      <w:r w:rsidRPr="004E2B58">
        <w:rPr>
          <w:rFonts w:ascii="Verdana" w:hAnsi="Verdana" w:cs="Arial"/>
          <w:i/>
          <w:sz w:val="16"/>
          <w:szCs w:val="16"/>
          <w:lang w:val="nl-NL"/>
        </w:rPr>
        <w:t>P</w:t>
      </w:r>
      <w:r>
        <w:rPr>
          <w:rFonts w:ascii="Verdana" w:hAnsi="Verdana" w:cs="Arial"/>
          <w:i/>
          <w:sz w:val="16"/>
          <w:szCs w:val="16"/>
          <w:lang w:val="nl-NL"/>
        </w:rPr>
        <w:t>b</w:t>
      </w:r>
      <w:r w:rsidRPr="004E2B58">
        <w:rPr>
          <w:rFonts w:ascii="Verdana" w:hAnsi="Verdana" w:cs="Arial"/>
          <w:i/>
          <w:sz w:val="16"/>
          <w:szCs w:val="16"/>
          <w:lang w:val="nl-NL"/>
        </w:rPr>
        <w:t>EU</w:t>
      </w:r>
      <w:r w:rsidRPr="00393BD8">
        <w:rPr>
          <w:rFonts w:ascii="Verdana" w:hAnsi="Verdana" w:cs="Arial"/>
          <w:sz w:val="16"/>
          <w:szCs w:val="16"/>
          <w:lang w:val="nl-NL"/>
        </w:rPr>
        <w:t xml:space="preserve"> 2003, L 157/49).</w:t>
      </w:r>
    </w:p>
  </w:footnote>
  <w:footnote w:id="14">
    <w:p w14:paraId="6F7DE0F5" w14:textId="53E1625C" w:rsidR="00223D0B" w:rsidRPr="00393BD8" w:rsidRDefault="00223D0B" w:rsidP="00891CA3">
      <w:pPr>
        <w:pStyle w:val="Voetnoottekst"/>
        <w:ind w:firstLine="0"/>
        <w:rPr>
          <w:rFonts w:ascii="Verdana" w:hAnsi="Verdana"/>
          <w:sz w:val="16"/>
          <w:szCs w:val="16"/>
          <w:lang w:val="nl-NL"/>
        </w:rPr>
      </w:pPr>
      <w:r w:rsidRPr="00393BD8">
        <w:rPr>
          <w:rStyle w:val="Voetnootmarkering"/>
          <w:rFonts w:ascii="Verdana" w:hAnsi="Verdana"/>
          <w:sz w:val="16"/>
          <w:szCs w:val="16"/>
        </w:rPr>
        <w:footnoteRef/>
      </w:r>
      <w:r w:rsidRPr="00393BD8">
        <w:rPr>
          <w:rFonts w:ascii="Verdana" w:hAnsi="Verdana"/>
          <w:sz w:val="16"/>
          <w:szCs w:val="16"/>
          <w:lang w:val="nl-NL"/>
        </w:rPr>
        <w:t xml:space="preserve"> </w:t>
      </w:r>
      <w:r w:rsidRPr="00393BD8">
        <w:rPr>
          <w:rFonts w:ascii="Verdana" w:hAnsi="Verdana" w:cs="Arial"/>
          <w:sz w:val="16"/>
          <w:szCs w:val="16"/>
          <w:lang w:val="nl-NL"/>
        </w:rPr>
        <w:t>Richtlijn 2003/49/EG van de Raad van 3 juni 2003 betreffende een gemeenschappelijke belastingregeling inzake uitkeringen van interest en royalty’s tussen verbonden ondernemingen van verschillende staten (</w:t>
      </w:r>
      <w:r w:rsidRPr="004E2B58">
        <w:rPr>
          <w:rFonts w:ascii="Verdana" w:hAnsi="Verdana" w:cs="Arial"/>
          <w:i/>
          <w:sz w:val="16"/>
          <w:szCs w:val="16"/>
          <w:lang w:val="nl-NL"/>
        </w:rPr>
        <w:t>P</w:t>
      </w:r>
      <w:r>
        <w:rPr>
          <w:rFonts w:ascii="Verdana" w:hAnsi="Verdana" w:cs="Arial"/>
          <w:i/>
          <w:sz w:val="16"/>
          <w:szCs w:val="16"/>
          <w:lang w:val="nl-NL"/>
        </w:rPr>
        <w:t>b</w:t>
      </w:r>
      <w:r w:rsidRPr="004E2B58">
        <w:rPr>
          <w:rFonts w:ascii="Verdana" w:hAnsi="Verdana" w:cs="Arial"/>
          <w:i/>
          <w:sz w:val="16"/>
          <w:szCs w:val="16"/>
          <w:lang w:val="nl-NL"/>
        </w:rPr>
        <w:t>EU</w:t>
      </w:r>
      <w:r w:rsidRPr="00393BD8">
        <w:rPr>
          <w:rFonts w:ascii="Verdana" w:hAnsi="Verdana" w:cs="Arial"/>
          <w:sz w:val="16"/>
          <w:szCs w:val="16"/>
          <w:lang w:val="nl-NL"/>
        </w:rPr>
        <w:t xml:space="preserve"> 2003, L 157/49).</w:t>
      </w:r>
    </w:p>
  </w:footnote>
  <w:footnote w:id="15">
    <w:p w14:paraId="4B2C09DE" w14:textId="77777777" w:rsidR="00223D0B" w:rsidRPr="001F5944" w:rsidRDefault="00223D0B" w:rsidP="001F5944">
      <w:pPr>
        <w:pStyle w:val="Voetnoottekst"/>
        <w:spacing w:line="240" w:lineRule="auto"/>
        <w:rPr>
          <w:lang w:val="nl-NL"/>
        </w:rPr>
      </w:pPr>
      <w:r>
        <w:rPr>
          <w:rStyle w:val="Voetnootmarkering"/>
        </w:rPr>
        <w:footnoteRef/>
      </w:r>
      <w:r w:rsidRPr="001F5944">
        <w:rPr>
          <w:lang w:val="nl-NL"/>
        </w:rPr>
        <w:t xml:space="preserve"> </w:t>
      </w:r>
      <w:r w:rsidRPr="001F5944">
        <w:rPr>
          <w:rFonts w:ascii="Verdana" w:hAnsi="Verdana"/>
          <w:sz w:val="16"/>
          <w:szCs w:val="16"/>
          <w:lang w:val="nl-NL"/>
        </w:rPr>
        <w:t>Ook de belastingverdragen met onder meer Zuid-Afrika (</w:t>
      </w:r>
      <w:r w:rsidRPr="00DB4D31">
        <w:rPr>
          <w:rFonts w:ascii="Verdana" w:hAnsi="Verdana"/>
          <w:i/>
          <w:sz w:val="16"/>
          <w:szCs w:val="16"/>
          <w:lang w:val="nl-NL"/>
        </w:rPr>
        <w:t>Trb</w:t>
      </w:r>
      <w:r w:rsidRPr="001F5944">
        <w:rPr>
          <w:rFonts w:ascii="Verdana" w:hAnsi="Verdana"/>
          <w:sz w:val="16"/>
          <w:szCs w:val="16"/>
          <w:lang w:val="nl-NL"/>
        </w:rPr>
        <w:t>. 2006, 6), Qatar (</w:t>
      </w:r>
      <w:r w:rsidRPr="00DB4D31">
        <w:rPr>
          <w:rFonts w:ascii="Verdana" w:hAnsi="Verdana"/>
          <w:i/>
          <w:sz w:val="16"/>
          <w:szCs w:val="16"/>
          <w:lang w:val="nl-NL"/>
        </w:rPr>
        <w:t>Trb</w:t>
      </w:r>
      <w:r w:rsidRPr="001F5944">
        <w:rPr>
          <w:rFonts w:ascii="Verdana" w:hAnsi="Verdana"/>
          <w:sz w:val="16"/>
          <w:szCs w:val="16"/>
          <w:lang w:val="nl-NL"/>
        </w:rPr>
        <w:t>. 2008, 112), het Verenigd Koninkrijk (</w:t>
      </w:r>
      <w:r w:rsidRPr="00DB4D31">
        <w:rPr>
          <w:rFonts w:ascii="Verdana" w:hAnsi="Verdana"/>
          <w:i/>
          <w:sz w:val="16"/>
          <w:szCs w:val="16"/>
          <w:lang w:val="nl-NL"/>
        </w:rPr>
        <w:t>Trb</w:t>
      </w:r>
      <w:r w:rsidRPr="001F5944">
        <w:rPr>
          <w:rFonts w:ascii="Verdana" w:hAnsi="Verdana"/>
          <w:sz w:val="16"/>
          <w:szCs w:val="16"/>
          <w:lang w:val="nl-NL"/>
        </w:rPr>
        <w:t>. 2008, 201), Zwitserland (</w:t>
      </w:r>
      <w:r w:rsidRPr="00DB4D31">
        <w:rPr>
          <w:rFonts w:ascii="Verdana" w:hAnsi="Verdana"/>
          <w:i/>
          <w:sz w:val="16"/>
          <w:szCs w:val="16"/>
          <w:lang w:val="nl-NL"/>
        </w:rPr>
        <w:t>Trb</w:t>
      </w:r>
      <w:r w:rsidRPr="001F5944">
        <w:rPr>
          <w:rFonts w:ascii="Verdana" w:hAnsi="Verdana"/>
          <w:sz w:val="16"/>
          <w:szCs w:val="16"/>
          <w:lang w:val="nl-NL"/>
        </w:rPr>
        <w:t>. 2010, 98), Oman (</w:t>
      </w:r>
      <w:r w:rsidRPr="00DB4D31">
        <w:rPr>
          <w:rFonts w:ascii="Verdana" w:hAnsi="Verdana"/>
          <w:i/>
          <w:sz w:val="16"/>
          <w:szCs w:val="16"/>
          <w:lang w:val="nl-NL"/>
        </w:rPr>
        <w:t>Trb</w:t>
      </w:r>
      <w:r w:rsidRPr="001F5944">
        <w:rPr>
          <w:rFonts w:ascii="Verdana" w:hAnsi="Verdana"/>
          <w:sz w:val="16"/>
          <w:szCs w:val="16"/>
          <w:lang w:val="nl-NL"/>
        </w:rPr>
        <w:t>. 2010, 181), Panama (</w:t>
      </w:r>
      <w:r w:rsidRPr="00DB4D31">
        <w:rPr>
          <w:rFonts w:ascii="Verdana" w:hAnsi="Verdana"/>
          <w:i/>
          <w:sz w:val="16"/>
          <w:szCs w:val="16"/>
          <w:lang w:val="nl-NL"/>
        </w:rPr>
        <w:t>Trb</w:t>
      </w:r>
      <w:r w:rsidRPr="001F5944">
        <w:rPr>
          <w:rFonts w:ascii="Verdana" w:hAnsi="Verdana"/>
          <w:sz w:val="16"/>
          <w:szCs w:val="16"/>
          <w:lang w:val="nl-NL"/>
        </w:rPr>
        <w:t>. 2011, 11) en China (</w:t>
      </w:r>
      <w:r w:rsidRPr="00DB4D31">
        <w:rPr>
          <w:rFonts w:ascii="Verdana" w:hAnsi="Verdana"/>
          <w:i/>
          <w:sz w:val="16"/>
          <w:szCs w:val="16"/>
          <w:lang w:val="nl-NL"/>
        </w:rPr>
        <w:t>Trb</w:t>
      </w:r>
      <w:r w:rsidRPr="001F5944">
        <w:rPr>
          <w:rFonts w:ascii="Verdana" w:hAnsi="Verdana"/>
          <w:sz w:val="16"/>
          <w:szCs w:val="16"/>
          <w:lang w:val="nl-NL"/>
        </w:rPr>
        <w:t>. 2013, 104) bevatten een soortgelijke bepaling.</w:t>
      </w:r>
    </w:p>
  </w:footnote>
  <w:footnote w:id="16">
    <w:p w14:paraId="73837505" w14:textId="77777777" w:rsidR="00223D0B" w:rsidRPr="00393BD8" w:rsidRDefault="00223D0B" w:rsidP="006C286E">
      <w:pPr>
        <w:pStyle w:val="Voetnoottekst"/>
        <w:spacing w:line="240" w:lineRule="auto"/>
        <w:rPr>
          <w:rFonts w:ascii="Verdana" w:hAnsi="Verdana"/>
          <w:sz w:val="16"/>
          <w:szCs w:val="16"/>
          <w:lang w:val="nl-NL"/>
        </w:rPr>
      </w:pPr>
      <w:r w:rsidRPr="00393BD8">
        <w:rPr>
          <w:rStyle w:val="Voetnootmarkering"/>
          <w:rFonts w:ascii="Verdana" w:hAnsi="Verdana"/>
          <w:sz w:val="16"/>
          <w:szCs w:val="16"/>
        </w:rPr>
        <w:footnoteRef/>
      </w:r>
      <w:r w:rsidRPr="00393BD8">
        <w:rPr>
          <w:rFonts w:ascii="Verdana" w:hAnsi="Verdana"/>
          <w:sz w:val="16"/>
          <w:szCs w:val="16"/>
          <w:lang w:val="nl-NL"/>
        </w:rPr>
        <w:t xml:space="preserve"> Een algemeen heffingsrecht voor de bronstaat is bijvoorbeeld ook overeengekomen in </w:t>
      </w:r>
      <w:r>
        <w:rPr>
          <w:rFonts w:ascii="Verdana" w:hAnsi="Verdana"/>
          <w:sz w:val="16"/>
          <w:szCs w:val="16"/>
          <w:lang w:val="nl-NL"/>
        </w:rPr>
        <w:t>belasting</w:t>
      </w:r>
      <w:r w:rsidRPr="00393BD8">
        <w:rPr>
          <w:rFonts w:ascii="Verdana" w:hAnsi="Verdana"/>
          <w:sz w:val="16"/>
          <w:szCs w:val="16"/>
          <w:lang w:val="nl-NL"/>
        </w:rPr>
        <w:t>verdragen van Nederland met Egypte (</w:t>
      </w:r>
      <w:r w:rsidRPr="00BD0016">
        <w:rPr>
          <w:rFonts w:ascii="Verdana" w:hAnsi="Verdana"/>
          <w:i/>
          <w:sz w:val="16"/>
          <w:szCs w:val="16"/>
          <w:lang w:val="nl-NL"/>
        </w:rPr>
        <w:t>Trb</w:t>
      </w:r>
      <w:r w:rsidRPr="00393BD8">
        <w:rPr>
          <w:rFonts w:ascii="Verdana" w:hAnsi="Verdana"/>
          <w:sz w:val="16"/>
          <w:szCs w:val="16"/>
          <w:lang w:val="nl-NL"/>
        </w:rPr>
        <w:t>. 1999, 188), Kroatië (</w:t>
      </w:r>
      <w:r w:rsidRPr="00BD0016">
        <w:rPr>
          <w:rFonts w:ascii="Verdana" w:hAnsi="Verdana"/>
          <w:i/>
          <w:sz w:val="16"/>
          <w:szCs w:val="16"/>
          <w:lang w:val="nl-NL"/>
        </w:rPr>
        <w:t>Trb</w:t>
      </w:r>
      <w:r w:rsidRPr="00393BD8">
        <w:rPr>
          <w:rFonts w:ascii="Verdana" w:hAnsi="Verdana"/>
          <w:sz w:val="16"/>
          <w:szCs w:val="16"/>
          <w:lang w:val="nl-NL"/>
        </w:rPr>
        <w:t>. 2000, 64), Indonesië (</w:t>
      </w:r>
      <w:r w:rsidRPr="00BD0016">
        <w:rPr>
          <w:rFonts w:ascii="Verdana" w:hAnsi="Verdana"/>
          <w:i/>
          <w:sz w:val="16"/>
          <w:szCs w:val="16"/>
          <w:lang w:val="nl-NL"/>
        </w:rPr>
        <w:t>Trb</w:t>
      </w:r>
      <w:r w:rsidRPr="00393BD8">
        <w:rPr>
          <w:rFonts w:ascii="Verdana" w:hAnsi="Verdana"/>
          <w:sz w:val="16"/>
          <w:szCs w:val="16"/>
          <w:lang w:val="nl-NL"/>
        </w:rPr>
        <w:t>. 2002, 33), Mongolië (</w:t>
      </w:r>
      <w:r w:rsidRPr="00BD0016">
        <w:rPr>
          <w:rFonts w:ascii="Verdana" w:hAnsi="Verdana"/>
          <w:i/>
          <w:sz w:val="16"/>
          <w:szCs w:val="16"/>
          <w:lang w:val="nl-NL"/>
        </w:rPr>
        <w:t>Trb</w:t>
      </w:r>
      <w:r w:rsidRPr="00393BD8">
        <w:rPr>
          <w:rFonts w:ascii="Verdana" w:hAnsi="Verdana"/>
          <w:sz w:val="16"/>
          <w:szCs w:val="16"/>
          <w:lang w:val="nl-NL"/>
        </w:rPr>
        <w:t>. 2002, 88), Zuid-Afrika (</w:t>
      </w:r>
      <w:r w:rsidRPr="00BD0016">
        <w:rPr>
          <w:rFonts w:ascii="Verdana" w:hAnsi="Verdana"/>
          <w:i/>
          <w:sz w:val="16"/>
          <w:szCs w:val="16"/>
          <w:lang w:val="nl-NL"/>
        </w:rPr>
        <w:t>Trb</w:t>
      </w:r>
      <w:r w:rsidRPr="00393BD8">
        <w:rPr>
          <w:rFonts w:ascii="Verdana" w:hAnsi="Verdana"/>
          <w:sz w:val="16"/>
          <w:szCs w:val="16"/>
          <w:lang w:val="nl-NL"/>
        </w:rPr>
        <w:t>. 2006, 6), Barbados (</w:t>
      </w:r>
      <w:r w:rsidRPr="00BD0016">
        <w:rPr>
          <w:rFonts w:ascii="Verdana" w:hAnsi="Verdana"/>
          <w:i/>
          <w:sz w:val="16"/>
          <w:szCs w:val="16"/>
          <w:lang w:val="nl-NL"/>
        </w:rPr>
        <w:t>Trb</w:t>
      </w:r>
      <w:r w:rsidRPr="00393BD8">
        <w:rPr>
          <w:rFonts w:ascii="Verdana" w:hAnsi="Verdana"/>
          <w:sz w:val="16"/>
          <w:szCs w:val="16"/>
          <w:lang w:val="nl-NL"/>
        </w:rPr>
        <w:t>. 2006, 269), Jordanië (</w:t>
      </w:r>
      <w:r w:rsidRPr="00BD0016">
        <w:rPr>
          <w:rFonts w:ascii="Verdana" w:hAnsi="Verdana"/>
          <w:i/>
          <w:sz w:val="16"/>
          <w:szCs w:val="16"/>
          <w:lang w:val="nl-NL"/>
        </w:rPr>
        <w:t>Trb</w:t>
      </w:r>
      <w:r w:rsidRPr="00393BD8">
        <w:rPr>
          <w:rFonts w:ascii="Verdana" w:hAnsi="Verdana"/>
          <w:sz w:val="16"/>
          <w:szCs w:val="16"/>
          <w:lang w:val="nl-NL"/>
        </w:rPr>
        <w:t>. 2007, 22), Verenigde Arabische Emiraten (</w:t>
      </w:r>
      <w:r w:rsidRPr="00BD0016">
        <w:rPr>
          <w:rFonts w:ascii="Verdana" w:hAnsi="Verdana"/>
          <w:i/>
          <w:sz w:val="16"/>
          <w:szCs w:val="16"/>
          <w:lang w:val="nl-NL"/>
        </w:rPr>
        <w:t>Trb</w:t>
      </w:r>
      <w:r w:rsidRPr="00393BD8">
        <w:rPr>
          <w:rFonts w:ascii="Verdana" w:hAnsi="Verdana"/>
          <w:sz w:val="16"/>
          <w:szCs w:val="16"/>
          <w:lang w:val="nl-NL"/>
        </w:rPr>
        <w:t>. 2007, 107), Qatar (</w:t>
      </w:r>
      <w:r w:rsidRPr="00BD0016">
        <w:rPr>
          <w:rFonts w:ascii="Verdana" w:hAnsi="Verdana"/>
          <w:i/>
          <w:sz w:val="16"/>
          <w:szCs w:val="16"/>
          <w:lang w:val="nl-NL"/>
        </w:rPr>
        <w:t>Trb</w:t>
      </w:r>
      <w:r w:rsidRPr="00393BD8">
        <w:rPr>
          <w:rFonts w:ascii="Verdana" w:hAnsi="Verdana"/>
          <w:sz w:val="16"/>
          <w:szCs w:val="16"/>
          <w:lang w:val="nl-NL"/>
        </w:rPr>
        <w:t>. 2008, 112), Bahrein (</w:t>
      </w:r>
      <w:r w:rsidRPr="00BD0016">
        <w:rPr>
          <w:rFonts w:ascii="Verdana" w:hAnsi="Verdana"/>
          <w:i/>
          <w:sz w:val="16"/>
          <w:szCs w:val="16"/>
          <w:lang w:val="nl-NL"/>
        </w:rPr>
        <w:t>Trb</w:t>
      </w:r>
      <w:r w:rsidRPr="00393BD8">
        <w:rPr>
          <w:rFonts w:ascii="Verdana" w:hAnsi="Verdana"/>
          <w:sz w:val="16"/>
          <w:szCs w:val="16"/>
          <w:lang w:val="nl-NL"/>
        </w:rPr>
        <w:t>. 2008, 119), Oman (</w:t>
      </w:r>
      <w:r w:rsidRPr="00BD0016">
        <w:rPr>
          <w:rFonts w:ascii="Verdana" w:hAnsi="Verdana"/>
          <w:i/>
          <w:sz w:val="16"/>
          <w:szCs w:val="16"/>
          <w:lang w:val="nl-NL"/>
        </w:rPr>
        <w:t>Trb</w:t>
      </w:r>
      <w:r w:rsidRPr="00393BD8">
        <w:rPr>
          <w:rFonts w:ascii="Verdana" w:hAnsi="Verdana"/>
          <w:sz w:val="16"/>
          <w:szCs w:val="16"/>
          <w:lang w:val="nl-NL"/>
        </w:rPr>
        <w:t>. 2010,181), Panama (</w:t>
      </w:r>
      <w:r w:rsidRPr="00BD0016">
        <w:rPr>
          <w:rFonts w:ascii="Verdana" w:hAnsi="Verdana"/>
          <w:i/>
          <w:sz w:val="16"/>
          <w:szCs w:val="16"/>
          <w:lang w:val="nl-NL"/>
        </w:rPr>
        <w:t>Trb</w:t>
      </w:r>
      <w:r w:rsidRPr="00393BD8">
        <w:rPr>
          <w:rFonts w:ascii="Verdana" w:hAnsi="Verdana"/>
          <w:sz w:val="16"/>
          <w:szCs w:val="16"/>
          <w:lang w:val="nl-NL"/>
        </w:rPr>
        <w:t>. 2011, 11) en Ethiopië (</w:t>
      </w:r>
      <w:r w:rsidRPr="00BD0016">
        <w:rPr>
          <w:rFonts w:ascii="Verdana" w:hAnsi="Verdana"/>
          <w:i/>
          <w:sz w:val="16"/>
          <w:szCs w:val="16"/>
          <w:lang w:val="nl-NL"/>
        </w:rPr>
        <w:t>Trb</w:t>
      </w:r>
      <w:r w:rsidRPr="00393BD8">
        <w:rPr>
          <w:rFonts w:ascii="Verdana" w:hAnsi="Verdana"/>
          <w:sz w:val="16"/>
          <w:szCs w:val="16"/>
          <w:lang w:val="nl-NL"/>
        </w:rPr>
        <w:t>. 2012, 179).</w:t>
      </w:r>
    </w:p>
  </w:footnote>
  <w:footnote w:id="17">
    <w:p w14:paraId="152D25D3" w14:textId="77777777" w:rsidR="00223D0B" w:rsidRPr="00C34269" w:rsidRDefault="00223D0B" w:rsidP="00CF6455">
      <w:pPr>
        <w:pStyle w:val="Voetnoottekst"/>
        <w:spacing w:line="240" w:lineRule="auto"/>
        <w:ind w:firstLine="0"/>
        <w:rPr>
          <w:lang w:val="nl-NL"/>
        </w:rPr>
      </w:pPr>
      <w:r w:rsidRPr="00D321E5">
        <w:rPr>
          <w:rFonts w:ascii="Verdana" w:hAnsi="Verdana"/>
          <w:sz w:val="16"/>
          <w:szCs w:val="16"/>
          <w:vertAlign w:val="superscript"/>
          <w:lang w:val="nl-NL"/>
        </w:rPr>
        <w:footnoteRef/>
      </w:r>
      <w:r w:rsidRPr="00D321E5">
        <w:rPr>
          <w:rFonts w:ascii="Verdana" w:hAnsi="Verdana"/>
          <w:sz w:val="16"/>
          <w:szCs w:val="16"/>
          <w:vertAlign w:val="superscript"/>
          <w:lang w:val="nl-NL"/>
        </w:rPr>
        <w:t xml:space="preserve"> </w:t>
      </w:r>
      <w:r w:rsidRPr="00D321E5">
        <w:rPr>
          <w:rFonts w:ascii="Verdana" w:hAnsi="Verdana"/>
          <w:sz w:val="16"/>
          <w:szCs w:val="16"/>
          <w:lang w:val="nl-NL"/>
        </w:rPr>
        <w:t>Gerekend vanaf de dag dat het onderwijs of onderzoek begint.</w:t>
      </w:r>
    </w:p>
  </w:footnote>
  <w:footnote w:id="18">
    <w:p w14:paraId="0010BD70" w14:textId="77777777" w:rsidR="00223D0B" w:rsidRPr="00BD5424" w:rsidRDefault="00223D0B" w:rsidP="00BD5424">
      <w:pPr>
        <w:pStyle w:val="Voetnoottekst"/>
        <w:spacing w:line="240" w:lineRule="auto"/>
        <w:ind w:firstLine="0"/>
        <w:rPr>
          <w:rFonts w:ascii="Verdana" w:hAnsi="Verdana"/>
          <w:sz w:val="16"/>
          <w:szCs w:val="16"/>
          <w:lang w:val="nl-NL"/>
        </w:rPr>
      </w:pPr>
      <w:r w:rsidRPr="00CF6455">
        <w:rPr>
          <w:rFonts w:ascii="Verdana" w:hAnsi="Verdana"/>
          <w:sz w:val="16"/>
          <w:szCs w:val="16"/>
          <w:vertAlign w:val="superscript"/>
          <w:lang w:val="nl-NL"/>
        </w:rPr>
        <w:footnoteRef/>
      </w:r>
      <w:r w:rsidRPr="00BD5424">
        <w:rPr>
          <w:rFonts w:ascii="Verdana" w:hAnsi="Verdana"/>
          <w:sz w:val="16"/>
          <w:szCs w:val="16"/>
          <w:lang w:val="nl-NL"/>
        </w:rPr>
        <w:t xml:space="preserve"> PbEU 2017, L 265.</w:t>
      </w:r>
    </w:p>
  </w:footnote>
  <w:footnote w:id="19">
    <w:p w14:paraId="1D40247E" w14:textId="77777777" w:rsidR="00223D0B" w:rsidRPr="00393BD8" w:rsidRDefault="00223D0B" w:rsidP="00BD5424">
      <w:pPr>
        <w:pStyle w:val="Voetnoottekst"/>
        <w:spacing w:line="240" w:lineRule="auto"/>
        <w:ind w:firstLine="0"/>
        <w:rPr>
          <w:rFonts w:ascii="Verdana" w:hAnsi="Verdana"/>
          <w:sz w:val="16"/>
          <w:szCs w:val="16"/>
          <w:lang w:val="nl-NL"/>
        </w:rPr>
      </w:pPr>
      <w:r w:rsidRPr="00CF6455">
        <w:rPr>
          <w:rFonts w:ascii="Verdana" w:hAnsi="Verdana"/>
          <w:sz w:val="16"/>
          <w:szCs w:val="16"/>
          <w:vertAlign w:val="superscript"/>
          <w:lang w:val="nl-NL"/>
        </w:rPr>
        <w:footnoteRef/>
      </w:r>
      <w:r w:rsidRPr="00CF6455">
        <w:rPr>
          <w:rFonts w:ascii="Verdana" w:hAnsi="Verdana"/>
          <w:sz w:val="16"/>
          <w:szCs w:val="16"/>
          <w:vertAlign w:val="superscript"/>
          <w:lang w:val="nl-NL"/>
        </w:rPr>
        <w:t xml:space="preserve"> </w:t>
      </w:r>
      <w:r w:rsidRPr="00BD5424">
        <w:rPr>
          <w:rFonts w:ascii="Verdana" w:hAnsi="Verdana"/>
          <w:sz w:val="16"/>
          <w:szCs w:val="16"/>
          <w:lang w:val="nl-NL"/>
        </w:rPr>
        <w:t>(zie: www.oecd.org/tax/transparency)</w:t>
      </w:r>
    </w:p>
  </w:footnote>
  <w:footnote w:id="20">
    <w:p w14:paraId="40C4AF18" w14:textId="77777777" w:rsidR="00223D0B" w:rsidRPr="00393BD8" w:rsidRDefault="00223D0B" w:rsidP="004D4F0D">
      <w:pPr>
        <w:pStyle w:val="Voetnoottekst"/>
        <w:ind w:firstLine="0"/>
        <w:rPr>
          <w:rFonts w:ascii="Verdana" w:hAnsi="Verdana"/>
          <w:sz w:val="16"/>
          <w:szCs w:val="16"/>
          <w:lang w:val="nl-NL"/>
        </w:rPr>
      </w:pPr>
      <w:r w:rsidRPr="00393BD8">
        <w:rPr>
          <w:rFonts w:ascii="Verdana" w:hAnsi="Verdana" w:cs="Arial"/>
          <w:sz w:val="16"/>
          <w:szCs w:val="16"/>
          <w:vertAlign w:val="superscript"/>
          <w:lang w:val="nl-NL"/>
        </w:rPr>
        <w:footnoteRef/>
      </w:r>
      <w:r w:rsidRPr="00393BD8">
        <w:rPr>
          <w:rFonts w:ascii="Verdana" w:hAnsi="Verdana" w:cs="Arial"/>
          <w:sz w:val="16"/>
          <w:szCs w:val="16"/>
          <w:lang w:val="nl-NL"/>
        </w:rPr>
        <w:t xml:space="preserve"> Richtlijn 2010/24/EU van de Raad van 16 maart 2010 betreffende de wederzijdse bijstand inzake de invordering van schuldvorderingen die voortvloeien uit belastingen, rechten en andere maatregelen (</w:t>
      </w:r>
      <w:r w:rsidRPr="00A6119F">
        <w:rPr>
          <w:rFonts w:ascii="Verdana" w:hAnsi="Verdana" w:cs="Arial"/>
          <w:i/>
          <w:sz w:val="16"/>
          <w:szCs w:val="16"/>
          <w:lang w:val="nl-NL"/>
        </w:rPr>
        <w:t>PbEU</w:t>
      </w:r>
      <w:r w:rsidRPr="00393BD8">
        <w:rPr>
          <w:rFonts w:ascii="Verdana" w:hAnsi="Verdana" w:cs="Arial"/>
          <w:sz w:val="16"/>
          <w:szCs w:val="16"/>
          <w:lang w:val="nl-NL"/>
        </w:rPr>
        <w:t xml:space="preserve"> 2010, L 84).</w:t>
      </w:r>
    </w:p>
  </w:footnote>
  <w:footnote w:id="21">
    <w:p w14:paraId="547E1178" w14:textId="77777777" w:rsidR="00223D0B" w:rsidRPr="00CD4473" w:rsidRDefault="00223D0B" w:rsidP="004D4F0D">
      <w:pPr>
        <w:pStyle w:val="Voetnoottekst"/>
        <w:ind w:firstLine="0"/>
        <w:rPr>
          <w:lang w:val="nl-NL"/>
        </w:rPr>
      </w:pPr>
      <w:r w:rsidRPr="00CD4473">
        <w:rPr>
          <w:rFonts w:ascii="Verdana" w:hAnsi="Verdana" w:cs="Arial"/>
          <w:sz w:val="16"/>
          <w:szCs w:val="16"/>
          <w:vertAlign w:val="superscript"/>
          <w:lang w:val="nl-NL"/>
        </w:rPr>
        <w:footnoteRef/>
      </w:r>
      <w:r w:rsidRPr="00CD4473">
        <w:rPr>
          <w:rFonts w:ascii="Verdana" w:hAnsi="Verdana" w:cs="Arial"/>
          <w:sz w:val="16"/>
          <w:szCs w:val="16"/>
          <w:lang w:val="nl-NL"/>
        </w:rPr>
        <w:t xml:space="preserve"> Verordening (EG) Nr. 883/2004 van het Europees Parlement en de Raad van 29 april 2004 betreffende de coördinatie van de socialezekerheidsstelsels</w:t>
      </w:r>
      <w:r>
        <w:rPr>
          <w:rFonts w:ascii="Verdana" w:hAnsi="Verdana" w:cs="Arial"/>
          <w:sz w:val="16"/>
          <w:szCs w:val="16"/>
          <w:lang w:val="nl-NL"/>
        </w:rPr>
        <w:t>.</w:t>
      </w:r>
    </w:p>
  </w:footnote>
  <w:footnote w:id="22">
    <w:p w14:paraId="03711C10" w14:textId="77777777" w:rsidR="00223D0B" w:rsidRPr="00CD4473" w:rsidRDefault="00223D0B" w:rsidP="004D4F0D">
      <w:pPr>
        <w:pStyle w:val="Voetnoottekst"/>
        <w:ind w:firstLine="0"/>
        <w:rPr>
          <w:lang w:val="nl-NL"/>
        </w:rPr>
      </w:pPr>
      <w:r w:rsidRPr="00CD4473">
        <w:rPr>
          <w:rFonts w:ascii="Verdana" w:hAnsi="Verdana" w:cs="Arial"/>
          <w:sz w:val="16"/>
          <w:szCs w:val="16"/>
          <w:vertAlign w:val="superscript"/>
          <w:lang w:val="nl-NL"/>
        </w:rPr>
        <w:footnoteRef/>
      </w:r>
      <w:r w:rsidRPr="00CD4473">
        <w:rPr>
          <w:rFonts w:ascii="Verdana" w:hAnsi="Verdana" w:cs="Arial"/>
          <w:sz w:val="16"/>
          <w:szCs w:val="16"/>
          <w:vertAlign w:val="superscript"/>
          <w:lang w:val="nl-NL"/>
        </w:rPr>
        <w:t xml:space="preserve"> </w:t>
      </w:r>
      <w:r w:rsidRPr="00CD4473">
        <w:rPr>
          <w:rFonts w:ascii="Verdana" w:hAnsi="Verdana" w:cs="Arial"/>
          <w:sz w:val="16"/>
          <w:szCs w:val="16"/>
          <w:lang w:val="nl-NL"/>
        </w:rPr>
        <w:t>Verordening (EG) n r. 987/2009 van het Europees Parlement en de Raad van 16 september 2009 tot vaststelling van de wijze van toepassing van Verordening (EG) nr. 883/2004 betreffende de coördinatie van de socialezekerheidsstelsels</w:t>
      </w:r>
      <w:r>
        <w:rPr>
          <w:rFonts w:ascii="Verdana" w:hAnsi="Verdana" w:cs="Arial"/>
          <w:sz w:val="16"/>
          <w:szCs w:val="16"/>
          <w:lang w:val="nl-NL"/>
        </w:rPr>
        <w:t>.</w:t>
      </w:r>
    </w:p>
  </w:footnote>
  <w:footnote w:id="23">
    <w:p w14:paraId="254E41C5" w14:textId="1D8973AA" w:rsidR="00223D0B" w:rsidRPr="00DB4D31" w:rsidRDefault="00223D0B" w:rsidP="007D7DA0">
      <w:pPr>
        <w:pStyle w:val="Voetnoottekst"/>
        <w:ind w:firstLine="0"/>
        <w:rPr>
          <w:rFonts w:ascii="Verdana" w:hAnsi="Verdana"/>
          <w:sz w:val="16"/>
          <w:szCs w:val="16"/>
          <w:lang w:val="nl-NL"/>
        </w:rPr>
      </w:pPr>
      <w:r w:rsidRPr="00DB4D31">
        <w:rPr>
          <w:rStyle w:val="Voetnootmarkering"/>
          <w:rFonts w:ascii="Verdana" w:hAnsi="Verdana"/>
          <w:sz w:val="16"/>
          <w:szCs w:val="16"/>
        </w:rPr>
        <w:footnoteRef/>
      </w:r>
      <w:r w:rsidRPr="00DB4D31">
        <w:rPr>
          <w:rFonts w:ascii="Verdana" w:hAnsi="Verdana"/>
          <w:sz w:val="16"/>
          <w:szCs w:val="16"/>
          <w:lang w:val="nl-NL"/>
        </w:rPr>
        <w:t xml:space="preserve"> Opgemerkt wordt dat onder de Verordening 987/2009 een drempelbedrag van</w:t>
      </w:r>
      <w:r>
        <w:rPr>
          <w:rFonts w:ascii="Verdana" w:hAnsi="Verdana"/>
          <w:sz w:val="16"/>
          <w:szCs w:val="16"/>
          <w:lang w:val="nl-NL"/>
        </w:rPr>
        <w:t xml:space="preserve"> €</w:t>
      </w:r>
      <w:r w:rsidRPr="00DB4D31">
        <w:rPr>
          <w:rFonts w:ascii="Verdana" w:hAnsi="Verdana"/>
          <w:sz w:val="16"/>
          <w:szCs w:val="16"/>
          <w:lang w:val="nl-NL"/>
        </w:rPr>
        <w:t xml:space="preserve"> 1.500 </w:t>
      </w:r>
      <w:r>
        <w:rPr>
          <w:rFonts w:ascii="Verdana" w:hAnsi="Verdana"/>
          <w:sz w:val="16"/>
          <w:szCs w:val="16"/>
          <w:lang w:val="nl-NL"/>
        </w:rPr>
        <w:t xml:space="preserve">euro </w:t>
      </w:r>
      <w:r w:rsidRPr="00DB4D31">
        <w:rPr>
          <w:rFonts w:ascii="Verdana" w:hAnsi="Verdana"/>
          <w:sz w:val="16"/>
          <w:szCs w:val="16"/>
          <w:lang w:val="nl-NL"/>
        </w:rPr>
        <w:t>geldt.</w:t>
      </w:r>
    </w:p>
  </w:footnote>
  <w:footnote w:id="24">
    <w:p w14:paraId="463DDFA2" w14:textId="77777777" w:rsidR="00223D0B" w:rsidRPr="00393BD8" w:rsidRDefault="00223D0B" w:rsidP="001460E2">
      <w:pPr>
        <w:pStyle w:val="Voetnoottekst"/>
        <w:ind w:firstLine="0"/>
        <w:rPr>
          <w:rFonts w:ascii="Verdana" w:hAnsi="Verdana"/>
          <w:sz w:val="16"/>
          <w:szCs w:val="16"/>
          <w:lang w:val="nl-NL"/>
        </w:rPr>
      </w:pPr>
      <w:r w:rsidRPr="00393BD8">
        <w:rPr>
          <w:rFonts w:ascii="Verdana" w:hAnsi="Verdana" w:cs="Arial"/>
          <w:sz w:val="16"/>
          <w:szCs w:val="16"/>
          <w:vertAlign w:val="superscript"/>
          <w:lang w:val="nl-NL"/>
        </w:rPr>
        <w:footnoteRef/>
      </w:r>
      <w:r w:rsidRPr="00393BD8">
        <w:rPr>
          <w:rFonts w:ascii="Verdana" w:hAnsi="Verdana" w:cs="Arial"/>
          <w:sz w:val="16"/>
          <w:szCs w:val="16"/>
          <w:lang w:val="nl-NL"/>
        </w:rPr>
        <w:t xml:space="preserve"> Richtlijn 2010/24/EU van de Raad van 16 maart 2010 betreffende de wederzijdse bijstand inzake de invordering van schuldvorderingen die voortvloeien uit belastingen, rechten en andere maatregelen (</w:t>
      </w:r>
      <w:r w:rsidRPr="00A6119F">
        <w:rPr>
          <w:rFonts w:ascii="Verdana" w:hAnsi="Verdana" w:cs="Arial"/>
          <w:i/>
          <w:sz w:val="16"/>
          <w:szCs w:val="16"/>
          <w:lang w:val="nl-NL"/>
        </w:rPr>
        <w:t>PbEU</w:t>
      </w:r>
      <w:r w:rsidRPr="00393BD8">
        <w:rPr>
          <w:rFonts w:ascii="Verdana" w:hAnsi="Verdana" w:cs="Arial"/>
          <w:sz w:val="16"/>
          <w:szCs w:val="16"/>
          <w:lang w:val="nl-NL"/>
        </w:rPr>
        <w:t xml:space="preserve"> 2010, L 84).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13000"/>
    <w:multiLevelType w:val="hybridMultilevel"/>
    <w:tmpl w:val="4BDCBB00"/>
    <w:lvl w:ilvl="0" w:tplc="B4F6C67A">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985887"/>
    <w:multiLevelType w:val="hybridMultilevel"/>
    <w:tmpl w:val="E754349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66C0FDE"/>
    <w:multiLevelType w:val="multilevel"/>
    <w:tmpl w:val="D5D0312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A6F85"/>
    <w:multiLevelType w:val="hybridMultilevel"/>
    <w:tmpl w:val="B15CC344"/>
    <w:lvl w:ilvl="0" w:tplc="A502C84E">
      <w:start w:val="1"/>
      <w:numFmt w:val="decimal"/>
      <w:lvlText w:val=".%1."/>
      <w:lvlJc w:val="left"/>
      <w:pPr>
        <w:ind w:left="1068" w:hanging="360"/>
      </w:pPr>
      <w:rPr>
        <w:rFonts w:hint="default"/>
      </w:rPr>
    </w:lvl>
    <w:lvl w:ilvl="1" w:tplc="04130019" w:tentative="1">
      <w:start w:val="1"/>
      <w:numFmt w:val="lowerLetter"/>
      <w:lvlText w:val="%2."/>
      <w:lvlJc w:val="left"/>
      <w:pPr>
        <w:ind w:left="2857" w:hanging="360"/>
      </w:pPr>
    </w:lvl>
    <w:lvl w:ilvl="2" w:tplc="0413001B" w:tentative="1">
      <w:start w:val="1"/>
      <w:numFmt w:val="lowerRoman"/>
      <w:lvlText w:val="%3."/>
      <w:lvlJc w:val="right"/>
      <w:pPr>
        <w:ind w:left="3577" w:hanging="180"/>
      </w:pPr>
    </w:lvl>
    <w:lvl w:ilvl="3" w:tplc="0413000F" w:tentative="1">
      <w:start w:val="1"/>
      <w:numFmt w:val="decimal"/>
      <w:lvlText w:val="%4."/>
      <w:lvlJc w:val="left"/>
      <w:pPr>
        <w:ind w:left="4297" w:hanging="360"/>
      </w:pPr>
    </w:lvl>
    <w:lvl w:ilvl="4" w:tplc="04130019" w:tentative="1">
      <w:start w:val="1"/>
      <w:numFmt w:val="lowerLetter"/>
      <w:lvlText w:val="%5."/>
      <w:lvlJc w:val="left"/>
      <w:pPr>
        <w:ind w:left="5017" w:hanging="360"/>
      </w:pPr>
    </w:lvl>
    <w:lvl w:ilvl="5" w:tplc="0413001B" w:tentative="1">
      <w:start w:val="1"/>
      <w:numFmt w:val="lowerRoman"/>
      <w:lvlText w:val="%6."/>
      <w:lvlJc w:val="right"/>
      <w:pPr>
        <w:ind w:left="5737" w:hanging="180"/>
      </w:pPr>
    </w:lvl>
    <w:lvl w:ilvl="6" w:tplc="0413000F" w:tentative="1">
      <w:start w:val="1"/>
      <w:numFmt w:val="decimal"/>
      <w:lvlText w:val="%7."/>
      <w:lvlJc w:val="left"/>
      <w:pPr>
        <w:ind w:left="6457" w:hanging="360"/>
      </w:pPr>
    </w:lvl>
    <w:lvl w:ilvl="7" w:tplc="04130019" w:tentative="1">
      <w:start w:val="1"/>
      <w:numFmt w:val="lowerLetter"/>
      <w:lvlText w:val="%8."/>
      <w:lvlJc w:val="left"/>
      <w:pPr>
        <w:ind w:left="7177" w:hanging="360"/>
      </w:pPr>
    </w:lvl>
    <w:lvl w:ilvl="8" w:tplc="0413001B" w:tentative="1">
      <w:start w:val="1"/>
      <w:numFmt w:val="lowerRoman"/>
      <w:lvlText w:val="%9."/>
      <w:lvlJc w:val="right"/>
      <w:pPr>
        <w:ind w:left="7897" w:hanging="180"/>
      </w:pPr>
    </w:lvl>
  </w:abstractNum>
  <w:abstractNum w:abstractNumId="4" w15:restartNumberingAfterBreak="0">
    <w:nsid w:val="0CF373FF"/>
    <w:multiLevelType w:val="hybridMultilevel"/>
    <w:tmpl w:val="992EDF74"/>
    <w:lvl w:ilvl="0" w:tplc="04130001">
      <w:start w:val="1"/>
      <w:numFmt w:val="bullet"/>
      <w:lvlText w:val=""/>
      <w:lvlJc w:val="left"/>
      <w:pPr>
        <w:ind w:left="1429" w:hanging="360"/>
      </w:pPr>
      <w:rPr>
        <w:rFonts w:ascii="Symbol" w:hAnsi="Symbol"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5" w15:restartNumberingAfterBreak="0">
    <w:nsid w:val="0E3527EE"/>
    <w:multiLevelType w:val="multilevel"/>
    <w:tmpl w:val="0D6C3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93399D"/>
    <w:multiLevelType w:val="hybridMultilevel"/>
    <w:tmpl w:val="C570D8A4"/>
    <w:lvl w:ilvl="0" w:tplc="3196D11C">
      <w:numFmt w:val="bullet"/>
      <w:lvlText w:val="-"/>
      <w:lvlJc w:val="left"/>
      <w:pPr>
        <w:ind w:left="360" w:hanging="360"/>
      </w:pPr>
      <w:rPr>
        <w:rFonts w:ascii="Arial" w:eastAsia="Times New Roman"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1B4268B2"/>
    <w:multiLevelType w:val="multilevel"/>
    <w:tmpl w:val="669C0F8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B5C576B"/>
    <w:multiLevelType w:val="hybridMultilevel"/>
    <w:tmpl w:val="A6C674BA"/>
    <w:lvl w:ilvl="0" w:tplc="1870F7E4">
      <w:start w:val="1"/>
      <w:numFmt w:val="lowerRoman"/>
      <w:lvlText w:val="%1)"/>
      <w:lvlJc w:val="left"/>
      <w:pPr>
        <w:ind w:left="1429" w:hanging="72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9" w15:restartNumberingAfterBreak="0">
    <w:nsid w:val="1C471737"/>
    <w:multiLevelType w:val="hybridMultilevel"/>
    <w:tmpl w:val="A894D1F2"/>
    <w:lvl w:ilvl="0" w:tplc="32A8B7E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D0E4887"/>
    <w:multiLevelType w:val="hybridMultilevel"/>
    <w:tmpl w:val="E12633D4"/>
    <w:lvl w:ilvl="0" w:tplc="6792A1D4">
      <w:start w:val="1"/>
      <w:numFmt w:val="bullet"/>
      <w:lvlText w:val="-"/>
      <w:lvlJc w:val="left"/>
      <w:pPr>
        <w:ind w:left="1069" w:hanging="360"/>
      </w:pPr>
      <w:rPr>
        <w:rFonts w:ascii="Verdana" w:eastAsia="Times New Roman" w:hAnsi="Verdana"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22DA4A3E"/>
    <w:multiLevelType w:val="hybridMultilevel"/>
    <w:tmpl w:val="9914016E"/>
    <w:lvl w:ilvl="0" w:tplc="5FA84872">
      <w:start w:val="2"/>
      <w:numFmt w:val="bullet"/>
      <w:lvlText w:val="-"/>
      <w:lvlJc w:val="left"/>
      <w:pPr>
        <w:ind w:left="1069" w:hanging="360"/>
      </w:pPr>
      <w:rPr>
        <w:rFonts w:ascii="Arial" w:eastAsia="Times New Roman" w:hAnsi="Arial" w:cs="Aria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12" w15:restartNumberingAfterBreak="0">
    <w:nsid w:val="28EA600B"/>
    <w:multiLevelType w:val="hybridMultilevel"/>
    <w:tmpl w:val="7BD88952"/>
    <w:lvl w:ilvl="0" w:tplc="D31A4BEE">
      <w:start w:val="2"/>
      <w:numFmt w:val="bullet"/>
      <w:lvlText w:val="-"/>
      <w:lvlJc w:val="left"/>
      <w:pPr>
        <w:ind w:left="1773" w:hanging="360"/>
      </w:pPr>
      <w:rPr>
        <w:rFonts w:ascii="Arial" w:eastAsia="Times New Roman" w:hAnsi="Arial" w:cs="Arial" w:hint="default"/>
      </w:rPr>
    </w:lvl>
    <w:lvl w:ilvl="1" w:tplc="04090003" w:tentative="1">
      <w:start w:val="1"/>
      <w:numFmt w:val="bullet"/>
      <w:lvlText w:val="o"/>
      <w:lvlJc w:val="left"/>
      <w:pPr>
        <w:ind w:left="2493" w:hanging="360"/>
      </w:pPr>
      <w:rPr>
        <w:rFonts w:ascii="Courier New" w:hAnsi="Courier New" w:cs="Courier New" w:hint="default"/>
      </w:rPr>
    </w:lvl>
    <w:lvl w:ilvl="2" w:tplc="04090005" w:tentative="1">
      <w:start w:val="1"/>
      <w:numFmt w:val="bullet"/>
      <w:lvlText w:val=""/>
      <w:lvlJc w:val="left"/>
      <w:pPr>
        <w:ind w:left="3213" w:hanging="360"/>
      </w:pPr>
      <w:rPr>
        <w:rFonts w:ascii="Wingdings" w:hAnsi="Wingdings" w:hint="default"/>
      </w:rPr>
    </w:lvl>
    <w:lvl w:ilvl="3" w:tplc="04090001" w:tentative="1">
      <w:start w:val="1"/>
      <w:numFmt w:val="bullet"/>
      <w:lvlText w:val=""/>
      <w:lvlJc w:val="left"/>
      <w:pPr>
        <w:ind w:left="3933" w:hanging="360"/>
      </w:pPr>
      <w:rPr>
        <w:rFonts w:ascii="Symbol" w:hAnsi="Symbol" w:hint="default"/>
      </w:rPr>
    </w:lvl>
    <w:lvl w:ilvl="4" w:tplc="04090003" w:tentative="1">
      <w:start w:val="1"/>
      <w:numFmt w:val="bullet"/>
      <w:lvlText w:val="o"/>
      <w:lvlJc w:val="left"/>
      <w:pPr>
        <w:ind w:left="4653" w:hanging="360"/>
      </w:pPr>
      <w:rPr>
        <w:rFonts w:ascii="Courier New" w:hAnsi="Courier New" w:cs="Courier New" w:hint="default"/>
      </w:rPr>
    </w:lvl>
    <w:lvl w:ilvl="5" w:tplc="04090005" w:tentative="1">
      <w:start w:val="1"/>
      <w:numFmt w:val="bullet"/>
      <w:lvlText w:val=""/>
      <w:lvlJc w:val="left"/>
      <w:pPr>
        <w:ind w:left="5373" w:hanging="360"/>
      </w:pPr>
      <w:rPr>
        <w:rFonts w:ascii="Wingdings" w:hAnsi="Wingdings" w:hint="default"/>
      </w:rPr>
    </w:lvl>
    <w:lvl w:ilvl="6" w:tplc="04090001" w:tentative="1">
      <w:start w:val="1"/>
      <w:numFmt w:val="bullet"/>
      <w:lvlText w:val=""/>
      <w:lvlJc w:val="left"/>
      <w:pPr>
        <w:ind w:left="6093" w:hanging="360"/>
      </w:pPr>
      <w:rPr>
        <w:rFonts w:ascii="Symbol" w:hAnsi="Symbol" w:hint="default"/>
      </w:rPr>
    </w:lvl>
    <w:lvl w:ilvl="7" w:tplc="04090003" w:tentative="1">
      <w:start w:val="1"/>
      <w:numFmt w:val="bullet"/>
      <w:lvlText w:val="o"/>
      <w:lvlJc w:val="left"/>
      <w:pPr>
        <w:ind w:left="6813" w:hanging="360"/>
      </w:pPr>
      <w:rPr>
        <w:rFonts w:ascii="Courier New" w:hAnsi="Courier New" w:cs="Courier New" w:hint="default"/>
      </w:rPr>
    </w:lvl>
    <w:lvl w:ilvl="8" w:tplc="04090005" w:tentative="1">
      <w:start w:val="1"/>
      <w:numFmt w:val="bullet"/>
      <w:lvlText w:val=""/>
      <w:lvlJc w:val="left"/>
      <w:pPr>
        <w:ind w:left="7533" w:hanging="360"/>
      </w:pPr>
      <w:rPr>
        <w:rFonts w:ascii="Wingdings" w:hAnsi="Wingdings" w:hint="default"/>
      </w:rPr>
    </w:lvl>
  </w:abstractNum>
  <w:abstractNum w:abstractNumId="13" w15:restartNumberingAfterBreak="0">
    <w:nsid w:val="29137D93"/>
    <w:multiLevelType w:val="hybridMultilevel"/>
    <w:tmpl w:val="D1CAA9F8"/>
    <w:lvl w:ilvl="0" w:tplc="3BD02702">
      <w:numFmt w:val="bullet"/>
      <w:lvlText w:val="-"/>
      <w:lvlJc w:val="left"/>
      <w:pPr>
        <w:ind w:left="1065" w:hanging="705"/>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48E61C4"/>
    <w:multiLevelType w:val="multilevel"/>
    <w:tmpl w:val="CDFE101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4FA261F"/>
    <w:multiLevelType w:val="hybridMultilevel"/>
    <w:tmpl w:val="3A2E46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7754F44"/>
    <w:multiLevelType w:val="multilevel"/>
    <w:tmpl w:val="E07CA4C2"/>
    <w:lvl w:ilvl="0">
      <w:start w:val="1"/>
      <w:numFmt w:val="upperRoman"/>
      <w:pStyle w:val="Kop1"/>
      <w:lvlText w:val="%1."/>
      <w:lvlJc w:val="left"/>
      <w:pPr>
        <w:ind w:left="0" w:firstLine="0"/>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1">
      <w:numFmt w:val="decimal"/>
      <w:pStyle w:val="Kop2"/>
      <w:lvlText w:val="%1.%2."/>
      <w:lvlJc w:val="left"/>
      <w:pPr>
        <w:ind w:left="284" w:firstLine="0"/>
      </w:pPr>
      <w:rPr>
        <w:rFonts w:hint="default"/>
      </w:rPr>
    </w:lvl>
    <w:lvl w:ilvl="2">
      <w:start w:val="1"/>
      <w:numFmt w:val="decimal"/>
      <w:pStyle w:val="Kop3"/>
      <w:lvlText w:val="%1.%2.%3."/>
      <w:lvlJc w:val="left"/>
      <w:pPr>
        <w:ind w:left="1440" w:firstLine="0"/>
      </w:pPr>
      <w:rPr>
        <w:rFonts w:hint="default"/>
      </w:rPr>
    </w:lvl>
    <w:lvl w:ilvl="3">
      <w:start w:val="1"/>
      <w:numFmt w:val="lowerLetter"/>
      <w:pStyle w:val="Kop4"/>
      <w:lvlText w:val="%4)"/>
      <w:lvlJc w:val="left"/>
      <w:pPr>
        <w:ind w:left="2160" w:firstLine="0"/>
      </w:pPr>
      <w:rPr>
        <w:rFonts w:hint="default"/>
      </w:rPr>
    </w:lvl>
    <w:lvl w:ilvl="4">
      <w:start w:val="1"/>
      <w:numFmt w:val="decimal"/>
      <w:pStyle w:val="Kop5"/>
      <w:lvlText w:val="(%5)"/>
      <w:lvlJc w:val="left"/>
      <w:pPr>
        <w:ind w:left="2880" w:firstLine="0"/>
      </w:pPr>
      <w:rPr>
        <w:rFonts w:hint="default"/>
      </w:rPr>
    </w:lvl>
    <w:lvl w:ilvl="5">
      <w:start w:val="1"/>
      <w:numFmt w:val="lowerLetter"/>
      <w:pStyle w:val="Kop6"/>
      <w:lvlText w:val="(%6)"/>
      <w:lvlJc w:val="left"/>
      <w:pPr>
        <w:ind w:left="3600" w:firstLine="0"/>
      </w:pPr>
      <w:rPr>
        <w:rFonts w:hint="default"/>
      </w:rPr>
    </w:lvl>
    <w:lvl w:ilvl="6">
      <w:start w:val="1"/>
      <w:numFmt w:val="lowerRoman"/>
      <w:pStyle w:val="Kop7"/>
      <w:lvlText w:val="(%7)"/>
      <w:lvlJc w:val="left"/>
      <w:pPr>
        <w:ind w:left="4320" w:firstLine="0"/>
      </w:pPr>
      <w:rPr>
        <w:rFonts w:hint="default"/>
      </w:rPr>
    </w:lvl>
    <w:lvl w:ilvl="7">
      <w:start w:val="1"/>
      <w:numFmt w:val="lowerLetter"/>
      <w:pStyle w:val="Kop8"/>
      <w:lvlText w:val="(%8)"/>
      <w:lvlJc w:val="left"/>
      <w:pPr>
        <w:ind w:left="5040" w:firstLine="0"/>
      </w:pPr>
      <w:rPr>
        <w:rFonts w:hint="default"/>
      </w:rPr>
    </w:lvl>
    <w:lvl w:ilvl="8">
      <w:start w:val="1"/>
      <w:numFmt w:val="lowerRoman"/>
      <w:pStyle w:val="Kop9"/>
      <w:lvlText w:val="(%9)"/>
      <w:lvlJc w:val="left"/>
      <w:pPr>
        <w:ind w:left="5760" w:firstLine="0"/>
      </w:pPr>
      <w:rPr>
        <w:rFonts w:hint="default"/>
      </w:rPr>
    </w:lvl>
  </w:abstractNum>
  <w:abstractNum w:abstractNumId="17" w15:restartNumberingAfterBreak="0">
    <w:nsid w:val="4A4B5E6D"/>
    <w:multiLevelType w:val="hybridMultilevel"/>
    <w:tmpl w:val="E18AFE34"/>
    <w:lvl w:ilvl="0" w:tplc="653ADD7E">
      <w:start w:val="2"/>
      <w:numFmt w:val="bullet"/>
      <w:lvlText w:val=""/>
      <w:lvlJc w:val="left"/>
      <w:pPr>
        <w:tabs>
          <w:tab w:val="num" w:pos="786"/>
        </w:tabs>
        <w:ind w:left="786" w:hanging="360"/>
      </w:pPr>
      <w:rPr>
        <w:rFonts w:ascii="Symbol" w:eastAsia="Times New Roman" w:hAnsi="Symbol" w:cs="Aria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8" w15:restartNumberingAfterBreak="0">
    <w:nsid w:val="4CBA4505"/>
    <w:multiLevelType w:val="hybridMultilevel"/>
    <w:tmpl w:val="29A6503C"/>
    <w:lvl w:ilvl="0" w:tplc="5E4E3F32">
      <w:start w:val="1"/>
      <w:numFmt w:val="lowerLetter"/>
      <w:lvlText w:val="%1."/>
      <w:lvlJc w:val="left"/>
      <w:pPr>
        <w:ind w:left="1068" w:hanging="360"/>
      </w:pPr>
      <w:rPr>
        <w:rFonts w:ascii="Verdana" w:eastAsia="Times New Roman" w:hAnsi="Verdana" w:cs="Arial"/>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9" w15:restartNumberingAfterBreak="0">
    <w:nsid w:val="50A92685"/>
    <w:multiLevelType w:val="hybridMultilevel"/>
    <w:tmpl w:val="0512E492"/>
    <w:lvl w:ilvl="0" w:tplc="04130019">
      <w:start w:val="1"/>
      <w:numFmt w:val="lowerLetter"/>
      <w:lvlText w:val="%1."/>
      <w:lvlJc w:val="left"/>
      <w:pPr>
        <w:ind w:left="1069" w:hanging="360"/>
      </w:p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20" w15:restartNumberingAfterBreak="0">
    <w:nsid w:val="50EF38AC"/>
    <w:multiLevelType w:val="hybridMultilevel"/>
    <w:tmpl w:val="864463A2"/>
    <w:lvl w:ilvl="0" w:tplc="CF92CA46">
      <w:start w:val="2"/>
      <w:numFmt w:val="bullet"/>
      <w:lvlText w:val="-"/>
      <w:lvlJc w:val="left"/>
      <w:pPr>
        <w:ind w:left="1065" w:hanging="360"/>
      </w:pPr>
      <w:rPr>
        <w:rFonts w:ascii="Arial" w:eastAsia="Times New Roman" w:hAnsi="Arial" w:cs="Aria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21" w15:restartNumberingAfterBreak="0">
    <w:nsid w:val="55A73F26"/>
    <w:multiLevelType w:val="multilevel"/>
    <w:tmpl w:val="AB9279F0"/>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BC2739B"/>
    <w:multiLevelType w:val="multilevel"/>
    <w:tmpl w:val="8AAC7D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C82252A"/>
    <w:multiLevelType w:val="hybridMultilevel"/>
    <w:tmpl w:val="3FAE7616"/>
    <w:lvl w:ilvl="0" w:tplc="CCF2FCD6">
      <w:start w:val="1"/>
      <w:numFmt w:val="lowerLetter"/>
      <w:lvlText w:val="%1."/>
      <w:lvlJc w:val="left"/>
      <w:pPr>
        <w:ind w:left="1068" w:hanging="360"/>
      </w:pPr>
      <w:rPr>
        <w:rFonts w:ascii="Verdana" w:eastAsia="Times New Roman" w:hAnsi="Verdana" w:cs="Arial"/>
      </w:rPr>
    </w:lvl>
    <w:lvl w:ilvl="1" w:tplc="04130019">
      <w:start w:val="1"/>
      <w:numFmt w:val="decimal"/>
      <w:lvlText w:val="%2."/>
      <w:lvlJc w:val="left"/>
      <w:pPr>
        <w:tabs>
          <w:tab w:val="num" w:pos="1788"/>
        </w:tabs>
        <w:ind w:left="1788" w:hanging="360"/>
      </w:pPr>
    </w:lvl>
    <w:lvl w:ilvl="2" w:tplc="0413001B">
      <w:start w:val="1"/>
      <w:numFmt w:val="decimal"/>
      <w:lvlText w:val="%3."/>
      <w:lvlJc w:val="left"/>
      <w:pPr>
        <w:tabs>
          <w:tab w:val="num" w:pos="2508"/>
        </w:tabs>
        <w:ind w:left="2508" w:hanging="360"/>
      </w:pPr>
    </w:lvl>
    <w:lvl w:ilvl="3" w:tplc="0413000F">
      <w:start w:val="1"/>
      <w:numFmt w:val="decimal"/>
      <w:lvlText w:val="%4."/>
      <w:lvlJc w:val="left"/>
      <w:pPr>
        <w:tabs>
          <w:tab w:val="num" w:pos="3228"/>
        </w:tabs>
        <w:ind w:left="3228" w:hanging="360"/>
      </w:pPr>
    </w:lvl>
    <w:lvl w:ilvl="4" w:tplc="04130019">
      <w:start w:val="1"/>
      <w:numFmt w:val="decimal"/>
      <w:lvlText w:val="%5."/>
      <w:lvlJc w:val="left"/>
      <w:pPr>
        <w:tabs>
          <w:tab w:val="num" w:pos="3948"/>
        </w:tabs>
        <w:ind w:left="3948" w:hanging="360"/>
      </w:pPr>
    </w:lvl>
    <w:lvl w:ilvl="5" w:tplc="0413001B">
      <w:start w:val="1"/>
      <w:numFmt w:val="decimal"/>
      <w:lvlText w:val="%6."/>
      <w:lvlJc w:val="left"/>
      <w:pPr>
        <w:tabs>
          <w:tab w:val="num" w:pos="4668"/>
        </w:tabs>
        <w:ind w:left="4668" w:hanging="360"/>
      </w:pPr>
    </w:lvl>
    <w:lvl w:ilvl="6" w:tplc="0413000F">
      <w:start w:val="1"/>
      <w:numFmt w:val="decimal"/>
      <w:lvlText w:val="%7."/>
      <w:lvlJc w:val="left"/>
      <w:pPr>
        <w:tabs>
          <w:tab w:val="num" w:pos="5388"/>
        </w:tabs>
        <w:ind w:left="5388" w:hanging="360"/>
      </w:pPr>
    </w:lvl>
    <w:lvl w:ilvl="7" w:tplc="04130019">
      <w:start w:val="1"/>
      <w:numFmt w:val="decimal"/>
      <w:lvlText w:val="%8."/>
      <w:lvlJc w:val="left"/>
      <w:pPr>
        <w:tabs>
          <w:tab w:val="num" w:pos="6108"/>
        </w:tabs>
        <w:ind w:left="6108" w:hanging="360"/>
      </w:pPr>
    </w:lvl>
    <w:lvl w:ilvl="8" w:tplc="0413001B">
      <w:start w:val="1"/>
      <w:numFmt w:val="decimal"/>
      <w:lvlText w:val="%9."/>
      <w:lvlJc w:val="left"/>
      <w:pPr>
        <w:tabs>
          <w:tab w:val="num" w:pos="6828"/>
        </w:tabs>
        <w:ind w:left="6828" w:hanging="360"/>
      </w:pPr>
    </w:lvl>
  </w:abstractNum>
  <w:abstractNum w:abstractNumId="24" w15:restartNumberingAfterBreak="0">
    <w:nsid w:val="5CBE3AA1"/>
    <w:multiLevelType w:val="hybridMultilevel"/>
    <w:tmpl w:val="BF824DC0"/>
    <w:lvl w:ilvl="0" w:tplc="04130001">
      <w:start w:val="1"/>
      <w:numFmt w:val="bullet"/>
      <w:lvlText w:val=""/>
      <w:lvlJc w:val="left"/>
      <w:pPr>
        <w:ind w:left="1065" w:hanging="705"/>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D4C7C6F"/>
    <w:multiLevelType w:val="hybridMultilevel"/>
    <w:tmpl w:val="21DC7D3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60915FC3"/>
    <w:multiLevelType w:val="multilevel"/>
    <w:tmpl w:val="055863C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77A0399"/>
    <w:multiLevelType w:val="multilevel"/>
    <w:tmpl w:val="80D6390A"/>
    <w:lvl w:ilvl="0">
      <w:start w:val="2"/>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8" w15:restartNumberingAfterBreak="0">
    <w:nsid w:val="6DD6086A"/>
    <w:multiLevelType w:val="hybridMultilevel"/>
    <w:tmpl w:val="18F25334"/>
    <w:lvl w:ilvl="0" w:tplc="2A3E14CC">
      <w:start w:val="2"/>
      <w:numFmt w:val="bullet"/>
      <w:lvlText w:val="-"/>
      <w:lvlJc w:val="left"/>
      <w:pPr>
        <w:ind w:left="1065" w:hanging="360"/>
      </w:pPr>
      <w:rPr>
        <w:rFonts w:ascii="Arial" w:eastAsia="Times New Roman" w:hAnsi="Arial" w:cs="Aria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29" w15:restartNumberingAfterBreak="0">
    <w:nsid w:val="708201B3"/>
    <w:multiLevelType w:val="multilevel"/>
    <w:tmpl w:val="9E3047A4"/>
    <w:lvl w:ilvl="0">
      <w:start w:val="2"/>
      <w:numFmt w:val="decimal"/>
      <w:lvlText w:val="%1.0"/>
      <w:lvlJc w:val="left"/>
      <w:pPr>
        <w:ind w:left="720" w:hanging="360"/>
      </w:pPr>
      <w:rPr>
        <w:rFonts w:hint="default"/>
      </w:rPr>
    </w:lvl>
    <w:lvl w:ilvl="1">
      <w:start w:val="1"/>
      <w:numFmt w:val="decimal"/>
      <w:lvlText w:val="%1.%2"/>
      <w:lvlJc w:val="left"/>
      <w:pPr>
        <w:ind w:left="1428" w:hanging="360"/>
      </w:pPr>
      <w:rPr>
        <w:rFonts w:hint="default"/>
      </w:rPr>
    </w:lvl>
    <w:lvl w:ilvl="2">
      <w:start w:val="1"/>
      <w:numFmt w:val="decimal"/>
      <w:lvlText w:val="%1.%2.%3"/>
      <w:lvlJc w:val="left"/>
      <w:pPr>
        <w:ind w:left="2496" w:hanging="720"/>
      </w:pPr>
      <w:rPr>
        <w:rFonts w:hint="default"/>
      </w:rPr>
    </w:lvl>
    <w:lvl w:ilvl="3">
      <w:start w:val="1"/>
      <w:numFmt w:val="decimal"/>
      <w:lvlText w:val="%1.%2.%3.%4"/>
      <w:lvlJc w:val="left"/>
      <w:pPr>
        <w:ind w:left="3204" w:hanging="720"/>
      </w:pPr>
      <w:rPr>
        <w:rFonts w:hint="default"/>
      </w:rPr>
    </w:lvl>
    <w:lvl w:ilvl="4">
      <w:start w:val="1"/>
      <w:numFmt w:val="decimal"/>
      <w:lvlText w:val="%1.%2.%3.%4.%5"/>
      <w:lvlJc w:val="left"/>
      <w:pPr>
        <w:ind w:left="4272"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048" w:hanging="1440"/>
      </w:pPr>
      <w:rPr>
        <w:rFonts w:hint="default"/>
      </w:rPr>
    </w:lvl>
    <w:lvl w:ilvl="7">
      <w:start w:val="1"/>
      <w:numFmt w:val="decimal"/>
      <w:lvlText w:val="%1.%2.%3.%4.%5.%6.%7.%8"/>
      <w:lvlJc w:val="left"/>
      <w:pPr>
        <w:ind w:left="6756" w:hanging="1440"/>
      </w:pPr>
      <w:rPr>
        <w:rFonts w:hint="default"/>
      </w:rPr>
    </w:lvl>
    <w:lvl w:ilvl="8">
      <w:start w:val="1"/>
      <w:numFmt w:val="decimal"/>
      <w:lvlText w:val="%1.%2.%3.%4.%5.%6.%7.%8.%9"/>
      <w:lvlJc w:val="left"/>
      <w:pPr>
        <w:ind w:left="7824" w:hanging="1800"/>
      </w:pPr>
      <w:rPr>
        <w:rFonts w:hint="default"/>
      </w:rPr>
    </w:lvl>
  </w:abstractNum>
  <w:abstractNum w:abstractNumId="30" w15:restartNumberingAfterBreak="0">
    <w:nsid w:val="717E4A89"/>
    <w:multiLevelType w:val="hybridMultilevel"/>
    <w:tmpl w:val="DCF4FA74"/>
    <w:lvl w:ilvl="0" w:tplc="C7EC3614">
      <w:start w:val="1"/>
      <w:numFmt w:val="upperRoman"/>
      <w:lvlText w:val="%1."/>
      <w:lvlJc w:val="left"/>
      <w:pPr>
        <w:ind w:left="360" w:hanging="360"/>
      </w:pPr>
      <w:rPr>
        <w:rFonts w:cs="Times New Roman"/>
        <w:b w:val="0"/>
        <w:bCs w:val="0"/>
        <w:i w:val="0"/>
        <w:iCs w:val="0"/>
        <w:caps w:val="0"/>
        <w:smallCaps w:val="0"/>
        <w:strike w:val="0"/>
        <w:dstrike w:val="0"/>
        <w:noProof w:val="0"/>
        <w:vanish w:val="0"/>
        <w:spacing w:val="0"/>
        <w:kern w:val="0"/>
        <w:position w:val="0"/>
        <w:u w:val="none"/>
        <w:vertAlign w:val="baseline"/>
        <w:em w:val="none"/>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7CDD0ABC"/>
    <w:multiLevelType w:val="hybridMultilevel"/>
    <w:tmpl w:val="B7DAD6FE"/>
    <w:lvl w:ilvl="0" w:tplc="2CA4FA94">
      <w:start w:val="2"/>
      <w:numFmt w:val="bullet"/>
      <w:lvlText w:val="-"/>
      <w:lvlJc w:val="left"/>
      <w:pPr>
        <w:ind w:left="1069" w:hanging="360"/>
      </w:pPr>
      <w:rPr>
        <w:rFonts w:ascii="Arial" w:eastAsia="Times New Roman" w:hAnsi="Arial" w:cs="Aria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32" w15:restartNumberingAfterBreak="0">
    <w:nsid w:val="7D0E607C"/>
    <w:multiLevelType w:val="hybridMultilevel"/>
    <w:tmpl w:val="CAC472B2"/>
    <w:lvl w:ilvl="0" w:tplc="D2AA8370">
      <w:start w:val="1"/>
      <w:numFmt w:val="bullet"/>
      <w:lvlText w:val="-"/>
      <w:lvlJc w:val="left"/>
      <w:pPr>
        <w:ind w:left="1069" w:hanging="360"/>
      </w:pPr>
      <w:rPr>
        <w:rFonts w:ascii="Arial" w:eastAsia="Times New Roman" w:hAnsi="Arial" w:cs="Aria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33" w15:restartNumberingAfterBreak="0">
    <w:nsid w:val="7D22587E"/>
    <w:multiLevelType w:val="hybridMultilevel"/>
    <w:tmpl w:val="543CF976"/>
    <w:lvl w:ilvl="0" w:tplc="CE66ADDE">
      <w:start w:val="14"/>
      <w:numFmt w:val="bullet"/>
      <w:lvlText w:val="-"/>
      <w:lvlJc w:val="left"/>
      <w:pPr>
        <w:ind w:left="360" w:hanging="360"/>
      </w:pPr>
      <w:rPr>
        <w:rFonts w:ascii="Verdana" w:eastAsia="Times New Roman" w:hAnsi="Verdana"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7EA96AB9"/>
    <w:multiLevelType w:val="hybridMultilevel"/>
    <w:tmpl w:val="46CC8460"/>
    <w:lvl w:ilvl="0" w:tplc="0413000F">
      <w:start w:val="1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1"/>
  </w:num>
  <w:num w:numId="5">
    <w:abstractNumId w:val="25"/>
  </w:num>
  <w:num w:numId="6">
    <w:abstractNumId w:val="8"/>
  </w:num>
  <w:num w:numId="7">
    <w:abstractNumId w:val="16"/>
  </w:num>
  <w:num w:numId="8">
    <w:abstractNumId w:val="3"/>
  </w:num>
  <w:num w:numId="9">
    <w:abstractNumId w:val="9"/>
  </w:num>
  <w:num w:numId="10">
    <w:abstractNumId w:val="30"/>
  </w:num>
  <w:num w:numId="11">
    <w:abstractNumId w:val="16"/>
  </w:num>
  <w:num w:numId="12">
    <w:abstractNumId w:val="16"/>
    <w:lvlOverride w:ilvl="0">
      <w:lvl w:ilvl="0">
        <w:start w:val="1"/>
        <w:numFmt w:val="upperRoman"/>
        <w:pStyle w:val="Kop1"/>
        <w:lvlText w:val="%1."/>
        <w:lvlJc w:val="left"/>
        <w:pPr>
          <w:ind w:left="0" w:firstLine="0"/>
        </w:pPr>
        <w:rPr>
          <w:rFonts w:hint="default"/>
        </w:rPr>
      </w:lvl>
    </w:lvlOverride>
    <w:lvlOverride w:ilvl="1">
      <w:lvl w:ilvl="1">
        <w:start w:val="1"/>
        <w:numFmt w:val="decimal"/>
        <w:pStyle w:val="Kop2"/>
        <w:lvlText w:val="%1.%2."/>
        <w:lvlJc w:val="left"/>
        <w:pPr>
          <w:ind w:left="720" w:firstLine="0"/>
        </w:pPr>
        <w:rPr>
          <w:rFonts w:hint="default"/>
        </w:rPr>
      </w:lvl>
    </w:lvlOverride>
    <w:lvlOverride w:ilvl="2">
      <w:lvl w:ilvl="2">
        <w:start w:val="1"/>
        <w:numFmt w:val="decimal"/>
        <w:pStyle w:val="Kop3"/>
        <w:lvlText w:val="%1.%2.%3."/>
        <w:lvlJc w:val="left"/>
        <w:pPr>
          <w:ind w:left="1440" w:firstLine="0"/>
        </w:pPr>
        <w:rPr>
          <w:rFonts w:hint="default"/>
        </w:rPr>
      </w:lvl>
    </w:lvlOverride>
    <w:lvlOverride w:ilvl="3">
      <w:lvl w:ilvl="3">
        <w:start w:val="1"/>
        <w:numFmt w:val="lowerLetter"/>
        <w:pStyle w:val="Kop4"/>
        <w:lvlText w:val="%4)"/>
        <w:lvlJc w:val="left"/>
        <w:pPr>
          <w:ind w:left="2160" w:firstLine="0"/>
        </w:pPr>
        <w:rPr>
          <w:rFonts w:hint="default"/>
        </w:rPr>
      </w:lvl>
    </w:lvlOverride>
    <w:lvlOverride w:ilvl="4">
      <w:lvl w:ilvl="4">
        <w:start w:val="1"/>
        <w:numFmt w:val="decimal"/>
        <w:pStyle w:val="Kop5"/>
        <w:lvlText w:val="(%5)"/>
        <w:lvlJc w:val="left"/>
        <w:pPr>
          <w:ind w:left="2880" w:firstLine="0"/>
        </w:pPr>
        <w:rPr>
          <w:rFonts w:hint="default"/>
        </w:rPr>
      </w:lvl>
    </w:lvlOverride>
    <w:lvlOverride w:ilvl="5">
      <w:lvl w:ilvl="5">
        <w:start w:val="1"/>
        <w:numFmt w:val="lowerLetter"/>
        <w:pStyle w:val="Kop6"/>
        <w:lvlText w:val="(%6)"/>
        <w:lvlJc w:val="left"/>
        <w:pPr>
          <w:ind w:left="3600" w:firstLine="0"/>
        </w:pPr>
        <w:rPr>
          <w:rFonts w:hint="default"/>
        </w:rPr>
      </w:lvl>
    </w:lvlOverride>
    <w:lvlOverride w:ilvl="6">
      <w:lvl w:ilvl="6">
        <w:start w:val="1"/>
        <w:numFmt w:val="lowerRoman"/>
        <w:pStyle w:val="Kop7"/>
        <w:lvlText w:val="(%7)"/>
        <w:lvlJc w:val="left"/>
        <w:pPr>
          <w:ind w:left="4320" w:firstLine="0"/>
        </w:pPr>
        <w:rPr>
          <w:rFonts w:hint="default"/>
        </w:rPr>
      </w:lvl>
    </w:lvlOverride>
    <w:lvlOverride w:ilvl="7">
      <w:lvl w:ilvl="7">
        <w:start w:val="1"/>
        <w:numFmt w:val="lowerLetter"/>
        <w:pStyle w:val="Kop8"/>
        <w:lvlText w:val="(%8)"/>
        <w:lvlJc w:val="left"/>
        <w:pPr>
          <w:ind w:left="5040" w:firstLine="0"/>
        </w:pPr>
        <w:rPr>
          <w:rFonts w:hint="default"/>
        </w:rPr>
      </w:lvl>
    </w:lvlOverride>
    <w:lvlOverride w:ilvl="8">
      <w:lvl w:ilvl="8">
        <w:start w:val="1"/>
        <w:numFmt w:val="lowerRoman"/>
        <w:pStyle w:val="Kop9"/>
        <w:lvlText w:val="(%9)"/>
        <w:lvlJc w:val="left"/>
        <w:pPr>
          <w:ind w:left="5760" w:firstLine="0"/>
        </w:pPr>
        <w:rPr>
          <w:rFonts w:hint="default"/>
        </w:rPr>
      </w:lvl>
    </w:lvlOverride>
  </w:num>
  <w:num w:numId="13">
    <w:abstractNumId w:val="16"/>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13"/>
  </w:num>
  <w:num w:numId="18">
    <w:abstractNumId w:val="24"/>
  </w:num>
  <w:num w:numId="19">
    <w:abstractNumId w:val="16"/>
  </w:num>
  <w:num w:numId="20">
    <w:abstractNumId w:val="34"/>
  </w:num>
  <w:num w:numId="21">
    <w:abstractNumId w:val="22"/>
  </w:num>
  <w:num w:numId="22">
    <w:abstractNumId w:val="7"/>
  </w:num>
  <w:num w:numId="23">
    <w:abstractNumId w:val="21"/>
  </w:num>
  <w:num w:numId="24">
    <w:abstractNumId w:val="14"/>
  </w:num>
  <w:num w:numId="25">
    <w:abstractNumId w:val="26"/>
  </w:num>
  <w:num w:numId="26">
    <w:abstractNumId w:val="29"/>
  </w:num>
  <w:num w:numId="27">
    <w:abstractNumId w:val="27"/>
  </w:num>
  <w:num w:numId="28">
    <w:abstractNumId w:val="2"/>
  </w:num>
  <w:num w:numId="29">
    <w:abstractNumId w:val="5"/>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31"/>
  </w:num>
  <w:num w:numId="33">
    <w:abstractNumId w:val="0"/>
  </w:num>
  <w:num w:numId="34">
    <w:abstractNumId w:val="12"/>
  </w:num>
  <w:num w:numId="35">
    <w:abstractNumId w:val="20"/>
  </w:num>
  <w:num w:numId="36">
    <w:abstractNumId w:val="28"/>
  </w:num>
  <w:num w:numId="37">
    <w:abstractNumId w:val="10"/>
  </w:num>
  <w:num w:numId="38">
    <w:abstractNumId w:val="33"/>
  </w:num>
  <w:num w:numId="39">
    <w:abstractNumId w:val="19"/>
  </w:num>
  <w:num w:numId="40">
    <w:abstractNumId w:val="32"/>
  </w:num>
  <w:num w:numId="41">
    <w:abstractNumId w:val="4"/>
  </w:num>
  <w:num w:numId="4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amper S.">
    <w15:presenceInfo w15:providerId="AD" w15:userId="S-1-5-21-1935655697-1645522239-682003330-140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60C"/>
    <w:rsid w:val="00000AAE"/>
    <w:rsid w:val="00001118"/>
    <w:rsid w:val="00001229"/>
    <w:rsid w:val="0000191F"/>
    <w:rsid w:val="00001FD6"/>
    <w:rsid w:val="000048E8"/>
    <w:rsid w:val="00005536"/>
    <w:rsid w:val="00005D1D"/>
    <w:rsid w:val="00006E5C"/>
    <w:rsid w:val="00007FEE"/>
    <w:rsid w:val="0001102D"/>
    <w:rsid w:val="000110E8"/>
    <w:rsid w:val="00012235"/>
    <w:rsid w:val="0001251B"/>
    <w:rsid w:val="00012546"/>
    <w:rsid w:val="000130F1"/>
    <w:rsid w:val="00013811"/>
    <w:rsid w:val="0001440B"/>
    <w:rsid w:val="000152D9"/>
    <w:rsid w:val="000162B4"/>
    <w:rsid w:val="00016880"/>
    <w:rsid w:val="000220E2"/>
    <w:rsid w:val="0002397E"/>
    <w:rsid w:val="0002421B"/>
    <w:rsid w:val="0002422C"/>
    <w:rsid w:val="00025126"/>
    <w:rsid w:val="000268D9"/>
    <w:rsid w:val="00026DC9"/>
    <w:rsid w:val="0002734E"/>
    <w:rsid w:val="00030A64"/>
    <w:rsid w:val="000336BD"/>
    <w:rsid w:val="00034576"/>
    <w:rsid w:val="00034B7A"/>
    <w:rsid w:val="0003634E"/>
    <w:rsid w:val="0003677C"/>
    <w:rsid w:val="00036A25"/>
    <w:rsid w:val="00037937"/>
    <w:rsid w:val="00037C02"/>
    <w:rsid w:val="00042800"/>
    <w:rsid w:val="000433C1"/>
    <w:rsid w:val="00043654"/>
    <w:rsid w:val="00043B14"/>
    <w:rsid w:val="00043C6D"/>
    <w:rsid w:val="0004567D"/>
    <w:rsid w:val="000463D9"/>
    <w:rsid w:val="00050D7F"/>
    <w:rsid w:val="00052B3C"/>
    <w:rsid w:val="000532C1"/>
    <w:rsid w:val="00053BF2"/>
    <w:rsid w:val="000546B4"/>
    <w:rsid w:val="000601F4"/>
    <w:rsid w:val="0006094E"/>
    <w:rsid w:val="000618F8"/>
    <w:rsid w:val="00062AF3"/>
    <w:rsid w:val="00062D60"/>
    <w:rsid w:val="000646CE"/>
    <w:rsid w:val="0006531F"/>
    <w:rsid w:val="0006586D"/>
    <w:rsid w:val="000678A2"/>
    <w:rsid w:val="00070FA8"/>
    <w:rsid w:val="00071DD2"/>
    <w:rsid w:val="00072B96"/>
    <w:rsid w:val="00073496"/>
    <w:rsid w:val="00073F1F"/>
    <w:rsid w:val="00074997"/>
    <w:rsid w:val="00075163"/>
    <w:rsid w:val="000759AE"/>
    <w:rsid w:val="00076C17"/>
    <w:rsid w:val="00080779"/>
    <w:rsid w:val="000819E4"/>
    <w:rsid w:val="00082074"/>
    <w:rsid w:val="000831B7"/>
    <w:rsid w:val="000900A6"/>
    <w:rsid w:val="00091C6D"/>
    <w:rsid w:val="00092171"/>
    <w:rsid w:val="00092220"/>
    <w:rsid w:val="00092449"/>
    <w:rsid w:val="0009402B"/>
    <w:rsid w:val="00094877"/>
    <w:rsid w:val="0009602B"/>
    <w:rsid w:val="00096A4E"/>
    <w:rsid w:val="000B02F5"/>
    <w:rsid w:val="000B1658"/>
    <w:rsid w:val="000B2ADE"/>
    <w:rsid w:val="000B2E33"/>
    <w:rsid w:val="000B3B63"/>
    <w:rsid w:val="000B51B6"/>
    <w:rsid w:val="000B574F"/>
    <w:rsid w:val="000B5D4A"/>
    <w:rsid w:val="000B76E2"/>
    <w:rsid w:val="000C00E7"/>
    <w:rsid w:val="000C0F2B"/>
    <w:rsid w:val="000C132C"/>
    <w:rsid w:val="000C181C"/>
    <w:rsid w:val="000C1990"/>
    <w:rsid w:val="000C3C01"/>
    <w:rsid w:val="000C4D87"/>
    <w:rsid w:val="000C6CE2"/>
    <w:rsid w:val="000D1FE0"/>
    <w:rsid w:val="000D486E"/>
    <w:rsid w:val="000D553F"/>
    <w:rsid w:val="000D5D9D"/>
    <w:rsid w:val="000D5EE5"/>
    <w:rsid w:val="000D70E7"/>
    <w:rsid w:val="000E0432"/>
    <w:rsid w:val="000E3531"/>
    <w:rsid w:val="000E3957"/>
    <w:rsid w:val="000E47A3"/>
    <w:rsid w:val="000E4DA9"/>
    <w:rsid w:val="000E5370"/>
    <w:rsid w:val="000F0014"/>
    <w:rsid w:val="000F14B5"/>
    <w:rsid w:val="000F3286"/>
    <w:rsid w:val="000F42BA"/>
    <w:rsid w:val="000F437D"/>
    <w:rsid w:val="000F5040"/>
    <w:rsid w:val="000F79B3"/>
    <w:rsid w:val="000F7F20"/>
    <w:rsid w:val="00103183"/>
    <w:rsid w:val="001042F2"/>
    <w:rsid w:val="00104481"/>
    <w:rsid w:val="00104CEA"/>
    <w:rsid w:val="00107C12"/>
    <w:rsid w:val="001113DD"/>
    <w:rsid w:val="00111B13"/>
    <w:rsid w:val="0011250E"/>
    <w:rsid w:val="0011413C"/>
    <w:rsid w:val="00114B43"/>
    <w:rsid w:val="00115166"/>
    <w:rsid w:val="00115BB0"/>
    <w:rsid w:val="00117E52"/>
    <w:rsid w:val="001200D4"/>
    <w:rsid w:val="001230CF"/>
    <w:rsid w:val="00124BB9"/>
    <w:rsid w:val="00125176"/>
    <w:rsid w:val="001269C7"/>
    <w:rsid w:val="0012719A"/>
    <w:rsid w:val="00127576"/>
    <w:rsid w:val="00127741"/>
    <w:rsid w:val="00131158"/>
    <w:rsid w:val="00133F16"/>
    <w:rsid w:val="001349E4"/>
    <w:rsid w:val="00134AD8"/>
    <w:rsid w:val="00135CD3"/>
    <w:rsid w:val="0013779A"/>
    <w:rsid w:val="00137890"/>
    <w:rsid w:val="00141DD2"/>
    <w:rsid w:val="0014369A"/>
    <w:rsid w:val="00143BAD"/>
    <w:rsid w:val="0014408E"/>
    <w:rsid w:val="00144B9C"/>
    <w:rsid w:val="001459E9"/>
    <w:rsid w:val="001460E2"/>
    <w:rsid w:val="00146631"/>
    <w:rsid w:val="001468A2"/>
    <w:rsid w:val="001520B2"/>
    <w:rsid w:val="001524EE"/>
    <w:rsid w:val="00152EA3"/>
    <w:rsid w:val="00153A7E"/>
    <w:rsid w:val="00153BCA"/>
    <w:rsid w:val="00154477"/>
    <w:rsid w:val="0015618A"/>
    <w:rsid w:val="0015702B"/>
    <w:rsid w:val="00160208"/>
    <w:rsid w:val="00164D36"/>
    <w:rsid w:val="00165681"/>
    <w:rsid w:val="001665D6"/>
    <w:rsid w:val="0017164E"/>
    <w:rsid w:val="00172834"/>
    <w:rsid w:val="00173B66"/>
    <w:rsid w:val="00173F7D"/>
    <w:rsid w:val="00174743"/>
    <w:rsid w:val="001759C0"/>
    <w:rsid w:val="0017690D"/>
    <w:rsid w:val="00177B28"/>
    <w:rsid w:val="00180457"/>
    <w:rsid w:val="00182D3C"/>
    <w:rsid w:val="0018301C"/>
    <w:rsid w:val="001859F6"/>
    <w:rsid w:val="00185B87"/>
    <w:rsid w:val="00186ABE"/>
    <w:rsid w:val="00186DC4"/>
    <w:rsid w:val="00186E44"/>
    <w:rsid w:val="00190051"/>
    <w:rsid w:val="00191131"/>
    <w:rsid w:val="001931B6"/>
    <w:rsid w:val="001936B1"/>
    <w:rsid w:val="00193F92"/>
    <w:rsid w:val="0019421E"/>
    <w:rsid w:val="00194549"/>
    <w:rsid w:val="001946A8"/>
    <w:rsid w:val="001959BC"/>
    <w:rsid w:val="00196947"/>
    <w:rsid w:val="001A05EC"/>
    <w:rsid w:val="001A0A85"/>
    <w:rsid w:val="001A4CDF"/>
    <w:rsid w:val="001A5002"/>
    <w:rsid w:val="001A5383"/>
    <w:rsid w:val="001B2D08"/>
    <w:rsid w:val="001B3122"/>
    <w:rsid w:val="001B46DE"/>
    <w:rsid w:val="001B4DD4"/>
    <w:rsid w:val="001B60BF"/>
    <w:rsid w:val="001B70AA"/>
    <w:rsid w:val="001B7394"/>
    <w:rsid w:val="001C0809"/>
    <w:rsid w:val="001C2F1E"/>
    <w:rsid w:val="001C2FE8"/>
    <w:rsid w:val="001C47EC"/>
    <w:rsid w:val="001C5B0C"/>
    <w:rsid w:val="001C6327"/>
    <w:rsid w:val="001C7DDD"/>
    <w:rsid w:val="001D1A69"/>
    <w:rsid w:val="001D1AAA"/>
    <w:rsid w:val="001D30FF"/>
    <w:rsid w:val="001D3410"/>
    <w:rsid w:val="001D4832"/>
    <w:rsid w:val="001D49A4"/>
    <w:rsid w:val="001D4C40"/>
    <w:rsid w:val="001D5F33"/>
    <w:rsid w:val="001D67D3"/>
    <w:rsid w:val="001D7283"/>
    <w:rsid w:val="001E0872"/>
    <w:rsid w:val="001E38B0"/>
    <w:rsid w:val="001E3D67"/>
    <w:rsid w:val="001E41DF"/>
    <w:rsid w:val="001E54ED"/>
    <w:rsid w:val="001F0E69"/>
    <w:rsid w:val="001F1493"/>
    <w:rsid w:val="001F1D4E"/>
    <w:rsid w:val="001F5199"/>
    <w:rsid w:val="001F528D"/>
    <w:rsid w:val="001F593D"/>
    <w:rsid w:val="001F5944"/>
    <w:rsid w:val="001F70F1"/>
    <w:rsid w:val="001F715A"/>
    <w:rsid w:val="001F737F"/>
    <w:rsid w:val="001F7ABE"/>
    <w:rsid w:val="00200A4B"/>
    <w:rsid w:val="002020AE"/>
    <w:rsid w:val="002037C3"/>
    <w:rsid w:val="002049B3"/>
    <w:rsid w:val="00204F4A"/>
    <w:rsid w:val="00204FEC"/>
    <w:rsid w:val="002055B4"/>
    <w:rsid w:val="00206A3B"/>
    <w:rsid w:val="00206DF2"/>
    <w:rsid w:val="00206F43"/>
    <w:rsid w:val="00207B1E"/>
    <w:rsid w:val="00210DE2"/>
    <w:rsid w:val="00213DC4"/>
    <w:rsid w:val="0021427F"/>
    <w:rsid w:val="0021450B"/>
    <w:rsid w:val="00214E90"/>
    <w:rsid w:val="002166C1"/>
    <w:rsid w:val="00216FBA"/>
    <w:rsid w:val="002205F5"/>
    <w:rsid w:val="00220C2C"/>
    <w:rsid w:val="00221EDC"/>
    <w:rsid w:val="002229E7"/>
    <w:rsid w:val="00222BD6"/>
    <w:rsid w:val="0022345A"/>
    <w:rsid w:val="00223D0B"/>
    <w:rsid w:val="002258E0"/>
    <w:rsid w:val="002268F9"/>
    <w:rsid w:val="00226C3B"/>
    <w:rsid w:val="00227EA5"/>
    <w:rsid w:val="00230D93"/>
    <w:rsid w:val="00230ED2"/>
    <w:rsid w:val="002331D3"/>
    <w:rsid w:val="00233230"/>
    <w:rsid w:val="002336D1"/>
    <w:rsid w:val="00237644"/>
    <w:rsid w:val="00240300"/>
    <w:rsid w:val="00240586"/>
    <w:rsid w:val="002422C7"/>
    <w:rsid w:val="002440FD"/>
    <w:rsid w:val="002442F4"/>
    <w:rsid w:val="00244325"/>
    <w:rsid w:val="00245654"/>
    <w:rsid w:val="00245764"/>
    <w:rsid w:val="00245C2C"/>
    <w:rsid w:val="00246290"/>
    <w:rsid w:val="00246626"/>
    <w:rsid w:val="00247EE0"/>
    <w:rsid w:val="002502BB"/>
    <w:rsid w:val="00251F01"/>
    <w:rsid w:val="00252207"/>
    <w:rsid w:val="002530E7"/>
    <w:rsid w:val="0025376E"/>
    <w:rsid w:val="00256E77"/>
    <w:rsid w:val="00257EC4"/>
    <w:rsid w:val="00261F51"/>
    <w:rsid w:val="00262822"/>
    <w:rsid w:val="0026291B"/>
    <w:rsid w:val="00263093"/>
    <w:rsid w:val="00263B25"/>
    <w:rsid w:val="00264139"/>
    <w:rsid w:val="002642D5"/>
    <w:rsid w:val="00264312"/>
    <w:rsid w:val="0026636C"/>
    <w:rsid w:val="0026798E"/>
    <w:rsid w:val="00267D3A"/>
    <w:rsid w:val="002709A3"/>
    <w:rsid w:val="00270F3C"/>
    <w:rsid w:val="002726AE"/>
    <w:rsid w:val="00273C6D"/>
    <w:rsid w:val="00273D09"/>
    <w:rsid w:val="00274587"/>
    <w:rsid w:val="00274D45"/>
    <w:rsid w:val="00277243"/>
    <w:rsid w:val="00281BA6"/>
    <w:rsid w:val="002823EC"/>
    <w:rsid w:val="00284D38"/>
    <w:rsid w:val="00284D91"/>
    <w:rsid w:val="00285DD2"/>
    <w:rsid w:val="0028740C"/>
    <w:rsid w:val="00290260"/>
    <w:rsid w:val="00290D79"/>
    <w:rsid w:val="00291088"/>
    <w:rsid w:val="00293ACA"/>
    <w:rsid w:val="00294960"/>
    <w:rsid w:val="00294BEF"/>
    <w:rsid w:val="0029507E"/>
    <w:rsid w:val="0029726F"/>
    <w:rsid w:val="00297842"/>
    <w:rsid w:val="002A07C8"/>
    <w:rsid w:val="002A1B40"/>
    <w:rsid w:val="002A1E3B"/>
    <w:rsid w:val="002A2E29"/>
    <w:rsid w:val="002A2E36"/>
    <w:rsid w:val="002A4776"/>
    <w:rsid w:val="002A517B"/>
    <w:rsid w:val="002A7BD9"/>
    <w:rsid w:val="002B0729"/>
    <w:rsid w:val="002B44CB"/>
    <w:rsid w:val="002B625B"/>
    <w:rsid w:val="002B64DA"/>
    <w:rsid w:val="002B7B33"/>
    <w:rsid w:val="002B7BFB"/>
    <w:rsid w:val="002C0224"/>
    <w:rsid w:val="002C177F"/>
    <w:rsid w:val="002C178B"/>
    <w:rsid w:val="002C387B"/>
    <w:rsid w:val="002C3AD3"/>
    <w:rsid w:val="002C3B21"/>
    <w:rsid w:val="002C4178"/>
    <w:rsid w:val="002C4A17"/>
    <w:rsid w:val="002C7D81"/>
    <w:rsid w:val="002D159A"/>
    <w:rsid w:val="002D160C"/>
    <w:rsid w:val="002D291F"/>
    <w:rsid w:val="002D2A48"/>
    <w:rsid w:val="002D333E"/>
    <w:rsid w:val="002D5588"/>
    <w:rsid w:val="002D5B03"/>
    <w:rsid w:val="002D6E4A"/>
    <w:rsid w:val="002D7043"/>
    <w:rsid w:val="002D7178"/>
    <w:rsid w:val="002D7AD8"/>
    <w:rsid w:val="002E0321"/>
    <w:rsid w:val="002E3E36"/>
    <w:rsid w:val="002E4253"/>
    <w:rsid w:val="002E4CA7"/>
    <w:rsid w:val="002E779B"/>
    <w:rsid w:val="002F1808"/>
    <w:rsid w:val="002F1B13"/>
    <w:rsid w:val="002F1C9B"/>
    <w:rsid w:val="002F2835"/>
    <w:rsid w:val="002F3083"/>
    <w:rsid w:val="002F33CE"/>
    <w:rsid w:val="002F353F"/>
    <w:rsid w:val="002F44C6"/>
    <w:rsid w:val="002F468A"/>
    <w:rsid w:val="002F481B"/>
    <w:rsid w:val="002F4A27"/>
    <w:rsid w:val="002F79D9"/>
    <w:rsid w:val="002F7BA4"/>
    <w:rsid w:val="002F7BE9"/>
    <w:rsid w:val="003000AD"/>
    <w:rsid w:val="00300344"/>
    <w:rsid w:val="003009AB"/>
    <w:rsid w:val="00301204"/>
    <w:rsid w:val="003016DA"/>
    <w:rsid w:val="00302498"/>
    <w:rsid w:val="00302AA0"/>
    <w:rsid w:val="0030407D"/>
    <w:rsid w:val="003046AD"/>
    <w:rsid w:val="003078A3"/>
    <w:rsid w:val="003103E7"/>
    <w:rsid w:val="00311F10"/>
    <w:rsid w:val="00314BA6"/>
    <w:rsid w:val="00314EC5"/>
    <w:rsid w:val="00317FC7"/>
    <w:rsid w:val="003201A8"/>
    <w:rsid w:val="00321F61"/>
    <w:rsid w:val="00322267"/>
    <w:rsid w:val="00322612"/>
    <w:rsid w:val="00323312"/>
    <w:rsid w:val="00325094"/>
    <w:rsid w:val="00326BAB"/>
    <w:rsid w:val="00326C7C"/>
    <w:rsid w:val="003276E8"/>
    <w:rsid w:val="00327BBE"/>
    <w:rsid w:val="0033049F"/>
    <w:rsid w:val="003317A7"/>
    <w:rsid w:val="00331936"/>
    <w:rsid w:val="00332550"/>
    <w:rsid w:val="0033280C"/>
    <w:rsid w:val="00332A14"/>
    <w:rsid w:val="00333607"/>
    <w:rsid w:val="00334E09"/>
    <w:rsid w:val="00335A82"/>
    <w:rsid w:val="00335F2F"/>
    <w:rsid w:val="0033646B"/>
    <w:rsid w:val="00336A37"/>
    <w:rsid w:val="00336EE8"/>
    <w:rsid w:val="00337338"/>
    <w:rsid w:val="00340765"/>
    <w:rsid w:val="00340BF3"/>
    <w:rsid w:val="003421A1"/>
    <w:rsid w:val="00343C5E"/>
    <w:rsid w:val="0034419F"/>
    <w:rsid w:val="00345275"/>
    <w:rsid w:val="00347536"/>
    <w:rsid w:val="003478BD"/>
    <w:rsid w:val="00351CF7"/>
    <w:rsid w:val="00352609"/>
    <w:rsid w:val="00352A96"/>
    <w:rsid w:val="003567B4"/>
    <w:rsid w:val="00356C94"/>
    <w:rsid w:val="00357099"/>
    <w:rsid w:val="00360AE4"/>
    <w:rsid w:val="00362223"/>
    <w:rsid w:val="003657E3"/>
    <w:rsid w:val="00365D44"/>
    <w:rsid w:val="00367018"/>
    <w:rsid w:val="00367D5B"/>
    <w:rsid w:val="0037088D"/>
    <w:rsid w:val="00370F8C"/>
    <w:rsid w:val="00372898"/>
    <w:rsid w:val="00376B02"/>
    <w:rsid w:val="0037768F"/>
    <w:rsid w:val="0038015E"/>
    <w:rsid w:val="00380642"/>
    <w:rsid w:val="00380CB9"/>
    <w:rsid w:val="00381460"/>
    <w:rsid w:val="003823A1"/>
    <w:rsid w:val="003823AC"/>
    <w:rsid w:val="00382456"/>
    <w:rsid w:val="00382F88"/>
    <w:rsid w:val="003830FE"/>
    <w:rsid w:val="00385745"/>
    <w:rsid w:val="0038629B"/>
    <w:rsid w:val="00386753"/>
    <w:rsid w:val="0039096E"/>
    <w:rsid w:val="00390EE6"/>
    <w:rsid w:val="003925F8"/>
    <w:rsid w:val="003928BF"/>
    <w:rsid w:val="00393BD8"/>
    <w:rsid w:val="003954A4"/>
    <w:rsid w:val="00395A74"/>
    <w:rsid w:val="003970D4"/>
    <w:rsid w:val="00397C25"/>
    <w:rsid w:val="003A1C10"/>
    <w:rsid w:val="003A3ACC"/>
    <w:rsid w:val="003A3D00"/>
    <w:rsid w:val="003A4275"/>
    <w:rsid w:val="003A52AF"/>
    <w:rsid w:val="003A547D"/>
    <w:rsid w:val="003A5956"/>
    <w:rsid w:val="003A60FA"/>
    <w:rsid w:val="003A641E"/>
    <w:rsid w:val="003A64F3"/>
    <w:rsid w:val="003A729E"/>
    <w:rsid w:val="003A7324"/>
    <w:rsid w:val="003A7F65"/>
    <w:rsid w:val="003B2980"/>
    <w:rsid w:val="003B555E"/>
    <w:rsid w:val="003B5DB5"/>
    <w:rsid w:val="003B62C2"/>
    <w:rsid w:val="003B6983"/>
    <w:rsid w:val="003B6A47"/>
    <w:rsid w:val="003C24F3"/>
    <w:rsid w:val="003C2FD9"/>
    <w:rsid w:val="003C5445"/>
    <w:rsid w:val="003D1EBD"/>
    <w:rsid w:val="003D3581"/>
    <w:rsid w:val="003D35CA"/>
    <w:rsid w:val="003D40A7"/>
    <w:rsid w:val="003D4EF2"/>
    <w:rsid w:val="003D6279"/>
    <w:rsid w:val="003D723D"/>
    <w:rsid w:val="003D790F"/>
    <w:rsid w:val="003E02A2"/>
    <w:rsid w:val="003E1069"/>
    <w:rsid w:val="003E13F9"/>
    <w:rsid w:val="003E183F"/>
    <w:rsid w:val="003E4488"/>
    <w:rsid w:val="003E4553"/>
    <w:rsid w:val="003E6EEB"/>
    <w:rsid w:val="003F183B"/>
    <w:rsid w:val="003F18C7"/>
    <w:rsid w:val="003F1EAD"/>
    <w:rsid w:val="003F26E2"/>
    <w:rsid w:val="003F34ED"/>
    <w:rsid w:val="003F3BA6"/>
    <w:rsid w:val="003F4F94"/>
    <w:rsid w:val="003F557E"/>
    <w:rsid w:val="003F6ECD"/>
    <w:rsid w:val="003F7CD6"/>
    <w:rsid w:val="004001F5"/>
    <w:rsid w:val="004025C0"/>
    <w:rsid w:val="00403165"/>
    <w:rsid w:val="00403F7B"/>
    <w:rsid w:val="0040400D"/>
    <w:rsid w:val="00404093"/>
    <w:rsid w:val="00405A7C"/>
    <w:rsid w:val="00405ECD"/>
    <w:rsid w:val="00406BAE"/>
    <w:rsid w:val="00407037"/>
    <w:rsid w:val="00407F98"/>
    <w:rsid w:val="00410F17"/>
    <w:rsid w:val="0041113A"/>
    <w:rsid w:val="004120D8"/>
    <w:rsid w:val="00413436"/>
    <w:rsid w:val="0041583B"/>
    <w:rsid w:val="00416097"/>
    <w:rsid w:val="00416E80"/>
    <w:rsid w:val="00421B3B"/>
    <w:rsid w:val="004220E2"/>
    <w:rsid w:val="004322E1"/>
    <w:rsid w:val="00432712"/>
    <w:rsid w:val="00432D5E"/>
    <w:rsid w:val="00433A53"/>
    <w:rsid w:val="00436919"/>
    <w:rsid w:val="00441099"/>
    <w:rsid w:val="00442A66"/>
    <w:rsid w:val="00443430"/>
    <w:rsid w:val="004439E7"/>
    <w:rsid w:val="0044675E"/>
    <w:rsid w:val="00446BB6"/>
    <w:rsid w:val="0045029B"/>
    <w:rsid w:val="004507E0"/>
    <w:rsid w:val="00451D64"/>
    <w:rsid w:val="00451FC3"/>
    <w:rsid w:val="004528ED"/>
    <w:rsid w:val="00455057"/>
    <w:rsid w:val="00456079"/>
    <w:rsid w:val="004560C1"/>
    <w:rsid w:val="00456F49"/>
    <w:rsid w:val="004577F9"/>
    <w:rsid w:val="00457948"/>
    <w:rsid w:val="004602CF"/>
    <w:rsid w:val="00461944"/>
    <w:rsid w:val="00461F3E"/>
    <w:rsid w:val="00463215"/>
    <w:rsid w:val="00463AE1"/>
    <w:rsid w:val="00464C48"/>
    <w:rsid w:val="004657D6"/>
    <w:rsid w:val="00465BD0"/>
    <w:rsid w:val="004679E5"/>
    <w:rsid w:val="00467B9E"/>
    <w:rsid w:val="0047144B"/>
    <w:rsid w:val="00471654"/>
    <w:rsid w:val="00472710"/>
    <w:rsid w:val="00473FEF"/>
    <w:rsid w:val="00474261"/>
    <w:rsid w:val="004751EA"/>
    <w:rsid w:val="004761C6"/>
    <w:rsid w:val="00476E75"/>
    <w:rsid w:val="00476F9F"/>
    <w:rsid w:val="00477ACD"/>
    <w:rsid w:val="00482344"/>
    <w:rsid w:val="004827B9"/>
    <w:rsid w:val="00482D9C"/>
    <w:rsid w:val="004831C4"/>
    <w:rsid w:val="00484164"/>
    <w:rsid w:val="004843E0"/>
    <w:rsid w:val="00484A8F"/>
    <w:rsid w:val="00484C81"/>
    <w:rsid w:val="00485F72"/>
    <w:rsid w:val="00487C55"/>
    <w:rsid w:val="00490FAB"/>
    <w:rsid w:val="00491278"/>
    <w:rsid w:val="00491CCB"/>
    <w:rsid w:val="00492F1E"/>
    <w:rsid w:val="004A139C"/>
    <w:rsid w:val="004A230F"/>
    <w:rsid w:val="004A2FF8"/>
    <w:rsid w:val="004A33E8"/>
    <w:rsid w:val="004A3E3E"/>
    <w:rsid w:val="004A6017"/>
    <w:rsid w:val="004A6679"/>
    <w:rsid w:val="004A7DA2"/>
    <w:rsid w:val="004B289C"/>
    <w:rsid w:val="004B2CF3"/>
    <w:rsid w:val="004B3EA8"/>
    <w:rsid w:val="004B40C9"/>
    <w:rsid w:val="004B57D7"/>
    <w:rsid w:val="004B7F53"/>
    <w:rsid w:val="004C06B3"/>
    <w:rsid w:val="004C07FA"/>
    <w:rsid w:val="004C4AD5"/>
    <w:rsid w:val="004C5166"/>
    <w:rsid w:val="004C5BA3"/>
    <w:rsid w:val="004C76B1"/>
    <w:rsid w:val="004D0CF4"/>
    <w:rsid w:val="004D163D"/>
    <w:rsid w:val="004D240F"/>
    <w:rsid w:val="004D33D8"/>
    <w:rsid w:val="004D4F0D"/>
    <w:rsid w:val="004D548D"/>
    <w:rsid w:val="004D6855"/>
    <w:rsid w:val="004D6CC6"/>
    <w:rsid w:val="004D7790"/>
    <w:rsid w:val="004E16B5"/>
    <w:rsid w:val="004E1D7F"/>
    <w:rsid w:val="004E2B58"/>
    <w:rsid w:val="004E3903"/>
    <w:rsid w:val="004E58EB"/>
    <w:rsid w:val="004E633E"/>
    <w:rsid w:val="004E734F"/>
    <w:rsid w:val="004E77E4"/>
    <w:rsid w:val="004F2D46"/>
    <w:rsid w:val="004F312B"/>
    <w:rsid w:val="004F360F"/>
    <w:rsid w:val="004F5AEB"/>
    <w:rsid w:val="004F5D92"/>
    <w:rsid w:val="004F71CF"/>
    <w:rsid w:val="00500251"/>
    <w:rsid w:val="0050025C"/>
    <w:rsid w:val="00500389"/>
    <w:rsid w:val="00502FBD"/>
    <w:rsid w:val="0050395E"/>
    <w:rsid w:val="0050620D"/>
    <w:rsid w:val="005067B7"/>
    <w:rsid w:val="00511830"/>
    <w:rsid w:val="0051196A"/>
    <w:rsid w:val="00511E29"/>
    <w:rsid w:val="00511EC5"/>
    <w:rsid w:val="00511FAA"/>
    <w:rsid w:val="00513513"/>
    <w:rsid w:val="00513A92"/>
    <w:rsid w:val="00513B0F"/>
    <w:rsid w:val="00514C3A"/>
    <w:rsid w:val="00516692"/>
    <w:rsid w:val="00516C6A"/>
    <w:rsid w:val="00517E94"/>
    <w:rsid w:val="00517EB3"/>
    <w:rsid w:val="00523B40"/>
    <w:rsid w:val="00524348"/>
    <w:rsid w:val="0052441D"/>
    <w:rsid w:val="005249C7"/>
    <w:rsid w:val="005249DD"/>
    <w:rsid w:val="005305A5"/>
    <w:rsid w:val="00531DCD"/>
    <w:rsid w:val="005323C7"/>
    <w:rsid w:val="0053260E"/>
    <w:rsid w:val="0053298D"/>
    <w:rsid w:val="00532E51"/>
    <w:rsid w:val="0053369E"/>
    <w:rsid w:val="00533DFA"/>
    <w:rsid w:val="00535461"/>
    <w:rsid w:val="00535746"/>
    <w:rsid w:val="00535C23"/>
    <w:rsid w:val="00536D72"/>
    <w:rsid w:val="00542C8F"/>
    <w:rsid w:val="00543E8B"/>
    <w:rsid w:val="00546B57"/>
    <w:rsid w:val="005506F2"/>
    <w:rsid w:val="00550965"/>
    <w:rsid w:val="0055099F"/>
    <w:rsid w:val="00550CD8"/>
    <w:rsid w:val="00556707"/>
    <w:rsid w:val="00556990"/>
    <w:rsid w:val="00556DA2"/>
    <w:rsid w:val="00556EAE"/>
    <w:rsid w:val="005576CA"/>
    <w:rsid w:val="00557BB4"/>
    <w:rsid w:val="0056081D"/>
    <w:rsid w:val="00560FC1"/>
    <w:rsid w:val="00562165"/>
    <w:rsid w:val="00562691"/>
    <w:rsid w:val="00562B71"/>
    <w:rsid w:val="00562BC2"/>
    <w:rsid w:val="00562E02"/>
    <w:rsid w:val="005637E3"/>
    <w:rsid w:val="00563A3E"/>
    <w:rsid w:val="00563CA5"/>
    <w:rsid w:val="00563FCA"/>
    <w:rsid w:val="00564819"/>
    <w:rsid w:val="00567385"/>
    <w:rsid w:val="005720D8"/>
    <w:rsid w:val="005727F6"/>
    <w:rsid w:val="00574A6B"/>
    <w:rsid w:val="00574C48"/>
    <w:rsid w:val="005767C5"/>
    <w:rsid w:val="005774AA"/>
    <w:rsid w:val="0057761B"/>
    <w:rsid w:val="005809C7"/>
    <w:rsid w:val="00581B79"/>
    <w:rsid w:val="00581EB4"/>
    <w:rsid w:val="00582784"/>
    <w:rsid w:val="00583AFD"/>
    <w:rsid w:val="00583E00"/>
    <w:rsid w:val="0058424C"/>
    <w:rsid w:val="0058546E"/>
    <w:rsid w:val="005902EC"/>
    <w:rsid w:val="00592591"/>
    <w:rsid w:val="00592D39"/>
    <w:rsid w:val="005931C0"/>
    <w:rsid w:val="005945BA"/>
    <w:rsid w:val="005978F6"/>
    <w:rsid w:val="005A0390"/>
    <w:rsid w:val="005A1083"/>
    <w:rsid w:val="005A12C5"/>
    <w:rsid w:val="005A1DEE"/>
    <w:rsid w:val="005A676F"/>
    <w:rsid w:val="005A6D33"/>
    <w:rsid w:val="005A6E47"/>
    <w:rsid w:val="005A6E6D"/>
    <w:rsid w:val="005A7348"/>
    <w:rsid w:val="005A76D4"/>
    <w:rsid w:val="005B0835"/>
    <w:rsid w:val="005B167D"/>
    <w:rsid w:val="005B6702"/>
    <w:rsid w:val="005B6B3B"/>
    <w:rsid w:val="005B70A0"/>
    <w:rsid w:val="005B73AA"/>
    <w:rsid w:val="005B75C4"/>
    <w:rsid w:val="005B7992"/>
    <w:rsid w:val="005C0182"/>
    <w:rsid w:val="005C0EEB"/>
    <w:rsid w:val="005C17AA"/>
    <w:rsid w:val="005C1870"/>
    <w:rsid w:val="005C294B"/>
    <w:rsid w:val="005C2C44"/>
    <w:rsid w:val="005C3463"/>
    <w:rsid w:val="005C3E12"/>
    <w:rsid w:val="005C5FF6"/>
    <w:rsid w:val="005C6E08"/>
    <w:rsid w:val="005C6F36"/>
    <w:rsid w:val="005D1D58"/>
    <w:rsid w:val="005D3CA5"/>
    <w:rsid w:val="005D6123"/>
    <w:rsid w:val="005D641B"/>
    <w:rsid w:val="005D74AF"/>
    <w:rsid w:val="005D7624"/>
    <w:rsid w:val="005E2214"/>
    <w:rsid w:val="005E2511"/>
    <w:rsid w:val="005E30FD"/>
    <w:rsid w:val="005E39C5"/>
    <w:rsid w:val="005E41D0"/>
    <w:rsid w:val="005E46DD"/>
    <w:rsid w:val="005E6221"/>
    <w:rsid w:val="005E6FA4"/>
    <w:rsid w:val="005E7008"/>
    <w:rsid w:val="005E7E26"/>
    <w:rsid w:val="005F3C2A"/>
    <w:rsid w:val="005F4170"/>
    <w:rsid w:val="005F46A2"/>
    <w:rsid w:val="005F4F9D"/>
    <w:rsid w:val="005F663A"/>
    <w:rsid w:val="0060061D"/>
    <w:rsid w:val="00601952"/>
    <w:rsid w:val="0060267E"/>
    <w:rsid w:val="0060329A"/>
    <w:rsid w:val="00606D22"/>
    <w:rsid w:val="00607B9E"/>
    <w:rsid w:val="00607C30"/>
    <w:rsid w:val="00607FC8"/>
    <w:rsid w:val="00610086"/>
    <w:rsid w:val="0061077B"/>
    <w:rsid w:val="006117B8"/>
    <w:rsid w:val="00611A8F"/>
    <w:rsid w:val="006124E4"/>
    <w:rsid w:val="00613493"/>
    <w:rsid w:val="006146CE"/>
    <w:rsid w:val="006161AF"/>
    <w:rsid w:val="006165D9"/>
    <w:rsid w:val="00617F43"/>
    <w:rsid w:val="006214AD"/>
    <w:rsid w:val="00621F33"/>
    <w:rsid w:val="0062395E"/>
    <w:rsid w:val="00623B1F"/>
    <w:rsid w:val="00623D69"/>
    <w:rsid w:val="00625B44"/>
    <w:rsid w:val="00625EC4"/>
    <w:rsid w:val="00627282"/>
    <w:rsid w:val="00630157"/>
    <w:rsid w:val="00630585"/>
    <w:rsid w:val="00631478"/>
    <w:rsid w:val="00632C1F"/>
    <w:rsid w:val="00632F6E"/>
    <w:rsid w:val="006336B1"/>
    <w:rsid w:val="00633C8F"/>
    <w:rsid w:val="006353A6"/>
    <w:rsid w:val="006357A4"/>
    <w:rsid w:val="006410A0"/>
    <w:rsid w:val="006415F8"/>
    <w:rsid w:val="00641FC3"/>
    <w:rsid w:val="00642012"/>
    <w:rsid w:val="006427D9"/>
    <w:rsid w:val="00643AEB"/>
    <w:rsid w:val="00644AAE"/>
    <w:rsid w:val="0064755F"/>
    <w:rsid w:val="00647D30"/>
    <w:rsid w:val="006515E9"/>
    <w:rsid w:val="00651E80"/>
    <w:rsid w:val="006525B7"/>
    <w:rsid w:val="00652CAB"/>
    <w:rsid w:val="00652F55"/>
    <w:rsid w:val="00653676"/>
    <w:rsid w:val="0065546D"/>
    <w:rsid w:val="006563D6"/>
    <w:rsid w:val="00656649"/>
    <w:rsid w:val="006569E3"/>
    <w:rsid w:val="006607AD"/>
    <w:rsid w:val="006608D7"/>
    <w:rsid w:val="006608F2"/>
    <w:rsid w:val="00660A85"/>
    <w:rsid w:val="00660C3D"/>
    <w:rsid w:val="0066320E"/>
    <w:rsid w:val="0066321F"/>
    <w:rsid w:val="00664303"/>
    <w:rsid w:val="00665975"/>
    <w:rsid w:val="00665B42"/>
    <w:rsid w:val="00667EA7"/>
    <w:rsid w:val="00671FF3"/>
    <w:rsid w:val="0067227D"/>
    <w:rsid w:val="00672B9A"/>
    <w:rsid w:val="006733FC"/>
    <w:rsid w:val="006734AB"/>
    <w:rsid w:val="0067372B"/>
    <w:rsid w:val="00677428"/>
    <w:rsid w:val="0067751D"/>
    <w:rsid w:val="00677BE4"/>
    <w:rsid w:val="006811CC"/>
    <w:rsid w:val="0068566E"/>
    <w:rsid w:val="006916ED"/>
    <w:rsid w:val="006917BC"/>
    <w:rsid w:val="00692537"/>
    <w:rsid w:val="0069415D"/>
    <w:rsid w:val="0069532D"/>
    <w:rsid w:val="00695DEC"/>
    <w:rsid w:val="00696911"/>
    <w:rsid w:val="0069738E"/>
    <w:rsid w:val="00697E56"/>
    <w:rsid w:val="006A0E37"/>
    <w:rsid w:val="006A0E87"/>
    <w:rsid w:val="006A0FB3"/>
    <w:rsid w:val="006A37D6"/>
    <w:rsid w:val="006A5038"/>
    <w:rsid w:val="006A7060"/>
    <w:rsid w:val="006A7156"/>
    <w:rsid w:val="006A716D"/>
    <w:rsid w:val="006A7595"/>
    <w:rsid w:val="006B0D54"/>
    <w:rsid w:val="006B1680"/>
    <w:rsid w:val="006B1DCE"/>
    <w:rsid w:val="006B259B"/>
    <w:rsid w:val="006B25C8"/>
    <w:rsid w:val="006B3122"/>
    <w:rsid w:val="006B5BED"/>
    <w:rsid w:val="006C0833"/>
    <w:rsid w:val="006C115A"/>
    <w:rsid w:val="006C120D"/>
    <w:rsid w:val="006C1373"/>
    <w:rsid w:val="006C178D"/>
    <w:rsid w:val="006C1811"/>
    <w:rsid w:val="006C1E83"/>
    <w:rsid w:val="006C286E"/>
    <w:rsid w:val="006C424C"/>
    <w:rsid w:val="006C5C75"/>
    <w:rsid w:val="006C622D"/>
    <w:rsid w:val="006C747C"/>
    <w:rsid w:val="006D0862"/>
    <w:rsid w:val="006D0A89"/>
    <w:rsid w:val="006D2BB5"/>
    <w:rsid w:val="006D3568"/>
    <w:rsid w:val="006D3AD6"/>
    <w:rsid w:val="006D5597"/>
    <w:rsid w:val="006D579B"/>
    <w:rsid w:val="006D62AA"/>
    <w:rsid w:val="006E055C"/>
    <w:rsid w:val="006E1CD0"/>
    <w:rsid w:val="006E32D5"/>
    <w:rsid w:val="006E3E61"/>
    <w:rsid w:val="006E4A72"/>
    <w:rsid w:val="006E5A09"/>
    <w:rsid w:val="006E5CFF"/>
    <w:rsid w:val="006E6712"/>
    <w:rsid w:val="006E6715"/>
    <w:rsid w:val="006E70A3"/>
    <w:rsid w:val="006E715D"/>
    <w:rsid w:val="006F0AA0"/>
    <w:rsid w:val="006F476F"/>
    <w:rsid w:val="006F5884"/>
    <w:rsid w:val="006F5EF2"/>
    <w:rsid w:val="006F6C39"/>
    <w:rsid w:val="006F70C7"/>
    <w:rsid w:val="006F7885"/>
    <w:rsid w:val="007016EE"/>
    <w:rsid w:val="00702170"/>
    <w:rsid w:val="007024F8"/>
    <w:rsid w:val="00705B77"/>
    <w:rsid w:val="007065A0"/>
    <w:rsid w:val="007068E0"/>
    <w:rsid w:val="0070754A"/>
    <w:rsid w:val="00707D38"/>
    <w:rsid w:val="007103E6"/>
    <w:rsid w:val="00710CA6"/>
    <w:rsid w:val="00711FA8"/>
    <w:rsid w:val="007120ED"/>
    <w:rsid w:val="00713640"/>
    <w:rsid w:val="00713AD2"/>
    <w:rsid w:val="007153E9"/>
    <w:rsid w:val="00715D3A"/>
    <w:rsid w:val="00716FFC"/>
    <w:rsid w:val="00721995"/>
    <w:rsid w:val="00724171"/>
    <w:rsid w:val="007276E6"/>
    <w:rsid w:val="0072784C"/>
    <w:rsid w:val="00727E01"/>
    <w:rsid w:val="00732628"/>
    <w:rsid w:val="00733875"/>
    <w:rsid w:val="00733C55"/>
    <w:rsid w:val="007359CC"/>
    <w:rsid w:val="007362CB"/>
    <w:rsid w:val="007374DB"/>
    <w:rsid w:val="00737ED6"/>
    <w:rsid w:val="00740085"/>
    <w:rsid w:val="007412C8"/>
    <w:rsid w:val="007413F0"/>
    <w:rsid w:val="00741AFE"/>
    <w:rsid w:val="00741EC0"/>
    <w:rsid w:val="00742B5A"/>
    <w:rsid w:val="00744042"/>
    <w:rsid w:val="00747D2A"/>
    <w:rsid w:val="00752039"/>
    <w:rsid w:val="00752D54"/>
    <w:rsid w:val="007539F0"/>
    <w:rsid w:val="007544EC"/>
    <w:rsid w:val="007554D7"/>
    <w:rsid w:val="00755804"/>
    <w:rsid w:val="00757FDC"/>
    <w:rsid w:val="00760213"/>
    <w:rsid w:val="007606F5"/>
    <w:rsid w:val="0076192E"/>
    <w:rsid w:val="007622C3"/>
    <w:rsid w:val="0076289A"/>
    <w:rsid w:val="00762FD3"/>
    <w:rsid w:val="007632B2"/>
    <w:rsid w:val="00765A50"/>
    <w:rsid w:val="007664A2"/>
    <w:rsid w:val="00770A7F"/>
    <w:rsid w:val="00770B7A"/>
    <w:rsid w:val="00771783"/>
    <w:rsid w:val="00772CB6"/>
    <w:rsid w:val="00774E94"/>
    <w:rsid w:val="00774F9C"/>
    <w:rsid w:val="00775161"/>
    <w:rsid w:val="007754B7"/>
    <w:rsid w:val="00776A77"/>
    <w:rsid w:val="00776F44"/>
    <w:rsid w:val="0078002E"/>
    <w:rsid w:val="00780A5E"/>
    <w:rsid w:val="00781196"/>
    <w:rsid w:val="00782419"/>
    <w:rsid w:val="00782D02"/>
    <w:rsid w:val="007847FB"/>
    <w:rsid w:val="007850E5"/>
    <w:rsid w:val="007855EB"/>
    <w:rsid w:val="007868CE"/>
    <w:rsid w:val="00791391"/>
    <w:rsid w:val="00791752"/>
    <w:rsid w:val="00792CBD"/>
    <w:rsid w:val="00797B01"/>
    <w:rsid w:val="007A0192"/>
    <w:rsid w:val="007A191F"/>
    <w:rsid w:val="007A1B0C"/>
    <w:rsid w:val="007A2D3D"/>
    <w:rsid w:val="007A38AB"/>
    <w:rsid w:val="007A3931"/>
    <w:rsid w:val="007A40D3"/>
    <w:rsid w:val="007A465A"/>
    <w:rsid w:val="007A491E"/>
    <w:rsid w:val="007A54FA"/>
    <w:rsid w:val="007A5627"/>
    <w:rsid w:val="007A6BDF"/>
    <w:rsid w:val="007A6E4F"/>
    <w:rsid w:val="007A735D"/>
    <w:rsid w:val="007A7AD6"/>
    <w:rsid w:val="007A7E91"/>
    <w:rsid w:val="007B014A"/>
    <w:rsid w:val="007B0A78"/>
    <w:rsid w:val="007B3652"/>
    <w:rsid w:val="007B43BD"/>
    <w:rsid w:val="007B4F2C"/>
    <w:rsid w:val="007B5C36"/>
    <w:rsid w:val="007B7047"/>
    <w:rsid w:val="007B7B0E"/>
    <w:rsid w:val="007C11ED"/>
    <w:rsid w:val="007C3024"/>
    <w:rsid w:val="007C555E"/>
    <w:rsid w:val="007C5C81"/>
    <w:rsid w:val="007D0716"/>
    <w:rsid w:val="007D1B20"/>
    <w:rsid w:val="007D21A0"/>
    <w:rsid w:val="007D42D5"/>
    <w:rsid w:val="007D446C"/>
    <w:rsid w:val="007D4BC1"/>
    <w:rsid w:val="007D5C8B"/>
    <w:rsid w:val="007D636D"/>
    <w:rsid w:val="007D6A58"/>
    <w:rsid w:val="007D7DA0"/>
    <w:rsid w:val="007E1BFF"/>
    <w:rsid w:val="007E1F3D"/>
    <w:rsid w:val="007E398C"/>
    <w:rsid w:val="007E48BF"/>
    <w:rsid w:val="007E7CEF"/>
    <w:rsid w:val="007F022E"/>
    <w:rsid w:val="007F1872"/>
    <w:rsid w:val="007F5693"/>
    <w:rsid w:val="007F5DA9"/>
    <w:rsid w:val="007F63DD"/>
    <w:rsid w:val="007F6609"/>
    <w:rsid w:val="007F6681"/>
    <w:rsid w:val="007F756D"/>
    <w:rsid w:val="007F7574"/>
    <w:rsid w:val="00800495"/>
    <w:rsid w:val="00801076"/>
    <w:rsid w:val="0080125B"/>
    <w:rsid w:val="00801F5F"/>
    <w:rsid w:val="008029F2"/>
    <w:rsid w:val="00802AB5"/>
    <w:rsid w:val="00803458"/>
    <w:rsid w:val="00803E80"/>
    <w:rsid w:val="0080469F"/>
    <w:rsid w:val="00804C10"/>
    <w:rsid w:val="00805997"/>
    <w:rsid w:val="00805B0F"/>
    <w:rsid w:val="00806A8F"/>
    <w:rsid w:val="0080797D"/>
    <w:rsid w:val="00807A3C"/>
    <w:rsid w:val="00807BD9"/>
    <w:rsid w:val="00807F19"/>
    <w:rsid w:val="00810BFC"/>
    <w:rsid w:val="00811027"/>
    <w:rsid w:val="00811146"/>
    <w:rsid w:val="008124A8"/>
    <w:rsid w:val="00814F3E"/>
    <w:rsid w:val="00814FE9"/>
    <w:rsid w:val="00815C6A"/>
    <w:rsid w:val="008168BA"/>
    <w:rsid w:val="00816EF4"/>
    <w:rsid w:val="008171D1"/>
    <w:rsid w:val="00820246"/>
    <w:rsid w:val="008210E1"/>
    <w:rsid w:val="0082221B"/>
    <w:rsid w:val="00824441"/>
    <w:rsid w:val="00824711"/>
    <w:rsid w:val="008249E2"/>
    <w:rsid w:val="008263F6"/>
    <w:rsid w:val="0082705D"/>
    <w:rsid w:val="0083132F"/>
    <w:rsid w:val="008320A4"/>
    <w:rsid w:val="0083349C"/>
    <w:rsid w:val="00833CB4"/>
    <w:rsid w:val="00834DEB"/>
    <w:rsid w:val="00835AD4"/>
    <w:rsid w:val="00835B60"/>
    <w:rsid w:val="00836035"/>
    <w:rsid w:val="00840A1F"/>
    <w:rsid w:val="00841A19"/>
    <w:rsid w:val="00842C64"/>
    <w:rsid w:val="0084563D"/>
    <w:rsid w:val="00847B53"/>
    <w:rsid w:val="008511E6"/>
    <w:rsid w:val="008524E1"/>
    <w:rsid w:val="0085386B"/>
    <w:rsid w:val="0085445D"/>
    <w:rsid w:val="00854919"/>
    <w:rsid w:val="00857616"/>
    <w:rsid w:val="00860B3F"/>
    <w:rsid w:val="00862BC0"/>
    <w:rsid w:val="00862BFF"/>
    <w:rsid w:val="008633FF"/>
    <w:rsid w:val="00863D82"/>
    <w:rsid w:val="008649A8"/>
    <w:rsid w:val="00864AA6"/>
    <w:rsid w:val="00865CEB"/>
    <w:rsid w:val="00866874"/>
    <w:rsid w:val="00866967"/>
    <w:rsid w:val="0087017D"/>
    <w:rsid w:val="00870470"/>
    <w:rsid w:val="0087061D"/>
    <w:rsid w:val="00871848"/>
    <w:rsid w:val="00871BC4"/>
    <w:rsid w:val="00873B6E"/>
    <w:rsid w:val="0087442E"/>
    <w:rsid w:val="0087502B"/>
    <w:rsid w:val="00876499"/>
    <w:rsid w:val="00876C75"/>
    <w:rsid w:val="00876CEF"/>
    <w:rsid w:val="00877334"/>
    <w:rsid w:val="0087772A"/>
    <w:rsid w:val="0088227E"/>
    <w:rsid w:val="008835DB"/>
    <w:rsid w:val="008835FD"/>
    <w:rsid w:val="008837A3"/>
    <w:rsid w:val="00884EC5"/>
    <w:rsid w:val="008850D6"/>
    <w:rsid w:val="008859AD"/>
    <w:rsid w:val="008875D7"/>
    <w:rsid w:val="00891CA3"/>
    <w:rsid w:val="0089207D"/>
    <w:rsid w:val="00893BAB"/>
    <w:rsid w:val="00895217"/>
    <w:rsid w:val="00895FAF"/>
    <w:rsid w:val="00897566"/>
    <w:rsid w:val="008978F7"/>
    <w:rsid w:val="008A1F0A"/>
    <w:rsid w:val="008A3977"/>
    <w:rsid w:val="008A4AD4"/>
    <w:rsid w:val="008A7498"/>
    <w:rsid w:val="008B1679"/>
    <w:rsid w:val="008B1AFC"/>
    <w:rsid w:val="008B2EEC"/>
    <w:rsid w:val="008B3504"/>
    <w:rsid w:val="008B4027"/>
    <w:rsid w:val="008B42F9"/>
    <w:rsid w:val="008B4C25"/>
    <w:rsid w:val="008B5308"/>
    <w:rsid w:val="008B5401"/>
    <w:rsid w:val="008B6E8A"/>
    <w:rsid w:val="008C113B"/>
    <w:rsid w:val="008C2C1A"/>
    <w:rsid w:val="008C60B2"/>
    <w:rsid w:val="008C6A4B"/>
    <w:rsid w:val="008C6EAE"/>
    <w:rsid w:val="008D0B87"/>
    <w:rsid w:val="008D0EF1"/>
    <w:rsid w:val="008D114A"/>
    <w:rsid w:val="008D1E88"/>
    <w:rsid w:val="008D324A"/>
    <w:rsid w:val="008D46B5"/>
    <w:rsid w:val="008D79FA"/>
    <w:rsid w:val="008E0145"/>
    <w:rsid w:val="008E02FE"/>
    <w:rsid w:val="008E064B"/>
    <w:rsid w:val="008E11A5"/>
    <w:rsid w:val="008E1ECC"/>
    <w:rsid w:val="008E2232"/>
    <w:rsid w:val="008E24B1"/>
    <w:rsid w:val="008E2932"/>
    <w:rsid w:val="008E2AE0"/>
    <w:rsid w:val="008E32D1"/>
    <w:rsid w:val="008E6CBB"/>
    <w:rsid w:val="008E7F5D"/>
    <w:rsid w:val="008E7FDD"/>
    <w:rsid w:val="008F16BB"/>
    <w:rsid w:val="008F1BBD"/>
    <w:rsid w:val="008F1F83"/>
    <w:rsid w:val="008F3C22"/>
    <w:rsid w:val="008F4A5A"/>
    <w:rsid w:val="008F4F90"/>
    <w:rsid w:val="008F6D69"/>
    <w:rsid w:val="008F7097"/>
    <w:rsid w:val="008F7BA7"/>
    <w:rsid w:val="00901A16"/>
    <w:rsid w:val="00902923"/>
    <w:rsid w:val="00902BED"/>
    <w:rsid w:val="00903A97"/>
    <w:rsid w:val="00903DD1"/>
    <w:rsid w:val="0091145A"/>
    <w:rsid w:val="00912744"/>
    <w:rsid w:val="00912DC7"/>
    <w:rsid w:val="00913E31"/>
    <w:rsid w:val="009152F7"/>
    <w:rsid w:val="00916448"/>
    <w:rsid w:val="0091735B"/>
    <w:rsid w:val="00917BFF"/>
    <w:rsid w:val="0092323F"/>
    <w:rsid w:val="00923C75"/>
    <w:rsid w:val="00926396"/>
    <w:rsid w:val="00926B16"/>
    <w:rsid w:val="009302A5"/>
    <w:rsid w:val="009312D8"/>
    <w:rsid w:val="0093178B"/>
    <w:rsid w:val="00931927"/>
    <w:rsid w:val="00931D2B"/>
    <w:rsid w:val="009332DF"/>
    <w:rsid w:val="00933A74"/>
    <w:rsid w:val="00933B8C"/>
    <w:rsid w:val="00933D2D"/>
    <w:rsid w:val="00933F65"/>
    <w:rsid w:val="00935B08"/>
    <w:rsid w:val="00936696"/>
    <w:rsid w:val="009368C9"/>
    <w:rsid w:val="00937630"/>
    <w:rsid w:val="0094201D"/>
    <w:rsid w:val="00945431"/>
    <w:rsid w:val="00945779"/>
    <w:rsid w:val="009467E7"/>
    <w:rsid w:val="00946BD2"/>
    <w:rsid w:val="00947D25"/>
    <w:rsid w:val="00947E8C"/>
    <w:rsid w:val="00950A5B"/>
    <w:rsid w:val="00950CFC"/>
    <w:rsid w:val="00951748"/>
    <w:rsid w:val="00951CE2"/>
    <w:rsid w:val="00953DA8"/>
    <w:rsid w:val="009575F8"/>
    <w:rsid w:val="0095797F"/>
    <w:rsid w:val="00957FF0"/>
    <w:rsid w:val="009608B4"/>
    <w:rsid w:val="00960F33"/>
    <w:rsid w:val="00962EFA"/>
    <w:rsid w:val="00963427"/>
    <w:rsid w:val="00964525"/>
    <w:rsid w:val="00964DD0"/>
    <w:rsid w:val="009665FD"/>
    <w:rsid w:val="00966898"/>
    <w:rsid w:val="00970498"/>
    <w:rsid w:val="00971FED"/>
    <w:rsid w:val="00972369"/>
    <w:rsid w:val="009739D3"/>
    <w:rsid w:val="0097425D"/>
    <w:rsid w:val="00976209"/>
    <w:rsid w:val="00977C6C"/>
    <w:rsid w:val="00977CAC"/>
    <w:rsid w:val="009820B9"/>
    <w:rsid w:val="0098247B"/>
    <w:rsid w:val="00984B44"/>
    <w:rsid w:val="009854E5"/>
    <w:rsid w:val="0098550F"/>
    <w:rsid w:val="009859E4"/>
    <w:rsid w:val="00993584"/>
    <w:rsid w:val="0099469D"/>
    <w:rsid w:val="00995FEE"/>
    <w:rsid w:val="009A1E0A"/>
    <w:rsid w:val="009A279A"/>
    <w:rsid w:val="009A28D2"/>
    <w:rsid w:val="009A4790"/>
    <w:rsid w:val="009A4B48"/>
    <w:rsid w:val="009A5CAB"/>
    <w:rsid w:val="009B275E"/>
    <w:rsid w:val="009B3AF4"/>
    <w:rsid w:val="009B6D03"/>
    <w:rsid w:val="009B6FC8"/>
    <w:rsid w:val="009B739F"/>
    <w:rsid w:val="009B7753"/>
    <w:rsid w:val="009C1DAF"/>
    <w:rsid w:val="009C40C2"/>
    <w:rsid w:val="009C438A"/>
    <w:rsid w:val="009C464C"/>
    <w:rsid w:val="009C4E10"/>
    <w:rsid w:val="009C734A"/>
    <w:rsid w:val="009C76D4"/>
    <w:rsid w:val="009C7D91"/>
    <w:rsid w:val="009D0B17"/>
    <w:rsid w:val="009D0D07"/>
    <w:rsid w:val="009D19FF"/>
    <w:rsid w:val="009D1EF6"/>
    <w:rsid w:val="009D3D61"/>
    <w:rsid w:val="009D4378"/>
    <w:rsid w:val="009D44BA"/>
    <w:rsid w:val="009D480F"/>
    <w:rsid w:val="009D5043"/>
    <w:rsid w:val="009D5622"/>
    <w:rsid w:val="009D5DCA"/>
    <w:rsid w:val="009D652F"/>
    <w:rsid w:val="009D700D"/>
    <w:rsid w:val="009E0571"/>
    <w:rsid w:val="009E43E8"/>
    <w:rsid w:val="009E6B87"/>
    <w:rsid w:val="009F1325"/>
    <w:rsid w:val="009F3C8E"/>
    <w:rsid w:val="009F3EDA"/>
    <w:rsid w:val="009F7570"/>
    <w:rsid w:val="009F7591"/>
    <w:rsid w:val="00A00DD7"/>
    <w:rsid w:val="00A00F2A"/>
    <w:rsid w:val="00A02BF5"/>
    <w:rsid w:val="00A03D7F"/>
    <w:rsid w:val="00A0551E"/>
    <w:rsid w:val="00A06688"/>
    <w:rsid w:val="00A06FA7"/>
    <w:rsid w:val="00A104EF"/>
    <w:rsid w:val="00A1125F"/>
    <w:rsid w:val="00A1626D"/>
    <w:rsid w:val="00A203FF"/>
    <w:rsid w:val="00A211DA"/>
    <w:rsid w:val="00A21A57"/>
    <w:rsid w:val="00A22591"/>
    <w:rsid w:val="00A22F21"/>
    <w:rsid w:val="00A23DAC"/>
    <w:rsid w:val="00A2444B"/>
    <w:rsid w:val="00A25764"/>
    <w:rsid w:val="00A2590D"/>
    <w:rsid w:val="00A265BF"/>
    <w:rsid w:val="00A277ED"/>
    <w:rsid w:val="00A31021"/>
    <w:rsid w:val="00A32880"/>
    <w:rsid w:val="00A34973"/>
    <w:rsid w:val="00A349C2"/>
    <w:rsid w:val="00A35816"/>
    <w:rsid w:val="00A376A4"/>
    <w:rsid w:val="00A40273"/>
    <w:rsid w:val="00A40447"/>
    <w:rsid w:val="00A40719"/>
    <w:rsid w:val="00A4089F"/>
    <w:rsid w:val="00A40C16"/>
    <w:rsid w:val="00A41A1C"/>
    <w:rsid w:val="00A41C60"/>
    <w:rsid w:val="00A421DD"/>
    <w:rsid w:val="00A422AE"/>
    <w:rsid w:val="00A42D48"/>
    <w:rsid w:val="00A436A1"/>
    <w:rsid w:val="00A44A3F"/>
    <w:rsid w:val="00A45685"/>
    <w:rsid w:val="00A479C9"/>
    <w:rsid w:val="00A47BAE"/>
    <w:rsid w:val="00A512B5"/>
    <w:rsid w:val="00A51DF4"/>
    <w:rsid w:val="00A52963"/>
    <w:rsid w:val="00A52E00"/>
    <w:rsid w:val="00A52F0D"/>
    <w:rsid w:val="00A53BFF"/>
    <w:rsid w:val="00A5593D"/>
    <w:rsid w:val="00A57CEC"/>
    <w:rsid w:val="00A6119F"/>
    <w:rsid w:val="00A638D0"/>
    <w:rsid w:val="00A65903"/>
    <w:rsid w:val="00A65E88"/>
    <w:rsid w:val="00A65EB7"/>
    <w:rsid w:val="00A665D2"/>
    <w:rsid w:val="00A66A33"/>
    <w:rsid w:val="00A66C8C"/>
    <w:rsid w:val="00A7028C"/>
    <w:rsid w:val="00A7064F"/>
    <w:rsid w:val="00A70734"/>
    <w:rsid w:val="00A7210A"/>
    <w:rsid w:val="00A72F01"/>
    <w:rsid w:val="00A7465A"/>
    <w:rsid w:val="00A75973"/>
    <w:rsid w:val="00A7759E"/>
    <w:rsid w:val="00A777D6"/>
    <w:rsid w:val="00A779D1"/>
    <w:rsid w:val="00A80B65"/>
    <w:rsid w:val="00A81526"/>
    <w:rsid w:val="00A82C75"/>
    <w:rsid w:val="00A84A9E"/>
    <w:rsid w:val="00A86220"/>
    <w:rsid w:val="00A86368"/>
    <w:rsid w:val="00A8759C"/>
    <w:rsid w:val="00A90810"/>
    <w:rsid w:val="00A918BB"/>
    <w:rsid w:val="00A91D67"/>
    <w:rsid w:val="00A91FB6"/>
    <w:rsid w:val="00A931D5"/>
    <w:rsid w:val="00A937FB"/>
    <w:rsid w:val="00A94E4A"/>
    <w:rsid w:val="00A95C63"/>
    <w:rsid w:val="00A96155"/>
    <w:rsid w:val="00A966A6"/>
    <w:rsid w:val="00AA19C0"/>
    <w:rsid w:val="00AA1F12"/>
    <w:rsid w:val="00AA4BFB"/>
    <w:rsid w:val="00AA5A07"/>
    <w:rsid w:val="00AA5A9F"/>
    <w:rsid w:val="00AA5B36"/>
    <w:rsid w:val="00AA5CDE"/>
    <w:rsid w:val="00AA658F"/>
    <w:rsid w:val="00AA71FE"/>
    <w:rsid w:val="00AA7B76"/>
    <w:rsid w:val="00AB0747"/>
    <w:rsid w:val="00AB0932"/>
    <w:rsid w:val="00AB1CBA"/>
    <w:rsid w:val="00AB2F9F"/>
    <w:rsid w:val="00AB3AEB"/>
    <w:rsid w:val="00AB421F"/>
    <w:rsid w:val="00AB5323"/>
    <w:rsid w:val="00AC26EC"/>
    <w:rsid w:val="00AC3C3D"/>
    <w:rsid w:val="00AC55A1"/>
    <w:rsid w:val="00AC6DD2"/>
    <w:rsid w:val="00AD07F0"/>
    <w:rsid w:val="00AD0CBF"/>
    <w:rsid w:val="00AD10C1"/>
    <w:rsid w:val="00AD1189"/>
    <w:rsid w:val="00AD1575"/>
    <w:rsid w:val="00AD15E1"/>
    <w:rsid w:val="00AD2F5C"/>
    <w:rsid w:val="00AD3222"/>
    <w:rsid w:val="00AD35F8"/>
    <w:rsid w:val="00AD586B"/>
    <w:rsid w:val="00AD72CE"/>
    <w:rsid w:val="00AD7942"/>
    <w:rsid w:val="00AE20D7"/>
    <w:rsid w:val="00AE246E"/>
    <w:rsid w:val="00AE2AFD"/>
    <w:rsid w:val="00AE3680"/>
    <w:rsid w:val="00AE456F"/>
    <w:rsid w:val="00AE7208"/>
    <w:rsid w:val="00AF253D"/>
    <w:rsid w:val="00AF3135"/>
    <w:rsid w:val="00AF3565"/>
    <w:rsid w:val="00AF52EA"/>
    <w:rsid w:val="00AF53D3"/>
    <w:rsid w:val="00AF5B4E"/>
    <w:rsid w:val="00AF61EC"/>
    <w:rsid w:val="00B01E45"/>
    <w:rsid w:val="00B023EC"/>
    <w:rsid w:val="00B039C7"/>
    <w:rsid w:val="00B044CB"/>
    <w:rsid w:val="00B051FC"/>
    <w:rsid w:val="00B05719"/>
    <w:rsid w:val="00B05F51"/>
    <w:rsid w:val="00B06512"/>
    <w:rsid w:val="00B069A2"/>
    <w:rsid w:val="00B10392"/>
    <w:rsid w:val="00B10766"/>
    <w:rsid w:val="00B108DD"/>
    <w:rsid w:val="00B1162E"/>
    <w:rsid w:val="00B12C1F"/>
    <w:rsid w:val="00B1433E"/>
    <w:rsid w:val="00B1627F"/>
    <w:rsid w:val="00B165B9"/>
    <w:rsid w:val="00B16C86"/>
    <w:rsid w:val="00B20D79"/>
    <w:rsid w:val="00B2175B"/>
    <w:rsid w:val="00B21869"/>
    <w:rsid w:val="00B23B8F"/>
    <w:rsid w:val="00B2627A"/>
    <w:rsid w:val="00B2631E"/>
    <w:rsid w:val="00B268B6"/>
    <w:rsid w:val="00B26AD3"/>
    <w:rsid w:val="00B27E96"/>
    <w:rsid w:val="00B30517"/>
    <w:rsid w:val="00B30B0D"/>
    <w:rsid w:val="00B31AA2"/>
    <w:rsid w:val="00B34172"/>
    <w:rsid w:val="00B35233"/>
    <w:rsid w:val="00B35C69"/>
    <w:rsid w:val="00B35F18"/>
    <w:rsid w:val="00B411D1"/>
    <w:rsid w:val="00B42F64"/>
    <w:rsid w:val="00B439E6"/>
    <w:rsid w:val="00B453D8"/>
    <w:rsid w:val="00B458F0"/>
    <w:rsid w:val="00B45D4D"/>
    <w:rsid w:val="00B528BA"/>
    <w:rsid w:val="00B52CF7"/>
    <w:rsid w:val="00B542BF"/>
    <w:rsid w:val="00B56C11"/>
    <w:rsid w:val="00B57197"/>
    <w:rsid w:val="00B604DD"/>
    <w:rsid w:val="00B60DFA"/>
    <w:rsid w:val="00B634C9"/>
    <w:rsid w:val="00B6458D"/>
    <w:rsid w:val="00B6639D"/>
    <w:rsid w:val="00B66921"/>
    <w:rsid w:val="00B6767C"/>
    <w:rsid w:val="00B70480"/>
    <w:rsid w:val="00B713C2"/>
    <w:rsid w:val="00B72A73"/>
    <w:rsid w:val="00B72AC8"/>
    <w:rsid w:val="00B73CC0"/>
    <w:rsid w:val="00B760A3"/>
    <w:rsid w:val="00B76860"/>
    <w:rsid w:val="00B76CE4"/>
    <w:rsid w:val="00B77EC4"/>
    <w:rsid w:val="00B80B8F"/>
    <w:rsid w:val="00B83A2A"/>
    <w:rsid w:val="00B84FA1"/>
    <w:rsid w:val="00B8531A"/>
    <w:rsid w:val="00B856CA"/>
    <w:rsid w:val="00B85BF5"/>
    <w:rsid w:val="00B85F7A"/>
    <w:rsid w:val="00B86E6A"/>
    <w:rsid w:val="00B905DE"/>
    <w:rsid w:val="00B91081"/>
    <w:rsid w:val="00B93FD3"/>
    <w:rsid w:val="00B95D8A"/>
    <w:rsid w:val="00B96086"/>
    <w:rsid w:val="00B96B07"/>
    <w:rsid w:val="00B97E7D"/>
    <w:rsid w:val="00BA2B89"/>
    <w:rsid w:val="00BA3F9D"/>
    <w:rsid w:val="00BA48A1"/>
    <w:rsid w:val="00BA5BB4"/>
    <w:rsid w:val="00BA6972"/>
    <w:rsid w:val="00BA7530"/>
    <w:rsid w:val="00BA7707"/>
    <w:rsid w:val="00BA7F15"/>
    <w:rsid w:val="00BB106C"/>
    <w:rsid w:val="00BB1705"/>
    <w:rsid w:val="00BB1B11"/>
    <w:rsid w:val="00BB24DB"/>
    <w:rsid w:val="00BB5B52"/>
    <w:rsid w:val="00BB5CBF"/>
    <w:rsid w:val="00BB5D6A"/>
    <w:rsid w:val="00BB6F8E"/>
    <w:rsid w:val="00BB73E3"/>
    <w:rsid w:val="00BC06F3"/>
    <w:rsid w:val="00BC16D4"/>
    <w:rsid w:val="00BC1DC2"/>
    <w:rsid w:val="00BC2ED4"/>
    <w:rsid w:val="00BC3096"/>
    <w:rsid w:val="00BC3C9F"/>
    <w:rsid w:val="00BC6175"/>
    <w:rsid w:val="00BC642C"/>
    <w:rsid w:val="00BC6488"/>
    <w:rsid w:val="00BC7627"/>
    <w:rsid w:val="00BD0016"/>
    <w:rsid w:val="00BD1AE1"/>
    <w:rsid w:val="00BD246C"/>
    <w:rsid w:val="00BD3227"/>
    <w:rsid w:val="00BD36B2"/>
    <w:rsid w:val="00BD4A16"/>
    <w:rsid w:val="00BD4E1D"/>
    <w:rsid w:val="00BD4F8C"/>
    <w:rsid w:val="00BD509B"/>
    <w:rsid w:val="00BD5424"/>
    <w:rsid w:val="00BD6703"/>
    <w:rsid w:val="00BD72F4"/>
    <w:rsid w:val="00BD799F"/>
    <w:rsid w:val="00BD7BC6"/>
    <w:rsid w:val="00BD7EF3"/>
    <w:rsid w:val="00BE0F19"/>
    <w:rsid w:val="00BE2516"/>
    <w:rsid w:val="00BE2B96"/>
    <w:rsid w:val="00BE44F0"/>
    <w:rsid w:val="00BF4EFB"/>
    <w:rsid w:val="00BF5289"/>
    <w:rsid w:val="00BF590E"/>
    <w:rsid w:val="00BF7188"/>
    <w:rsid w:val="00BF75B4"/>
    <w:rsid w:val="00C01C73"/>
    <w:rsid w:val="00C01FA0"/>
    <w:rsid w:val="00C026F4"/>
    <w:rsid w:val="00C04441"/>
    <w:rsid w:val="00C05B28"/>
    <w:rsid w:val="00C06FAD"/>
    <w:rsid w:val="00C07A2E"/>
    <w:rsid w:val="00C114EC"/>
    <w:rsid w:val="00C12A70"/>
    <w:rsid w:val="00C1341D"/>
    <w:rsid w:val="00C14540"/>
    <w:rsid w:val="00C1464B"/>
    <w:rsid w:val="00C150B0"/>
    <w:rsid w:val="00C1584D"/>
    <w:rsid w:val="00C15D0E"/>
    <w:rsid w:val="00C23AB6"/>
    <w:rsid w:val="00C242BB"/>
    <w:rsid w:val="00C24AD0"/>
    <w:rsid w:val="00C267F2"/>
    <w:rsid w:val="00C2797C"/>
    <w:rsid w:val="00C31A29"/>
    <w:rsid w:val="00C31C6F"/>
    <w:rsid w:val="00C31E0B"/>
    <w:rsid w:val="00C324CF"/>
    <w:rsid w:val="00C336F3"/>
    <w:rsid w:val="00C34269"/>
    <w:rsid w:val="00C36702"/>
    <w:rsid w:val="00C36FF2"/>
    <w:rsid w:val="00C41D7B"/>
    <w:rsid w:val="00C43814"/>
    <w:rsid w:val="00C459E6"/>
    <w:rsid w:val="00C463E4"/>
    <w:rsid w:val="00C46DBA"/>
    <w:rsid w:val="00C50167"/>
    <w:rsid w:val="00C501F8"/>
    <w:rsid w:val="00C520F1"/>
    <w:rsid w:val="00C52E02"/>
    <w:rsid w:val="00C5311A"/>
    <w:rsid w:val="00C53A7B"/>
    <w:rsid w:val="00C549C4"/>
    <w:rsid w:val="00C557E0"/>
    <w:rsid w:val="00C56E2F"/>
    <w:rsid w:val="00C56E7D"/>
    <w:rsid w:val="00C56FFE"/>
    <w:rsid w:val="00C61977"/>
    <w:rsid w:val="00C61EE2"/>
    <w:rsid w:val="00C62139"/>
    <w:rsid w:val="00C6335C"/>
    <w:rsid w:val="00C6539D"/>
    <w:rsid w:val="00C65848"/>
    <w:rsid w:val="00C65E58"/>
    <w:rsid w:val="00C67C31"/>
    <w:rsid w:val="00C67D5C"/>
    <w:rsid w:val="00C70101"/>
    <w:rsid w:val="00C70490"/>
    <w:rsid w:val="00C713FF"/>
    <w:rsid w:val="00C71472"/>
    <w:rsid w:val="00C71CC1"/>
    <w:rsid w:val="00C71D94"/>
    <w:rsid w:val="00C724CE"/>
    <w:rsid w:val="00C73D34"/>
    <w:rsid w:val="00C73FCF"/>
    <w:rsid w:val="00C74B24"/>
    <w:rsid w:val="00C74E4B"/>
    <w:rsid w:val="00C7533B"/>
    <w:rsid w:val="00C76C7C"/>
    <w:rsid w:val="00C8152D"/>
    <w:rsid w:val="00C819ED"/>
    <w:rsid w:val="00C81C0D"/>
    <w:rsid w:val="00C81F48"/>
    <w:rsid w:val="00C82B21"/>
    <w:rsid w:val="00C850A5"/>
    <w:rsid w:val="00C86A23"/>
    <w:rsid w:val="00C92ECF"/>
    <w:rsid w:val="00C92F06"/>
    <w:rsid w:val="00C9333A"/>
    <w:rsid w:val="00C94416"/>
    <w:rsid w:val="00C950FF"/>
    <w:rsid w:val="00C96DC6"/>
    <w:rsid w:val="00C96E24"/>
    <w:rsid w:val="00C97FE5"/>
    <w:rsid w:val="00CA294F"/>
    <w:rsid w:val="00CA3196"/>
    <w:rsid w:val="00CA4450"/>
    <w:rsid w:val="00CA4496"/>
    <w:rsid w:val="00CA5142"/>
    <w:rsid w:val="00CA5EEB"/>
    <w:rsid w:val="00CB07AC"/>
    <w:rsid w:val="00CB3471"/>
    <w:rsid w:val="00CB3E68"/>
    <w:rsid w:val="00CB4452"/>
    <w:rsid w:val="00CB49ED"/>
    <w:rsid w:val="00CB5098"/>
    <w:rsid w:val="00CB670E"/>
    <w:rsid w:val="00CC07FF"/>
    <w:rsid w:val="00CC08E5"/>
    <w:rsid w:val="00CC0E4F"/>
    <w:rsid w:val="00CC0FEE"/>
    <w:rsid w:val="00CC2D56"/>
    <w:rsid w:val="00CC3F01"/>
    <w:rsid w:val="00CC78A2"/>
    <w:rsid w:val="00CC7F47"/>
    <w:rsid w:val="00CD077B"/>
    <w:rsid w:val="00CD10B6"/>
    <w:rsid w:val="00CD2E1F"/>
    <w:rsid w:val="00CD3027"/>
    <w:rsid w:val="00CD4473"/>
    <w:rsid w:val="00CD552D"/>
    <w:rsid w:val="00CD5635"/>
    <w:rsid w:val="00CD56C3"/>
    <w:rsid w:val="00CD5F1A"/>
    <w:rsid w:val="00CD6CDB"/>
    <w:rsid w:val="00CD6E7D"/>
    <w:rsid w:val="00CD7AAE"/>
    <w:rsid w:val="00CE1FD9"/>
    <w:rsid w:val="00CE2CB2"/>
    <w:rsid w:val="00CE3D1B"/>
    <w:rsid w:val="00CE49AB"/>
    <w:rsid w:val="00CE5906"/>
    <w:rsid w:val="00CE592B"/>
    <w:rsid w:val="00CE7824"/>
    <w:rsid w:val="00CE7B78"/>
    <w:rsid w:val="00CE7EC3"/>
    <w:rsid w:val="00CF12C2"/>
    <w:rsid w:val="00CF22A8"/>
    <w:rsid w:val="00CF457A"/>
    <w:rsid w:val="00CF4B81"/>
    <w:rsid w:val="00CF6455"/>
    <w:rsid w:val="00CF79A8"/>
    <w:rsid w:val="00CF7DB0"/>
    <w:rsid w:val="00D00402"/>
    <w:rsid w:val="00D004F4"/>
    <w:rsid w:val="00D01CBA"/>
    <w:rsid w:val="00D02225"/>
    <w:rsid w:val="00D02995"/>
    <w:rsid w:val="00D0351F"/>
    <w:rsid w:val="00D036B5"/>
    <w:rsid w:val="00D0461F"/>
    <w:rsid w:val="00D04F4F"/>
    <w:rsid w:val="00D05BE1"/>
    <w:rsid w:val="00D06278"/>
    <w:rsid w:val="00D07616"/>
    <w:rsid w:val="00D11CDE"/>
    <w:rsid w:val="00D123D2"/>
    <w:rsid w:val="00D125F2"/>
    <w:rsid w:val="00D14705"/>
    <w:rsid w:val="00D14746"/>
    <w:rsid w:val="00D14C71"/>
    <w:rsid w:val="00D14E47"/>
    <w:rsid w:val="00D1524A"/>
    <w:rsid w:val="00D17443"/>
    <w:rsid w:val="00D2245C"/>
    <w:rsid w:val="00D22BB3"/>
    <w:rsid w:val="00D24D40"/>
    <w:rsid w:val="00D24EB9"/>
    <w:rsid w:val="00D2505B"/>
    <w:rsid w:val="00D25D21"/>
    <w:rsid w:val="00D25D3E"/>
    <w:rsid w:val="00D260A0"/>
    <w:rsid w:val="00D3005E"/>
    <w:rsid w:val="00D321E5"/>
    <w:rsid w:val="00D33437"/>
    <w:rsid w:val="00D354C3"/>
    <w:rsid w:val="00D359ED"/>
    <w:rsid w:val="00D36C6A"/>
    <w:rsid w:val="00D376D5"/>
    <w:rsid w:val="00D37C40"/>
    <w:rsid w:val="00D37FC2"/>
    <w:rsid w:val="00D409DF"/>
    <w:rsid w:val="00D40E04"/>
    <w:rsid w:val="00D4147C"/>
    <w:rsid w:val="00D42754"/>
    <w:rsid w:val="00D433C2"/>
    <w:rsid w:val="00D457B2"/>
    <w:rsid w:val="00D46435"/>
    <w:rsid w:val="00D46A33"/>
    <w:rsid w:val="00D4704C"/>
    <w:rsid w:val="00D47AAE"/>
    <w:rsid w:val="00D50410"/>
    <w:rsid w:val="00D505C2"/>
    <w:rsid w:val="00D51DD2"/>
    <w:rsid w:val="00D53CC8"/>
    <w:rsid w:val="00D53E8E"/>
    <w:rsid w:val="00D53E9E"/>
    <w:rsid w:val="00D55554"/>
    <w:rsid w:val="00D561D7"/>
    <w:rsid w:val="00D5766B"/>
    <w:rsid w:val="00D60C59"/>
    <w:rsid w:val="00D60C8C"/>
    <w:rsid w:val="00D63E2A"/>
    <w:rsid w:val="00D673C1"/>
    <w:rsid w:val="00D67D74"/>
    <w:rsid w:val="00D67FC7"/>
    <w:rsid w:val="00D710C0"/>
    <w:rsid w:val="00D715A0"/>
    <w:rsid w:val="00D720A1"/>
    <w:rsid w:val="00D73B5F"/>
    <w:rsid w:val="00D74CD4"/>
    <w:rsid w:val="00D755E2"/>
    <w:rsid w:val="00D75692"/>
    <w:rsid w:val="00D76F71"/>
    <w:rsid w:val="00D77D4D"/>
    <w:rsid w:val="00D80C6A"/>
    <w:rsid w:val="00D812F5"/>
    <w:rsid w:val="00D82223"/>
    <w:rsid w:val="00D82BA6"/>
    <w:rsid w:val="00D83B9B"/>
    <w:rsid w:val="00D83E5E"/>
    <w:rsid w:val="00D85E13"/>
    <w:rsid w:val="00D8638C"/>
    <w:rsid w:val="00D86A39"/>
    <w:rsid w:val="00D903FB"/>
    <w:rsid w:val="00D91694"/>
    <w:rsid w:val="00D9243B"/>
    <w:rsid w:val="00D929B2"/>
    <w:rsid w:val="00D94C91"/>
    <w:rsid w:val="00D95663"/>
    <w:rsid w:val="00D96C88"/>
    <w:rsid w:val="00D96F49"/>
    <w:rsid w:val="00DA00A7"/>
    <w:rsid w:val="00DA20D3"/>
    <w:rsid w:val="00DA2BF4"/>
    <w:rsid w:val="00DA3028"/>
    <w:rsid w:val="00DA382F"/>
    <w:rsid w:val="00DA48AA"/>
    <w:rsid w:val="00DA529B"/>
    <w:rsid w:val="00DA59B2"/>
    <w:rsid w:val="00DA78CE"/>
    <w:rsid w:val="00DB137D"/>
    <w:rsid w:val="00DB47C8"/>
    <w:rsid w:val="00DB4D31"/>
    <w:rsid w:val="00DB74C7"/>
    <w:rsid w:val="00DB7510"/>
    <w:rsid w:val="00DC29AE"/>
    <w:rsid w:val="00DC2D4C"/>
    <w:rsid w:val="00DC2EDC"/>
    <w:rsid w:val="00DC6AF3"/>
    <w:rsid w:val="00DC7493"/>
    <w:rsid w:val="00DC792D"/>
    <w:rsid w:val="00DD019D"/>
    <w:rsid w:val="00DD0484"/>
    <w:rsid w:val="00DD060A"/>
    <w:rsid w:val="00DD1857"/>
    <w:rsid w:val="00DD2B31"/>
    <w:rsid w:val="00DD3563"/>
    <w:rsid w:val="00DD67C2"/>
    <w:rsid w:val="00DD72A8"/>
    <w:rsid w:val="00DD734F"/>
    <w:rsid w:val="00DE31A5"/>
    <w:rsid w:val="00DE377C"/>
    <w:rsid w:val="00DE3FD9"/>
    <w:rsid w:val="00DE41A3"/>
    <w:rsid w:val="00DE4A5E"/>
    <w:rsid w:val="00DE5312"/>
    <w:rsid w:val="00DE73A5"/>
    <w:rsid w:val="00DE795D"/>
    <w:rsid w:val="00DE7A56"/>
    <w:rsid w:val="00DF06AC"/>
    <w:rsid w:val="00DF084C"/>
    <w:rsid w:val="00DF23D7"/>
    <w:rsid w:val="00DF4424"/>
    <w:rsid w:val="00DF49E1"/>
    <w:rsid w:val="00DF578F"/>
    <w:rsid w:val="00DF7B07"/>
    <w:rsid w:val="00E01299"/>
    <w:rsid w:val="00E016CD"/>
    <w:rsid w:val="00E01754"/>
    <w:rsid w:val="00E01AB0"/>
    <w:rsid w:val="00E02CD6"/>
    <w:rsid w:val="00E04F2C"/>
    <w:rsid w:val="00E05220"/>
    <w:rsid w:val="00E05C2C"/>
    <w:rsid w:val="00E05E9D"/>
    <w:rsid w:val="00E067E7"/>
    <w:rsid w:val="00E06DFA"/>
    <w:rsid w:val="00E10696"/>
    <w:rsid w:val="00E107DB"/>
    <w:rsid w:val="00E12BD1"/>
    <w:rsid w:val="00E12D18"/>
    <w:rsid w:val="00E13681"/>
    <w:rsid w:val="00E13839"/>
    <w:rsid w:val="00E13AF2"/>
    <w:rsid w:val="00E1435D"/>
    <w:rsid w:val="00E156D3"/>
    <w:rsid w:val="00E16A21"/>
    <w:rsid w:val="00E17D9A"/>
    <w:rsid w:val="00E2372E"/>
    <w:rsid w:val="00E23CF3"/>
    <w:rsid w:val="00E23F90"/>
    <w:rsid w:val="00E245B8"/>
    <w:rsid w:val="00E25E4C"/>
    <w:rsid w:val="00E277B4"/>
    <w:rsid w:val="00E33670"/>
    <w:rsid w:val="00E34226"/>
    <w:rsid w:val="00E36518"/>
    <w:rsid w:val="00E40AA7"/>
    <w:rsid w:val="00E41959"/>
    <w:rsid w:val="00E42668"/>
    <w:rsid w:val="00E43292"/>
    <w:rsid w:val="00E44AFA"/>
    <w:rsid w:val="00E45FD9"/>
    <w:rsid w:val="00E4633F"/>
    <w:rsid w:val="00E46505"/>
    <w:rsid w:val="00E472A5"/>
    <w:rsid w:val="00E473D2"/>
    <w:rsid w:val="00E50D33"/>
    <w:rsid w:val="00E5108E"/>
    <w:rsid w:val="00E5182C"/>
    <w:rsid w:val="00E52DEE"/>
    <w:rsid w:val="00E53ED3"/>
    <w:rsid w:val="00E556C0"/>
    <w:rsid w:val="00E556CF"/>
    <w:rsid w:val="00E56119"/>
    <w:rsid w:val="00E562A1"/>
    <w:rsid w:val="00E56D07"/>
    <w:rsid w:val="00E576C5"/>
    <w:rsid w:val="00E61516"/>
    <w:rsid w:val="00E61C13"/>
    <w:rsid w:val="00E61DC5"/>
    <w:rsid w:val="00E62257"/>
    <w:rsid w:val="00E62D53"/>
    <w:rsid w:val="00E63171"/>
    <w:rsid w:val="00E63F0D"/>
    <w:rsid w:val="00E6451E"/>
    <w:rsid w:val="00E647B0"/>
    <w:rsid w:val="00E65D30"/>
    <w:rsid w:val="00E67A1D"/>
    <w:rsid w:val="00E70522"/>
    <w:rsid w:val="00E70605"/>
    <w:rsid w:val="00E714B1"/>
    <w:rsid w:val="00E7179D"/>
    <w:rsid w:val="00E728B5"/>
    <w:rsid w:val="00E73765"/>
    <w:rsid w:val="00E73DC3"/>
    <w:rsid w:val="00E73EDC"/>
    <w:rsid w:val="00E759CB"/>
    <w:rsid w:val="00E80A06"/>
    <w:rsid w:val="00E81D9C"/>
    <w:rsid w:val="00E825C6"/>
    <w:rsid w:val="00E82AE5"/>
    <w:rsid w:val="00E8409E"/>
    <w:rsid w:val="00E863F7"/>
    <w:rsid w:val="00E869DB"/>
    <w:rsid w:val="00E875BF"/>
    <w:rsid w:val="00E9141C"/>
    <w:rsid w:val="00E918D9"/>
    <w:rsid w:val="00E928E1"/>
    <w:rsid w:val="00E92DC9"/>
    <w:rsid w:val="00E94194"/>
    <w:rsid w:val="00E95205"/>
    <w:rsid w:val="00EA12BB"/>
    <w:rsid w:val="00EA2AA4"/>
    <w:rsid w:val="00EA2EBA"/>
    <w:rsid w:val="00EA41E1"/>
    <w:rsid w:val="00EA4E00"/>
    <w:rsid w:val="00EA68DA"/>
    <w:rsid w:val="00EB177B"/>
    <w:rsid w:val="00EB3376"/>
    <w:rsid w:val="00EB4708"/>
    <w:rsid w:val="00EB6455"/>
    <w:rsid w:val="00EB6F27"/>
    <w:rsid w:val="00EB7346"/>
    <w:rsid w:val="00EB7D68"/>
    <w:rsid w:val="00EC1AE5"/>
    <w:rsid w:val="00EC1DFD"/>
    <w:rsid w:val="00EC2EE8"/>
    <w:rsid w:val="00EC407D"/>
    <w:rsid w:val="00EC5153"/>
    <w:rsid w:val="00EC61A5"/>
    <w:rsid w:val="00EC6C25"/>
    <w:rsid w:val="00EC7192"/>
    <w:rsid w:val="00EC7FF7"/>
    <w:rsid w:val="00ED0757"/>
    <w:rsid w:val="00ED0B1E"/>
    <w:rsid w:val="00ED1DEE"/>
    <w:rsid w:val="00ED2AFF"/>
    <w:rsid w:val="00ED30EB"/>
    <w:rsid w:val="00ED588C"/>
    <w:rsid w:val="00ED6351"/>
    <w:rsid w:val="00EE0613"/>
    <w:rsid w:val="00EE3082"/>
    <w:rsid w:val="00EE46AD"/>
    <w:rsid w:val="00EE4DAD"/>
    <w:rsid w:val="00EE5E60"/>
    <w:rsid w:val="00EE6610"/>
    <w:rsid w:val="00EE68B5"/>
    <w:rsid w:val="00EE77EA"/>
    <w:rsid w:val="00EF19B1"/>
    <w:rsid w:val="00EF230D"/>
    <w:rsid w:val="00EF2CFF"/>
    <w:rsid w:val="00EF3A81"/>
    <w:rsid w:val="00EF54F0"/>
    <w:rsid w:val="00EF57DF"/>
    <w:rsid w:val="00EF7507"/>
    <w:rsid w:val="00F002B8"/>
    <w:rsid w:val="00F1181F"/>
    <w:rsid w:val="00F11BC3"/>
    <w:rsid w:val="00F12972"/>
    <w:rsid w:val="00F154D0"/>
    <w:rsid w:val="00F165F6"/>
    <w:rsid w:val="00F16688"/>
    <w:rsid w:val="00F16921"/>
    <w:rsid w:val="00F17E85"/>
    <w:rsid w:val="00F21250"/>
    <w:rsid w:val="00F22EA2"/>
    <w:rsid w:val="00F24C52"/>
    <w:rsid w:val="00F24DB0"/>
    <w:rsid w:val="00F25433"/>
    <w:rsid w:val="00F2741C"/>
    <w:rsid w:val="00F27C04"/>
    <w:rsid w:val="00F311AB"/>
    <w:rsid w:val="00F31805"/>
    <w:rsid w:val="00F32208"/>
    <w:rsid w:val="00F329E7"/>
    <w:rsid w:val="00F35966"/>
    <w:rsid w:val="00F35E4D"/>
    <w:rsid w:val="00F35E71"/>
    <w:rsid w:val="00F36432"/>
    <w:rsid w:val="00F373E4"/>
    <w:rsid w:val="00F4078D"/>
    <w:rsid w:val="00F4093C"/>
    <w:rsid w:val="00F40BF4"/>
    <w:rsid w:val="00F40C5B"/>
    <w:rsid w:val="00F41E88"/>
    <w:rsid w:val="00F42F3F"/>
    <w:rsid w:val="00F4580A"/>
    <w:rsid w:val="00F45DB2"/>
    <w:rsid w:val="00F461DC"/>
    <w:rsid w:val="00F46239"/>
    <w:rsid w:val="00F46DA6"/>
    <w:rsid w:val="00F46ED0"/>
    <w:rsid w:val="00F50248"/>
    <w:rsid w:val="00F50C89"/>
    <w:rsid w:val="00F5238C"/>
    <w:rsid w:val="00F53EA5"/>
    <w:rsid w:val="00F54070"/>
    <w:rsid w:val="00F54786"/>
    <w:rsid w:val="00F55848"/>
    <w:rsid w:val="00F576B3"/>
    <w:rsid w:val="00F578EC"/>
    <w:rsid w:val="00F600B9"/>
    <w:rsid w:val="00F62271"/>
    <w:rsid w:val="00F62285"/>
    <w:rsid w:val="00F674A1"/>
    <w:rsid w:val="00F67874"/>
    <w:rsid w:val="00F70848"/>
    <w:rsid w:val="00F70DC0"/>
    <w:rsid w:val="00F711A6"/>
    <w:rsid w:val="00F71550"/>
    <w:rsid w:val="00F7278A"/>
    <w:rsid w:val="00F73D4C"/>
    <w:rsid w:val="00F74C97"/>
    <w:rsid w:val="00F76F9E"/>
    <w:rsid w:val="00F7717C"/>
    <w:rsid w:val="00F82464"/>
    <w:rsid w:val="00F8302F"/>
    <w:rsid w:val="00F83768"/>
    <w:rsid w:val="00F83D97"/>
    <w:rsid w:val="00F85A0F"/>
    <w:rsid w:val="00F8634A"/>
    <w:rsid w:val="00F87155"/>
    <w:rsid w:val="00F909B1"/>
    <w:rsid w:val="00F9100B"/>
    <w:rsid w:val="00F915C8"/>
    <w:rsid w:val="00F91BBD"/>
    <w:rsid w:val="00F92BE2"/>
    <w:rsid w:val="00F951FD"/>
    <w:rsid w:val="00F95805"/>
    <w:rsid w:val="00F97739"/>
    <w:rsid w:val="00FA1D00"/>
    <w:rsid w:val="00FA20C9"/>
    <w:rsid w:val="00FA2818"/>
    <w:rsid w:val="00FA2831"/>
    <w:rsid w:val="00FA2EF9"/>
    <w:rsid w:val="00FA31A8"/>
    <w:rsid w:val="00FA36D1"/>
    <w:rsid w:val="00FA4BC6"/>
    <w:rsid w:val="00FA5014"/>
    <w:rsid w:val="00FA5124"/>
    <w:rsid w:val="00FA6E33"/>
    <w:rsid w:val="00FA74BB"/>
    <w:rsid w:val="00FB03D4"/>
    <w:rsid w:val="00FB0C82"/>
    <w:rsid w:val="00FB290D"/>
    <w:rsid w:val="00FB2EB2"/>
    <w:rsid w:val="00FB3A0C"/>
    <w:rsid w:val="00FB5520"/>
    <w:rsid w:val="00FB5BEA"/>
    <w:rsid w:val="00FC3371"/>
    <w:rsid w:val="00FC4C24"/>
    <w:rsid w:val="00FC5047"/>
    <w:rsid w:val="00FC5FE3"/>
    <w:rsid w:val="00FC69D5"/>
    <w:rsid w:val="00FC6F61"/>
    <w:rsid w:val="00FD0ACB"/>
    <w:rsid w:val="00FD10BD"/>
    <w:rsid w:val="00FD3068"/>
    <w:rsid w:val="00FD4298"/>
    <w:rsid w:val="00FD7A8A"/>
    <w:rsid w:val="00FD7C4E"/>
    <w:rsid w:val="00FE00C2"/>
    <w:rsid w:val="00FE3346"/>
    <w:rsid w:val="00FE3D9A"/>
    <w:rsid w:val="00FE40D9"/>
    <w:rsid w:val="00FE6A75"/>
    <w:rsid w:val="00FF0596"/>
    <w:rsid w:val="00FF0FD5"/>
    <w:rsid w:val="00FF2326"/>
    <w:rsid w:val="00FF3D31"/>
    <w:rsid w:val="00FF637E"/>
    <w:rsid w:val="00FF6536"/>
    <w:rsid w:val="00FF6E43"/>
    <w:rsid w:val="00FF70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3A29E8"/>
  <w15:docId w15:val="{5085D091-8BC0-4DA8-9603-E50B01E89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next w:val="Kop2"/>
    <w:qFormat/>
    <w:rsid w:val="00FE40D9"/>
    <w:pPr>
      <w:spacing w:line="360" w:lineRule="auto"/>
      <w:ind w:firstLine="709"/>
    </w:pPr>
    <w:rPr>
      <w:rFonts w:ascii="Arial" w:hAnsi="Arial"/>
      <w:szCs w:val="24"/>
      <w:lang w:val="en-GB"/>
    </w:rPr>
  </w:style>
  <w:style w:type="paragraph" w:styleId="Kop1">
    <w:name w:val="heading 1"/>
    <w:basedOn w:val="Standaard"/>
    <w:next w:val="Standaard"/>
    <w:link w:val="Kop1Char"/>
    <w:uiPriority w:val="9"/>
    <w:qFormat/>
    <w:rsid w:val="00ED0B1E"/>
    <w:pPr>
      <w:numPr>
        <w:numId w:val="11"/>
      </w:numPr>
      <w:outlineLvl w:val="0"/>
    </w:pPr>
    <w:rPr>
      <w:b/>
    </w:rPr>
  </w:style>
  <w:style w:type="paragraph" w:styleId="Kop2">
    <w:name w:val="heading 2"/>
    <w:basedOn w:val="Kop1"/>
    <w:next w:val="Standaard"/>
    <w:link w:val="Kop2Char"/>
    <w:uiPriority w:val="9"/>
    <w:qFormat/>
    <w:rsid w:val="008320A4"/>
    <w:pPr>
      <w:keepNext/>
      <w:numPr>
        <w:ilvl w:val="1"/>
      </w:numPr>
      <w:spacing w:before="240" w:after="60"/>
      <w:ind w:left="0"/>
      <w:outlineLvl w:val="1"/>
    </w:pPr>
    <w:rPr>
      <w:bCs/>
      <w:iCs/>
      <w:szCs w:val="28"/>
    </w:rPr>
  </w:style>
  <w:style w:type="paragraph" w:styleId="Kop3">
    <w:name w:val="heading 3"/>
    <w:basedOn w:val="Standaard"/>
    <w:next w:val="Standaard"/>
    <w:link w:val="Kop3Char"/>
    <w:uiPriority w:val="9"/>
    <w:qFormat/>
    <w:rsid w:val="00D67FC7"/>
    <w:pPr>
      <w:keepNext/>
      <w:numPr>
        <w:ilvl w:val="2"/>
        <w:numId w:val="11"/>
      </w:numPr>
      <w:spacing w:before="240" w:after="60"/>
      <w:outlineLvl w:val="2"/>
    </w:pPr>
    <w:rPr>
      <w:b/>
      <w:bCs/>
      <w:szCs w:val="20"/>
    </w:rPr>
  </w:style>
  <w:style w:type="paragraph" w:styleId="Kop4">
    <w:name w:val="heading 4"/>
    <w:basedOn w:val="Standaard"/>
    <w:next w:val="Standaard"/>
    <w:link w:val="Kop4Char"/>
    <w:uiPriority w:val="9"/>
    <w:qFormat/>
    <w:rsid w:val="00ED0B1E"/>
    <w:pPr>
      <w:keepNext/>
      <w:numPr>
        <w:ilvl w:val="3"/>
        <w:numId w:val="11"/>
      </w:numPr>
      <w:spacing w:before="240" w:after="60"/>
      <w:outlineLvl w:val="3"/>
    </w:pPr>
    <w:rPr>
      <w:rFonts w:ascii="Calibri" w:hAnsi="Calibri"/>
      <w:b/>
      <w:bCs/>
      <w:sz w:val="28"/>
      <w:szCs w:val="28"/>
    </w:rPr>
  </w:style>
  <w:style w:type="paragraph" w:styleId="Kop5">
    <w:name w:val="heading 5"/>
    <w:basedOn w:val="Standaard"/>
    <w:next w:val="Standaard"/>
    <w:link w:val="Kop5Char"/>
    <w:uiPriority w:val="9"/>
    <w:qFormat/>
    <w:rsid w:val="00ED0B1E"/>
    <w:pPr>
      <w:numPr>
        <w:ilvl w:val="4"/>
        <w:numId w:val="11"/>
      </w:numPr>
      <w:spacing w:before="240" w:after="60"/>
      <w:outlineLvl w:val="4"/>
    </w:pPr>
    <w:rPr>
      <w:rFonts w:ascii="Calibri" w:hAnsi="Calibri"/>
      <w:b/>
      <w:bCs/>
      <w:i/>
      <w:iCs/>
      <w:sz w:val="26"/>
      <w:szCs w:val="26"/>
    </w:rPr>
  </w:style>
  <w:style w:type="paragraph" w:styleId="Kop6">
    <w:name w:val="heading 6"/>
    <w:basedOn w:val="Standaard"/>
    <w:next w:val="Standaard"/>
    <w:link w:val="Kop6Char"/>
    <w:uiPriority w:val="9"/>
    <w:qFormat/>
    <w:rsid w:val="00ED0B1E"/>
    <w:pPr>
      <w:numPr>
        <w:ilvl w:val="5"/>
        <w:numId w:val="11"/>
      </w:numPr>
      <w:spacing w:before="240" w:after="60"/>
      <w:outlineLvl w:val="5"/>
    </w:pPr>
    <w:rPr>
      <w:rFonts w:ascii="Calibri" w:hAnsi="Calibri"/>
      <w:b/>
      <w:bCs/>
      <w:sz w:val="22"/>
      <w:szCs w:val="22"/>
    </w:rPr>
  </w:style>
  <w:style w:type="paragraph" w:styleId="Kop7">
    <w:name w:val="heading 7"/>
    <w:basedOn w:val="Standaard"/>
    <w:next w:val="Standaard"/>
    <w:link w:val="Kop7Char"/>
    <w:uiPriority w:val="9"/>
    <w:qFormat/>
    <w:rsid w:val="00ED0B1E"/>
    <w:pPr>
      <w:numPr>
        <w:ilvl w:val="6"/>
        <w:numId w:val="11"/>
      </w:numPr>
      <w:spacing w:before="240" w:after="60"/>
      <w:outlineLvl w:val="6"/>
    </w:pPr>
    <w:rPr>
      <w:rFonts w:ascii="Calibri" w:hAnsi="Calibri"/>
      <w:sz w:val="24"/>
    </w:rPr>
  </w:style>
  <w:style w:type="paragraph" w:styleId="Kop8">
    <w:name w:val="heading 8"/>
    <w:basedOn w:val="Standaard"/>
    <w:next w:val="Standaard"/>
    <w:link w:val="Kop8Char"/>
    <w:uiPriority w:val="9"/>
    <w:qFormat/>
    <w:rsid w:val="00ED0B1E"/>
    <w:pPr>
      <w:numPr>
        <w:ilvl w:val="7"/>
        <w:numId w:val="11"/>
      </w:numPr>
      <w:spacing w:before="240" w:after="60"/>
      <w:outlineLvl w:val="7"/>
    </w:pPr>
    <w:rPr>
      <w:rFonts w:ascii="Calibri" w:hAnsi="Calibri"/>
      <w:i/>
      <w:iCs/>
      <w:sz w:val="24"/>
    </w:rPr>
  </w:style>
  <w:style w:type="paragraph" w:styleId="Kop9">
    <w:name w:val="heading 9"/>
    <w:basedOn w:val="Standaard"/>
    <w:next w:val="Standaard"/>
    <w:link w:val="Kop9Char"/>
    <w:uiPriority w:val="9"/>
    <w:qFormat/>
    <w:rsid w:val="00ED0B1E"/>
    <w:pPr>
      <w:numPr>
        <w:ilvl w:val="8"/>
        <w:numId w:val="11"/>
      </w:numPr>
      <w:spacing w:before="240" w:after="60"/>
      <w:outlineLvl w:val="8"/>
    </w:pPr>
    <w:rPr>
      <w:rFonts w:ascii="Cambria" w:hAnsi="Cambria"/>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uiPriority w:val="99"/>
    <w:rsid w:val="002D160C"/>
    <w:rPr>
      <w:color w:val="0000FF"/>
      <w:u w:val="single"/>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link w:val="Voetnoottekst"/>
    <w:uiPriority w:val="99"/>
    <w:rsid w:val="002D160C"/>
    <w:rPr>
      <w:rFonts w:ascii="Arial" w:hAnsi="Arial"/>
      <w:szCs w:val="24"/>
      <w:lang w:val="en-GB" w:eastAsia="nl-NL" w:bidi="ar-SA"/>
    </w:rPr>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r,Char"/>
    <w:basedOn w:val="Standaard"/>
    <w:link w:val="VoetnoottekstChar"/>
    <w:uiPriority w:val="99"/>
    <w:rsid w:val="002D160C"/>
    <w:pPr>
      <w:widowControl w:val="0"/>
    </w:pPr>
  </w:style>
  <w:style w:type="character" w:customStyle="1" w:styleId="TekstopmerkingChar">
    <w:name w:val="Tekst opmerking Char"/>
    <w:link w:val="Tekstopmerking"/>
    <w:uiPriority w:val="99"/>
    <w:rsid w:val="002D160C"/>
    <w:rPr>
      <w:rFonts w:ascii="Arial" w:hAnsi="Arial"/>
      <w:szCs w:val="24"/>
      <w:lang w:val="en-GB" w:eastAsia="nl-NL" w:bidi="ar-SA"/>
    </w:rPr>
  </w:style>
  <w:style w:type="paragraph" w:styleId="Tekstopmerking">
    <w:name w:val="annotation text"/>
    <w:basedOn w:val="Standaard"/>
    <w:link w:val="TekstopmerkingChar"/>
    <w:uiPriority w:val="99"/>
    <w:rsid w:val="002D160C"/>
  </w:style>
  <w:style w:type="character" w:customStyle="1" w:styleId="PlattetekstChar">
    <w:name w:val="Platte tekst Char"/>
    <w:link w:val="Plattetekst"/>
    <w:rsid w:val="002D160C"/>
    <w:rPr>
      <w:rFonts w:ascii="Verdana" w:hAnsi="Verdana"/>
      <w:sz w:val="18"/>
      <w:szCs w:val="24"/>
      <w:lang w:val="en-GB" w:eastAsia="en-US" w:bidi="ar-SA"/>
    </w:rPr>
  </w:style>
  <w:style w:type="paragraph" w:styleId="Plattetekst">
    <w:name w:val="Body Text"/>
    <w:basedOn w:val="Standaard"/>
    <w:link w:val="PlattetekstChar"/>
    <w:rsid w:val="002D160C"/>
    <w:pPr>
      <w:spacing w:line="240" w:lineRule="exact"/>
      <w:ind w:firstLine="0"/>
    </w:pPr>
    <w:rPr>
      <w:rFonts w:ascii="Verdana" w:hAnsi="Verdana"/>
      <w:sz w:val="18"/>
      <w:lang w:eastAsia="en-US"/>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link w:val="Char1CharCharCarCarCarCarCarCarCarCarCarCar"/>
    <w:uiPriority w:val="99"/>
    <w:rsid w:val="002D160C"/>
    <w:rPr>
      <w:vertAlign w:val="superscript"/>
    </w:rPr>
  </w:style>
  <w:style w:type="character" w:styleId="Verwijzingopmerking">
    <w:name w:val="annotation reference"/>
    <w:uiPriority w:val="99"/>
    <w:semiHidden/>
    <w:rsid w:val="002D160C"/>
    <w:rPr>
      <w:sz w:val="16"/>
      <w:szCs w:val="16"/>
    </w:rPr>
  </w:style>
  <w:style w:type="paragraph" w:styleId="Ballontekst">
    <w:name w:val="Balloon Text"/>
    <w:basedOn w:val="Standaard"/>
    <w:semiHidden/>
    <w:rsid w:val="002D160C"/>
    <w:rPr>
      <w:rFonts w:ascii="Tahoma" w:hAnsi="Tahoma" w:cs="Tahoma"/>
      <w:sz w:val="16"/>
      <w:szCs w:val="16"/>
    </w:rPr>
  </w:style>
  <w:style w:type="paragraph" w:customStyle="1" w:styleId="CharCharCharCharChar">
    <w:name w:val="Char Char Char Char Char"/>
    <w:basedOn w:val="Standaard"/>
    <w:rsid w:val="00802AB5"/>
    <w:pPr>
      <w:spacing w:after="160" w:line="240" w:lineRule="exact"/>
      <w:ind w:firstLine="0"/>
    </w:pPr>
    <w:rPr>
      <w:rFonts w:ascii="Tahoma" w:hAnsi="Tahoma"/>
      <w:szCs w:val="20"/>
      <w:lang w:val="en-US" w:eastAsia="en-US"/>
    </w:rPr>
  </w:style>
  <w:style w:type="paragraph" w:styleId="Onderwerpvanopmerking">
    <w:name w:val="annotation subject"/>
    <w:basedOn w:val="Tekstopmerking"/>
    <w:next w:val="Tekstopmerking"/>
    <w:link w:val="OnderwerpvanopmerkingChar"/>
    <w:uiPriority w:val="99"/>
    <w:semiHidden/>
    <w:unhideWhenUsed/>
    <w:rsid w:val="00DD0484"/>
    <w:rPr>
      <w:b/>
      <w:bCs/>
    </w:rPr>
  </w:style>
  <w:style w:type="character" w:customStyle="1" w:styleId="OnderwerpvanopmerkingChar">
    <w:name w:val="Onderwerp van opmerking Char"/>
    <w:link w:val="Onderwerpvanopmerking"/>
    <w:uiPriority w:val="99"/>
    <w:semiHidden/>
    <w:rsid w:val="00DD0484"/>
    <w:rPr>
      <w:rFonts w:ascii="Arial" w:hAnsi="Arial"/>
      <w:b/>
      <w:bCs/>
      <w:szCs w:val="24"/>
      <w:lang w:val="en-GB" w:eastAsia="nl-NL" w:bidi="ar-SA"/>
    </w:rPr>
  </w:style>
  <w:style w:type="paragraph" w:styleId="Koptekst">
    <w:name w:val="header"/>
    <w:basedOn w:val="Standaard"/>
    <w:rsid w:val="006B3122"/>
    <w:pPr>
      <w:tabs>
        <w:tab w:val="center" w:pos="4536"/>
        <w:tab w:val="right" w:pos="9072"/>
      </w:tabs>
    </w:pPr>
  </w:style>
  <w:style w:type="paragraph" w:styleId="Voettekst">
    <w:name w:val="footer"/>
    <w:basedOn w:val="Standaard"/>
    <w:link w:val="VoettekstChar"/>
    <w:uiPriority w:val="99"/>
    <w:rsid w:val="006B3122"/>
    <w:pPr>
      <w:tabs>
        <w:tab w:val="center" w:pos="4536"/>
        <w:tab w:val="right" w:pos="9072"/>
      </w:tabs>
    </w:pPr>
  </w:style>
  <w:style w:type="character" w:styleId="Paginanummer">
    <w:name w:val="page number"/>
    <w:basedOn w:val="Standaardalinea-lettertype"/>
    <w:rsid w:val="006B3122"/>
  </w:style>
  <w:style w:type="character" w:customStyle="1" w:styleId="Kop1Char">
    <w:name w:val="Kop 1 Char"/>
    <w:link w:val="Kop1"/>
    <w:uiPriority w:val="9"/>
    <w:rsid w:val="00ED0B1E"/>
    <w:rPr>
      <w:rFonts w:ascii="Arial" w:hAnsi="Arial"/>
      <w:b/>
      <w:szCs w:val="24"/>
    </w:rPr>
  </w:style>
  <w:style w:type="paragraph" w:styleId="Titel">
    <w:name w:val="Title"/>
    <w:basedOn w:val="Standaard"/>
    <w:next w:val="Standaard"/>
    <w:link w:val="TitelChar"/>
    <w:uiPriority w:val="10"/>
    <w:qFormat/>
    <w:rsid w:val="00FE40D9"/>
    <w:pPr>
      <w:ind w:firstLine="0"/>
    </w:pPr>
    <w:rPr>
      <w:u w:val="single"/>
    </w:rPr>
  </w:style>
  <w:style w:type="character" w:customStyle="1" w:styleId="TitelChar">
    <w:name w:val="Titel Char"/>
    <w:link w:val="Titel"/>
    <w:uiPriority w:val="10"/>
    <w:rsid w:val="00FE40D9"/>
    <w:rPr>
      <w:rFonts w:ascii="Arial" w:hAnsi="Arial"/>
      <w:szCs w:val="24"/>
      <w:u w:val="single"/>
    </w:rPr>
  </w:style>
  <w:style w:type="character" w:customStyle="1" w:styleId="Kop3Char">
    <w:name w:val="Kop 3 Char"/>
    <w:link w:val="Kop3"/>
    <w:uiPriority w:val="9"/>
    <w:rsid w:val="00D67FC7"/>
    <w:rPr>
      <w:rFonts w:ascii="Arial" w:hAnsi="Arial" w:cs="Arial"/>
      <w:b/>
      <w:bCs/>
      <w:lang w:val="en-GB"/>
    </w:rPr>
  </w:style>
  <w:style w:type="character" w:customStyle="1" w:styleId="Kop2Char">
    <w:name w:val="Kop 2 Char"/>
    <w:link w:val="Kop2"/>
    <w:uiPriority w:val="9"/>
    <w:rsid w:val="008320A4"/>
    <w:rPr>
      <w:rFonts w:ascii="Arial" w:hAnsi="Arial"/>
      <w:b/>
      <w:bCs/>
      <w:iCs/>
      <w:szCs w:val="28"/>
    </w:rPr>
  </w:style>
  <w:style w:type="character" w:customStyle="1" w:styleId="Kop4Char">
    <w:name w:val="Kop 4 Char"/>
    <w:link w:val="Kop4"/>
    <w:uiPriority w:val="9"/>
    <w:semiHidden/>
    <w:rsid w:val="00ED0B1E"/>
    <w:rPr>
      <w:rFonts w:ascii="Calibri" w:hAnsi="Calibri"/>
      <w:b/>
      <w:bCs/>
      <w:sz w:val="28"/>
      <w:szCs w:val="28"/>
      <w:lang w:val="en-GB"/>
    </w:rPr>
  </w:style>
  <w:style w:type="character" w:customStyle="1" w:styleId="Kop5Char">
    <w:name w:val="Kop 5 Char"/>
    <w:link w:val="Kop5"/>
    <w:uiPriority w:val="9"/>
    <w:semiHidden/>
    <w:rsid w:val="00ED0B1E"/>
    <w:rPr>
      <w:rFonts w:ascii="Calibri" w:hAnsi="Calibri"/>
      <w:b/>
      <w:bCs/>
      <w:i/>
      <w:iCs/>
      <w:sz w:val="26"/>
      <w:szCs w:val="26"/>
      <w:lang w:val="en-GB"/>
    </w:rPr>
  </w:style>
  <w:style w:type="character" w:customStyle="1" w:styleId="Kop6Char">
    <w:name w:val="Kop 6 Char"/>
    <w:link w:val="Kop6"/>
    <w:uiPriority w:val="9"/>
    <w:semiHidden/>
    <w:rsid w:val="00ED0B1E"/>
    <w:rPr>
      <w:rFonts w:ascii="Calibri" w:hAnsi="Calibri"/>
      <w:b/>
      <w:bCs/>
      <w:sz w:val="22"/>
      <w:szCs w:val="22"/>
      <w:lang w:val="en-GB"/>
    </w:rPr>
  </w:style>
  <w:style w:type="character" w:customStyle="1" w:styleId="Kop7Char">
    <w:name w:val="Kop 7 Char"/>
    <w:link w:val="Kop7"/>
    <w:uiPriority w:val="9"/>
    <w:semiHidden/>
    <w:rsid w:val="00ED0B1E"/>
    <w:rPr>
      <w:rFonts w:ascii="Calibri" w:hAnsi="Calibri"/>
      <w:sz w:val="24"/>
      <w:szCs w:val="24"/>
      <w:lang w:val="en-GB"/>
    </w:rPr>
  </w:style>
  <w:style w:type="character" w:customStyle="1" w:styleId="Kop8Char">
    <w:name w:val="Kop 8 Char"/>
    <w:link w:val="Kop8"/>
    <w:uiPriority w:val="9"/>
    <w:semiHidden/>
    <w:rsid w:val="00ED0B1E"/>
    <w:rPr>
      <w:rFonts w:ascii="Calibri" w:hAnsi="Calibri"/>
      <w:i/>
      <w:iCs/>
      <w:sz w:val="24"/>
      <w:szCs w:val="24"/>
      <w:lang w:val="en-GB"/>
    </w:rPr>
  </w:style>
  <w:style w:type="character" w:customStyle="1" w:styleId="Kop9Char">
    <w:name w:val="Kop 9 Char"/>
    <w:link w:val="Kop9"/>
    <w:uiPriority w:val="9"/>
    <w:semiHidden/>
    <w:rsid w:val="00ED0B1E"/>
    <w:rPr>
      <w:rFonts w:ascii="Cambria" w:hAnsi="Cambria"/>
      <w:sz w:val="22"/>
      <w:szCs w:val="22"/>
      <w:lang w:val="en-GB"/>
    </w:rPr>
  </w:style>
  <w:style w:type="character" w:styleId="GevolgdeHyperlink">
    <w:name w:val="FollowedHyperlink"/>
    <w:uiPriority w:val="99"/>
    <w:semiHidden/>
    <w:unhideWhenUsed/>
    <w:rsid w:val="00F8634A"/>
    <w:rPr>
      <w:color w:val="800080"/>
      <w:u w:val="single"/>
    </w:rPr>
  </w:style>
  <w:style w:type="character" w:styleId="Nadruk">
    <w:name w:val="Emphasis"/>
    <w:basedOn w:val="Standaardalinea-lettertype"/>
    <w:uiPriority w:val="20"/>
    <w:qFormat/>
    <w:rsid w:val="000B5D4A"/>
    <w:rPr>
      <w:i/>
      <w:iCs/>
    </w:rPr>
  </w:style>
  <w:style w:type="character" w:customStyle="1" w:styleId="ol1">
    <w:name w:val="ol1"/>
    <w:basedOn w:val="Standaardalinea-lettertype"/>
    <w:rsid w:val="000B5D4A"/>
  </w:style>
  <w:style w:type="paragraph" w:customStyle="1" w:styleId="labeled2">
    <w:name w:val="labeled2"/>
    <w:basedOn w:val="Standaard"/>
    <w:rsid w:val="000B5D4A"/>
    <w:pPr>
      <w:spacing w:line="240" w:lineRule="auto"/>
      <w:ind w:left="1200" w:firstLine="0"/>
    </w:pPr>
    <w:rPr>
      <w:rFonts w:ascii="Times New Roman" w:hAnsi="Times New Roman"/>
      <w:sz w:val="24"/>
      <w:lang w:val="nl-NL"/>
    </w:rPr>
  </w:style>
  <w:style w:type="paragraph" w:styleId="Lijstalinea">
    <w:name w:val="List Paragraph"/>
    <w:basedOn w:val="Standaard"/>
    <w:uiPriority w:val="99"/>
    <w:qFormat/>
    <w:rsid w:val="004560C1"/>
    <w:pPr>
      <w:spacing w:after="200" w:line="276" w:lineRule="auto"/>
      <w:ind w:left="720" w:firstLine="0"/>
      <w:contextualSpacing/>
    </w:pPr>
    <w:rPr>
      <w:rFonts w:ascii="Calibri" w:hAnsi="Calibri"/>
      <w:sz w:val="22"/>
      <w:szCs w:val="22"/>
      <w:lang w:val="nl-NL"/>
    </w:rPr>
  </w:style>
  <w:style w:type="character" w:customStyle="1" w:styleId="emph-i">
    <w:name w:val="emph-i"/>
    <w:basedOn w:val="Standaardalinea-lettertype"/>
    <w:rsid w:val="00E472A5"/>
  </w:style>
  <w:style w:type="character" w:customStyle="1" w:styleId="apple-converted-space">
    <w:name w:val="apple-converted-space"/>
    <w:basedOn w:val="Standaardalinea-lettertype"/>
    <w:rsid w:val="00E472A5"/>
  </w:style>
  <w:style w:type="character" w:customStyle="1" w:styleId="st1">
    <w:name w:val="st1"/>
    <w:basedOn w:val="Standaardalinea-lettertype"/>
    <w:rsid w:val="003E1069"/>
  </w:style>
  <w:style w:type="paragraph" w:styleId="Revisie">
    <w:name w:val="Revision"/>
    <w:hidden/>
    <w:uiPriority w:val="99"/>
    <w:semiHidden/>
    <w:rsid w:val="00206A3B"/>
    <w:rPr>
      <w:rFonts w:ascii="Arial" w:hAnsi="Arial"/>
      <w:szCs w:val="24"/>
      <w:lang w:val="en-GB"/>
    </w:rPr>
  </w:style>
  <w:style w:type="paragraph" w:styleId="Normaalweb">
    <w:name w:val="Normal (Web)"/>
    <w:basedOn w:val="Standaard"/>
    <w:uiPriority w:val="99"/>
    <w:semiHidden/>
    <w:unhideWhenUsed/>
    <w:rsid w:val="00D1524A"/>
    <w:pPr>
      <w:spacing w:after="150" w:line="240" w:lineRule="auto"/>
      <w:ind w:firstLine="0"/>
    </w:pPr>
    <w:rPr>
      <w:rFonts w:ascii="Times New Roman" w:hAnsi="Times New Roman"/>
      <w:sz w:val="24"/>
      <w:lang w:val="nl-NL"/>
    </w:rPr>
  </w:style>
  <w:style w:type="paragraph" w:customStyle="1" w:styleId="Char1CharCharCarCarCarCarCarCarCarCarCarCar">
    <w:name w:val="Char1 Char Char Car Car Car Car Car Car Car Car Car Car"/>
    <w:basedOn w:val="Standaard"/>
    <w:next w:val="Standaard"/>
    <w:link w:val="Voetnootmarkering"/>
    <w:uiPriority w:val="99"/>
    <w:rsid w:val="00D125F2"/>
    <w:pPr>
      <w:spacing w:after="160" w:line="240" w:lineRule="exact"/>
      <w:ind w:firstLine="0"/>
    </w:pPr>
    <w:rPr>
      <w:rFonts w:ascii="Times New Roman" w:hAnsi="Times New Roman"/>
      <w:szCs w:val="20"/>
      <w:vertAlign w:val="superscript"/>
      <w:lang w:val="nl-NL"/>
    </w:rPr>
  </w:style>
  <w:style w:type="character" w:customStyle="1" w:styleId="VoettekstChar">
    <w:name w:val="Voettekst Char"/>
    <w:basedOn w:val="Standaardalinea-lettertype"/>
    <w:link w:val="Voettekst"/>
    <w:uiPriority w:val="99"/>
    <w:rsid w:val="00393BD8"/>
    <w:rPr>
      <w:rFonts w:ascii="Arial" w:hAnsi="Arial"/>
      <w:szCs w:val="24"/>
      <w:lang w:val="en-GB"/>
    </w:rPr>
  </w:style>
  <w:style w:type="paragraph" w:customStyle="1" w:styleId="tussenkop">
    <w:name w:val="tussenkop"/>
    <w:basedOn w:val="Standaard"/>
    <w:uiPriority w:val="99"/>
    <w:semiHidden/>
    <w:rsid w:val="00D83B9B"/>
    <w:pPr>
      <w:spacing w:after="150" w:line="240" w:lineRule="auto"/>
      <w:ind w:firstLine="0"/>
    </w:pPr>
    <w:rPr>
      <w:rFonts w:ascii="Times New Roman" w:eastAsiaTheme="minorHAnsi" w:hAnsi="Times New Roman"/>
      <w:sz w:val="24"/>
      <w:lang w:val="nl-NL"/>
    </w:rPr>
  </w:style>
  <w:style w:type="character" w:styleId="Zwaar">
    <w:name w:val="Strong"/>
    <w:basedOn w:val="Standaardalinea-lettertype"/>
    <w:uiPriority w:val="22"/>
    <w:qFormat/>
    <w:rsid w:val="00D83B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94607">
      <w:bodyDiv w:val="1"/>
      <w:marLeft w:val="0"/>
      <w:marRight w:val="0"/>
      <w:marTop w:val="0"/>
      <w:marBottom w:val="0"/>
      <w:divBdr>
        <w:top w:val="none" w:sz="0" w:space="0" w:color="auto"/>
        <w:left w:val="none" w:sz="0" w:space="0" w:color="auto"/>
        <w:bottom w:val="none" w:sz="0" w:space="0" w:color="auto"/>
        <w:right w:val="none" w:sz="0" w:space="0" w:color="auto"/>
      </w:divBdr>
    </w:div>
    <w:div w:id="127358058">
      <w:bodyDiv w:val="1"/>
      <w:marLeft w:val="0"/>
      <w:marRight w:val="0"/>
      <w:marTop w:val="0"/>
      <w:marBottom w:val="0"/>
      <w:divBdr>
        <w:top w:val="none" w:sz="0" w:space="0" w:color="auto"/>
        <w:left w:val="none" w:sz="0" w:space="0" w:color="auto"/>
        <w:bottom w:val="none" w:sz="0" w:space="0" w:color="auto"/>
        <w:right w:val="none" w:sz="0" w:space="0" w:color="auto"/>
      </w:divBdr>
    </w:div>
    <w:div w:id="209539260">
      <w:bodyDiv w:val="1"/>
      <w:marLeft w:val="0"/>
      <w:marRight w:val="0"/>
      <w:marTop w:val="0"/>
      <w:marBottom w:val="0"/>
      <w:divBdr>
        <w:top w:val="none" w:sz="0" w:space="0" w:color="auto"/>
        <w:left w:val="none" w:sz="0" w:space="0" w:color="auto"/>
        <w:bottom w:val="none" w:sz="0" w:space="0" w:color="auto"/>
        <w:right w:val="none" w:sz="0" w:space="0" w:color="auto"/>
      </w:divBdr>
      <w:divsChild>
        <w:div w:id="991910748">
          <w:marLeft w:val="0"/>
          <w:marRight w:val="0"/>
          <w:marTop w:val="0"/>
          <w:marBottom w:val="0"/>
          <w:divBdr>
            <w:top w:val="none" w:sz="0" w:space="0" w:color="auto"/>
            <w:left w:val="none" w:sz="0" w:space="0" w:color="auto"/>
            <w:bottom w:val="none" w:sz="0" w:space="0" w:color="auto"/>
            <w:right w:val="none" w:sz="0" w:space="0" w:color="auto"/>
          </w:divBdr>
          <w:divsChild>
            <w:div w:id="630019757">
              <w:marLeft w:val="0"/>
              <w:marRight w:val="0"/>
              <w:marTop w:val="0"/>
              <w:marBottom w:val="0"/>
              <w:divBdr>
                <w:top w:val="none" w:sz="0" w:space="0" w:color="auto"/>
                <w:left w:val="none" w:sz="0" w:space="0" w:color="auto"/>
                <w:bottom w:val="none" w:sz="0" w:space="0" w:color="auto"/>
                <w:right w:val="none" w:sz="0" w:space="0" w:color="auto"/>
              </w:divBdr>
              <w:divsChild>
                <w:div w:id="870142109">
                  <w:marLeft w:val="0"/>
                  <w:marRight w:val="0"/>
                  <w:marTop w:val="0"/>
                  <w:marBottom w:val="0"/>
                  <w:divBdr>
                    <w:top w:val="none" w:sz="0" w:space="0" w:color="auto"/>
                    <w:left w:val="none" w:sz="0" w:space="0" w:color="auto"/>
                    <w:bottom w:val="none" w:sz="0" w:space="0" w:color="auto"/>
                    <w:right w:val="none" w:sz="0" w:space="0" w:color="auto"/>
                  </w:divBdr>
                  <w:divsChild>
                    <w:div w:id="34159825">
                      <w:marLeft w:val="0"/>
                      <w:marRight w:val="0"/>
                      <w:marTop w:val="0"/>
                      <w:marBottom w:val="0"/>
                      <w:divBdr>
                        <w:top w:val="none" w:sz="0" w:space="0" w:color="auto"/>
                        <w:left w:val="none" w:sz="0" w:space="0" w:color="auto"/>
                        <w:bottom w:val="none" w:sz="0" w:space="0" w:color="auto"/>
                        <w:right w:val="none" w:sz="0" w:space="0" w:color="auto"/>
                      </w:divBdr>
                      <w:divsChild>
                        <w:div w:id="1780300604">
                          <w:marLeft w:val="0"/>
                          <w:marRight w:val="0"/>
                          <w:marTop w:val="0"/>
                          <w:marBottom w:val="0"/>
                          <w:divBdr>
                            <w:top w:val="none" w:sz="0" w:space="0" w:color="auto"/>
                            <w:left w:val="none" w:sz="0" w:space="0" w:color="auto"/>
                            <w:bottom w:val="none" w:sz="0" w:space="0" w:color="auto"/>
                            <w:right w:val="none" w:sz="0" w:space="0" w:color="auto"/>
                          </w:divBdr>
                          <w:divsChild>
                            <w:div w:id="119418856">
                              <w:marLeft w:val="0"/>
                              <w:marRight w:val="0"/>
                              <w:marTop w:val="0"/>
                              <w:marBottom w:val="0"/>
                              <w:divBdr>
                                <w:top w:val="none" w:sz="0" w:space="0" w:color="auto"/>
                                <w:left w:val="none" w:sz="0" w:space="0" w:color="auto"/>
                                <w:bottom w:val="none" w:sz="0" w:space="0" w:color="auto"/>
                                <w:right w:val="none" w:sz="0" w:space="0" w:color="auto"/>
                              </w:divBdr>
                              <w:divsChild>
                                <w:div w:id="1063723551">
                                  <w:marLeft w:val="0"/>
                                  <w:marRight w:val="0"/>
                                  <w:marTop w:val="0"/>
                                  <w:marBottom w:val="0"/>
                                  <w:divBdr>
                                    <w:top w:val="none" w:sz="0" w:space="0" w:color="auto"/>
                                    <w:left w:val="none" w:sz="0" w:space="0" w:color="auto"/>
                                    <w:bottom w:val="none" w:sz="0" w:space="0" w:color="auto"/>
                                    <w:right w:val="none" w:sz="0" w:space="0" w:color="auto"/>
                                  </w:divBdr>
                                  <w:divsChild>
                                    <w:div w:id="913854438">
                                      <w:marLeft w:val="0"/>
                                      <w:marRight w:val="0"/>
                                      <w:marTop w:val="240"/>
                                      <w:marBottom w:val="0"/>
                                      <w:divBdr>
                                        <w:top w:val="none" w:sz="0" w:space="0" w:color="auto"/>
                                        <w:left w:val="none" w:sz="0" w:space="0" w:color="auto"/>
                                        <w:bottom w:val="none" w:sz="0" w:space="0" w:color="auto"/>
                                        <w:right w:val="none" w:sz="0" w:space="0" w:color="auto"/>
                                      </w:divBdr>
                                    </w:div>
                                    <w:div w:id="92518959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0131546">
      <w:bodyDiv w:val="1"/>
      <w:marLeft w:val="0"/>
      <w:marRight w:val="0"/>
      <w:marTop w:val="0"/>
      <w:marBottom w:val="0"/>
      <w:divBdr>
        <w:top w:val="none" w:sz="0" w:space="0" w:color="auto"/>
        <w:left w:val="none" w:sz="0" w:space="0" w:color="auto"/>
        <w:bottom w:val="none" w:sz="0" w:space="0" w:color="auto"/>
        <w:right w:val="none" w:sz="0" w:space="0" w:color="auto"/>
      </w:divBdr>
      <w:divsChild>
        <w:div w:id="1330325324">
          <w:marLeft w:val="150"/>
          <w:marRight w:val="0"/>
          <w:marTop w:val="0"/>
          <w:marBottom w:val="0"/>
          <w:divBdr>
            <w:top w:val="none" w:sz="0" w:space="0" w:color="auto"/>
            <w:left w:val="none" w:sz="0" w:space="0" w:color="auto"/>
            <w:bottom w:val="none" w:sz="0" w:space="0" w:color="auto"/>
            <w:right w:val="none" w:sz="0" w:space="0" w:color="auto"/>
          </w:divBdr>
          <w:divsChild>
            <w:div w:id="1527795669">
              <w:marLeft w:val="0"/>
              <w:marRight w:val="0"/>
              <w:marTop w:val="0"/>
              <w:marBottom w:val="0"/>
              <w:divBdr>
                <w:top w:val="none" w:sz="0" w:space="0" w:color="auto"/>
                <w:left w:val="none" w:sz="0" w:space="0" w:color="auto"/>
                <w:bottom w:val="none" w:sz="0" w:space="0" w:color="auto"/>
                <w:right w:val="none" w:sz="0" w:space="0" w:color="auto"/>
              </w:divBdr>
              <w:divsChild>
                <w:div w:id="9797323">
                  <w:marLeft w:val="0"/>
                  <w:marRight w:val="0"/>
                  <w:marTop w:val="0"/>
                  <w:marBottom w:val="0"/>
                  <w:divBdr>
                    <w:top w:val="none" w:sz="0" w:space="0" w:color="auto"/>
                    <w:left w:val="none" w:sz="0" w:space="0" w:color="auto"/>
                    <w:bottom w:val="none" w:sz="0" w:space="0" w:color="auto"/>
                    <w:right w:val="none" w:sz="0" w:space="0" w:color="auto"/>
                  </w:divBdr>
                  <w:divsChild>
                    <w:div w:id="1956213127">
                      <w:marLeft w:val="0"/>
                      <w:marRight w:val="0"/>
                      <w:marTop w:val="0"/>
                      <w:marBottom w:val="0"/>
                      <w:divBdr>
                        <w:top w:val="none" w:sz="0" w:space="0" w:color="auto"/>
                        <w:left w:val="none" w:sz="0" w:space="0" w:color="auto"/>
                        <w:bottom w:val="none" w:sz="0" w:space="0" w:color="auto"/>
                        <w:right w:val="none" w:sz="0" w:space="0" w:color="auto"/>
                      </w:divBdr>
                      <w:divsChild>
                        <w:div w:id="1448506743">
                          <w:marLeft w:val="0"/>
                          <w:marRight w:val="0"/>
                          <w:marTop w:val="0"/>
                          <w:marBottom w:val="0"/>
                          <w:divBdr>
                            <w:top w:val="none" w:sz="0" w:space="0" w:color="auto"/>
                            <w:left w:val="none" w:sz="0" w:space="0" w:color="auto"/>
                            <w:bottom w:val="none" w:sz="0" w:space="0" w:color="auto"/>
                            <w:right w:val="none" w:sz="0" w:space="0" w:color="auto"/>
                          </w:divBdr>
                          <w:divsChild>
                            <w:div w:id="533035402">
                              <w:marLeft w:val="0"/>
                              <w:marRight w:val="0"/>
                              <w:marTop w:val="0"/>
                              <w:marBottom w:val="0"/>
                              <w:divBdr>
                                <w:top w:val="none" w:sz="0" w:space="0" w:color="auto"/>
                                <w:left w:val="none" w:sz="0" w:space="0" w:color="auto"/>
                                <w:bottom w:val="none" w:sz="0" w:space="0" w:color="auto"/>
                                <w:right w:val="none" w:sz="0" w:space="0" w:color="auto"/>
                              </w:divBdr>
                              <w:divsChild>
                                <w:div w:id="185143548">
                                  <w:marLeft w:val="0"/>
                                  <w:marRight w:val="0"/>
                                  <w:marTop w:val="0"/>
                                  <w:marBottom w:val="0"/>
                                  <w:divBdr>
                                    <w:top w:val="none" w:sz="0" w:space="0" w:color="auto"/>
                                    <w:left w:val="none" w:sz="0" w:space="0" w:color="auto"/>
                                    <w:bottom w:val="none" w:sz="0" w:space="0" w:color="auto"/>
                                    <w:right w:val="none" w:sz="0" w:space="0" w:color="auto"/>
                                  </w:divBdr>
                                  <w:divsChild>
                                    <w:div w:id="1226332110">
                                      <w:marLeft w:val="0"/>
                                      <w:marRight w:val="0"/>
                                      <w:marTop w:val="0"/>
                                      <w:marBottom w:val="0"/>
                                      <w:divBdr>
                                        <w:top w:val="none" w:sz="0" w:space="0" w:color="auto"/>
                                        <w:left w:val="none" w:sz="0" w:space="0" w:color="auto"/>
                                        <w:bottom w:val="none" w:sz="0" w:space="0" w:color="auto"/>
                                        <w:right w:val="none" w:sz="0" w:space="0" w:color="auto"/>
                                      </w:divBdr>
                                      <w:divsChild>
                                        <w:div w:id="1587106360">
                                          <w:marLeft w:val="0"/>
                                          <w:marRight w:val="0"/>
                                          <w:marTop w:val="0"/>
                                          <w:marBottom w:val="0"/>
                                          <w:divBdr>
                                            <w:top w:val="none" w:sz="0" w:space="0" w:color="auto"/>
                                            <w:left w:val="none" w:sz="0" w:space="0" w:color="auto"/>
                                            <w:bottom w:val="none" w:sz="0" w:space="0" w:color="auto"/>
                                            <w:right w:val="none" w:sz="0" w:space="0" w:color="auto"/>
                                          </w:divBdr>
                                          <w:divsChild>
                                            <w:div w:id="653291110">
                                              <w:marLeft w:val="0"/>
                                              <w:marRight w:val="0"/>
                                              <w:marTop w:val="0"/>
                                              <w:marBottom w:val="0"/>
                                              <w:divBdr>
                                                <w:top w:val="none" w:sz="0" w:space="0" w:color="auto"/>
                                                <w:left w:val="none" w:sz="0" w:space="0" w:color="auto"/>
                                                <w:bottom w:val="none" w:sz="0" w:space="0" w:color="auto"/>
                                                <w:right w:val="none" w:sz="0" w:space="0" w:color="auto"/>
                                              </w:divBdr>
                                              <w:divsChild>
                                                <w:div w:id="623195377">
                                                  <w:marLeft w:val="0"/>
                                                  <w:marRight w:val="0"/>
                                                  <w:marTop w:val="0"/>
                                                  <w:marBottom w:val="0"/>
                                                  <w:divBdr>
                                                    <w:top w:val="none" w:sz="0" w:space="0" w:color="auto"/>
                                                    <w:left w:val="none" w:sz="0" w:space="0" w:color="auto"/>
                                                    <w:bottom w:val="none" w:sz="0" w:space="0" w:color="auto"/>
                                                    <w:right w:val="none" w:sz="0" w:space="0" w:color="auto"/>
                                                  </w:divBdr>
                                                  <w:divsChild>
                                                    <w:div w:id="61579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0962063">
      <w:bodyDiv w:val="1"/>
      <w:marLeft w:val="0"/>
      <w:marRight w:val="0"/>
      <w:marTop w:val="0"/>
      <w:marBottom w:val="0"/>
      <w:divBdr>
        <w:top w:val="none" w:sz="0" w:space="0" w:color="auto"/>
        <w:left w:val="none" w:sz="0" w:space="0" w:color="auto"/>
        <w:bottom w:val="none" w:sz="0" w:space="0" w:color="auto"/>
        <w:right w:val="none" w:sz="0" w:space="0" w:color="auto"/>
      </w:divBdr>
      <w:divsChild>
        <w:div w:id="2091274593">
          <w:marLeft w:val="150"/>
          <w:marRight w:val="0"/>
          <w:marTop w:val="0"/>
          <w:marBottom w:val="0"/>
          <w:divBdr>
            <w:top w:val="none" w:sz="0" w:space="0" w:color="auto"/>
            <w:left w:val="none" w:sz="0" w:space="0" w:color="auto"/>
            <w:bottom w:val="none" w:sz="0" w:space="0" w:color="auto"/>
            <w:right w:val="none" w:sz="0" w:space="0" w:color="auto"/>
          </w:divBdr>
          <w:divsChild>
            <w:div w:id="748576594">
              <w:marLeft w:val="0"/>
              <w:marRight w:val="0"/>
              <w:marTop w:val="0"/>
              <w:marBottom w:val="0"/>
              <w:divBdr>
                <w:top w:val="none" w:sz="0" w:space="0" w:color="auto"/>
                <w:left w:val="none" w:sz="0" w:space="0" w:color="auto"/>
                <w:bottom w:val="none" w:sz="0" w:space="0" w:color="auto"/>
                <w:right w:val="none" w:sz="0" w:space="0" w:color="auto"/>
              </w:divBdr>
              <w:divsChild>
                <w:div w:id="1935817169">
                  <w:marLeft w:val="0"/>
                  <w:marRight w:val="0"/>
                  <w:marTop w:val="0"/>
                  <w:marBottom w:val="0"/>
                  <w:divBdr>
                    <w:top w:val="none" w:sz="0" w:space="0" w:color="auto"/>
                    <w:left w:val="none" w:sz="0" w:space="0" w:color="auto"/>
                    <w:bottom w:val="none" w:sz="0" w:space="0" w:color="auto"/>
                    <w:right w:val="none" w:sz="0" w:space="0" w:color="auto"/>
                  </w:divBdr>
                  <w:divsChild>
                    <w:div w:id="612858331">
                      <w:marLeft w:val="0"/>
                      <w:marRight w:val="0"/>
                      <w:marTop w:val="0"/>
                      <w:marBottom w:val="0"/>
                      <w:divBdr>
                        <w:top w:val="none" w:sz="0" w:space="0" w:color="auto"/>
                        <w:left w:val="none" w:sz="0" w:space="0" w:color="auto"/>
                        <w:bottom w:val="none" w:sz="0" w:space="0" w:color="auto"/>
                        <w:right w:val="none" w:sz="0" w:space="0" w:color="auto"/>
                      </w:divBdr>
                      <w:divsChild>
                        <w:div w:id="1597058038">
                          <w:marLeft w:val="0"/>
                          <w:marRight w:val="0"/>
                          <w:marTop w:val="0"/>
                          <w:marBottom w:val="0"/>
                          <w:divBdr>
                            <w:top w:val="none" w:sz="0" w:space="0" w:color="auto"/>
                            <w:left w:val="none" w:sz="0" w:space="0" w:color="auto"/>
                            <w:bottom w:val="none" w:sz="0" w:space="0" w:color="auto"/>
                            <w:right w:val="none" w:sz="0" w:space="0" w:color="auto"/>
                          </w:divBdr>
                          <w:divsChild>
                            <w:div w:id="702097286">
                              <w:marLeft w:val="0"/>
                              <w:marRight w:val="0"/>
                              <w:marTop w:val="0"/>
                              <w:marBottom w:val="0"/>
                              <w:divBdr>
                                <w:top w:val="none" w:sz="0" w:space="0" w:color="auto"/>
                                <w:left w:val="none" w:sz="0" w:space="0" w:color="auto"/>
                                <w:bottom w:val="none" w:sz="0" w:space="0" w:color="auto"/>
                                <w:right w:val="none" w:sz="0" w:space="0" w:color="auto"/>
                              </w:divBdr>
                              <w:divsChild>
                                <w:div w:id="179857800">
                                  <w:marLeft w:val="0"/>
                                  <w:marRight w:val="0"/>
                                  <w:marTop w:val="0"/>
                                  <w:marBottom w:val="0"/>
                                  <w:divBdr>
                                    <w:top w:val="none" w:sz="0" w:space="0" w:color="auto"/>
                                    <w:left w:val="none" w:sz="0" w:space="0" w:color="auto"/>
                                    <w:bottom w:val="none" w:sz="0" w:space="0" w:color="auto"/>
                                    <w:right w:val="none" w:sz="0" w:space="0" w:color="auto"/>
                                  </w:divBdr>
                                  <w:divsChild>
                                    <w:div w:id="1357775946">
                                      <w:marLeft w:val="0"/>
                                      <w:marRight w:val="0"/>
                                      <w:marTop w:val="0"/>
                                      <w:marBottom w:val="0"/>
                                      <w:divBdr>
                                        <w:top w:val="none" w:sz="0" w:space="0" w:color="auto"/>
                                        <w:left w:val="none" w:sz="0" w:space="0" w:color="auto"/>
                                        <w:bottom w:val="none" w:sz="0" w:space="0" w:color="auto"/>
                                        <w:right w:val="none" w:sz="0" w:space="0" w:color="auto"/>
                                      </w:divBdr>
                                      <w:divsChild>
                                        <w:div w:id="94441552">
                                          <w:marLeft w:val="0"/>
                                          <w:marRight w:val="0"/>
                                          <w:marTop w:val="0"/>
                                          <w:marBottom w:val="0"/>
                                          <w:divBdr>
                                            <w:top w:val="none" w:sz="0" w:space="0" w:color="auto"/>
                                            <w:left w:val="none" w:sz="0" w:space="0" w:color="auto"/>
                                            <w:bottom w:val="none" w:sz="0" w:space="0" w:color="auto"/>
                                            <w:right w:val="none" w:sz="0" w:space="0" w:color="auto"/>
                                          </w:divBdr>
                                          <w:divsChild>
                                            <w:div w:id="724452834">
                                              <w:marLeft w:val="0"/>
                                              <w:marRight w:val="0"/>
                                              <w:marTop w:val="0"/>
                                              <w:marBottom w:val="0"/>
                                              <w:divBdr>
                                                <w:top w:val="none" w:sz="0" w:space="0" w:color="auto"/>
                                                <w:left w:val="none" w:sz="0" w:space="0" w:color="auto"/>
                                                <w:bottom w:val="none" w:sz="0" w:space="0" w:color="auto"/>
                                                <w:right w:val="none" w:sz="0" w:space="0" w:color="auto"/>
                                              </w:divBdr>
                                              <w:divsChild>
                                                <w:div w:id="2091386771">
                                                  <w:marLeft w:val="0"/>
                                                  <w:marRight w:val="0"/>
                                                  <w:marTop w:val="0"/>
                                                  <w:marBottom w:val="0"/>
                                                  <w:divBdr>
                                                    <w:top w:val="none" w:sz="0" w:space="0" w:color="auto"/>
                                                    <w:left w:val="none" w:sz="0" w:space="0" w:color="auto"/>
                                                    <w:bottom w:val="none" w:sz="0" w:space="0" w:color="auto"/>
                                                    <w:right w:val="none" w:sz="0" w:space="0" w:color="auto"/>
                                                  </w:divBdr>
                                                  <w:divsChild>
                                                    <w:div w:id="19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8274616">
      <w:bodyDiv w:val="1"/>
      <w:marLeft w:val="0"/>
      <w:marRight w:val="0"/>
      <w:marTop w:val="0"/>
      <w:marBottom w:val="0"/>
      <w:divBdr>
        <w:top w:val="none" w:sz="0" w:space="0" w:color="auto"/>
        <w:left w:val="none" w:sz="0" w:space="0" w:color="auto"/>
        <w:bottom w:val="none" w:sz="0" w:space="0" w:color="auto"/>
        <w:right w:val="none" w:sz="0" w:space="0" w:color="auto"/>
      </w:divBdr>
    </w:div>
    <w:div w:id="600262823">
      <w:bodyDiv w:val="1"/>
      <w:marLeft w:val="0"/>
      <w:marRight w:val="0"/>
      <w:marTop w:val="0"/>
      <w:marBottom w:val="0"/>
      <w:divBdr>
        <w:top w:val="none" w:sz="0" w:space="0" w:color="auto"/>
        <w:left w:val="none" w:sz="0" w:space="0" w:color="auto"/>
        <w:bottom w:val="none" w:sz="0" w:space="0" w:color="auto"/>
        <w:right w:val="none" w:sz="0" w:space="0" w:color="auto"/>
      </w:divBdr>
      <w:divsChild>
        <w:div w:id="1124814077">
          <w:marLeft w:val="0"/>
          <w:marRight w:val="0"/>
          <w:marTop w:val="0"/>
          <w:marBottom w:val="300"/>
          <w:divBdr>
            <w:top w:val="none" w:sz="0" w:space="0" w:color="auto"/>
            <w:left w:val="none" w:sz="0" w:space="0" w:color="auto"/>
            <w:bottom w:val="none" w:sz="0" w:space="0" w:color="auto"/>
            <w:right w:val="none" w:sz="0" w:space="0" w:color="auto"/>
          </w:divBdr>
          <w:divsChild>
            <w:div w:id="2105105816">
              <w:marLeft w:val="0"/>
              <w:marRight w:val="0"/>
              <w:marTop w:val="0"/>
              <w:marBottom w:val="0"/>
              <w:divBdr>
                <w:top w:val="none" w:sz="0" w:space="0" w:color="auto"/>
                <w:left w:val="none" w:sz="0" w:space="0" w:color="auto"/>
                <w:bottom w:val="none" w:sz="0" w:space="0" w:color="auto"/>
                <w:right w:val="none" w:sz="0" w:space="0" w:color="auto"/>
              </w:divBdr>
              <w:divsChild>
                <w:div w:id="1547141022">
                  <w:marLeft w:val="0"/>
                  <w:marRight w:val="0"/>
                  <w:marTop w:val="0"/>
                  <w:marBottom w:val="0"/>
                  <w:divBdr>
                    <w:top w:val="none" w:sz="0" w:space="0" w:color="auto"/>
                    <w:left w:val="none" w:sz="0" w:space="0" w:color="auto"/>
                    <w:bottom w:val="none" w:sz="0" w:space="0" w:color="auto"/>
                    <w:right w:val="none" w:sz="0" w:space="0" w:color="auto"/>
                  </w:divBdr>
                  <w:divsChild>
                    <w:div w:id="2032486434">
                      <w:marLeft w:val="0"/>
                      <w:marRight w:val="0"/>
                      <w:marTop w:val="0"/>
                      <w:marBottom w:val="0"/>
                      <w:divBdr>
                        <w:top w:val="none" w:sz="0" w:space="0" w:color="auto"/>
                        <w:left w:val="none" w:sz="0" w:space="0" w:color="auto"/>
                        <w:bottom w:val="none" w:sz="0" w:space="0" w:color="auto"/>
                        <w:right w:val="none" w:sz="0" w:space="0" w:color="auto"/>
                      </w:divBdr>
                      <w:divsChild>
                        <w:div w:id="1981573477">
                          <w:marLeft w:val="0"/>
                          <w:marRight w:val="0"/>
                          <w:marTop w:val="0"/>
                          <w:marBottom w:val="0"/>
                          <w:divBdr>
                            <w:top w:val="none" w:sz="0" w:space="0" w:color="auto"/>
                            <w:left w:val="none" w:sz="0" w:space="0" w:color="auto"/>
                            <w:bottom w:val="none" w:sz="0" w:space="0" w:color="auto"/>
                            <w:right w:val="none" w:sz="0" w:space="0" w:color="auto"/>
                          </w:divBdr>
                          <w:divsChild>
                            <w:div w:id="138012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1188721">
      <w:bodyDiv w:val="1"/>
      <w:marLeft w:val="0"/>
      <w:marRight w:val="0"/>
      <w:marTop w:val="0"/>
      <w:marBottom w:val="0"/>
      <w:divBdr>
        <w:top w:val="none" w:sz="0" w:space="0" w:color="auto"/>
        <w:left w:val="none" w:sz="0" w:space="0" w:color="auto"/>
        <w:bottom w:val="none" w:sz="0" w:space="0" w:color="auto"/>
        <w:right w:val="none" w:sz="0" w:space="0" w:color="auto"/>
      </w:divBdr>
      <w:divsChild>
        <w:div w:id="480662389">
          <w:marLeft w:val="0"/>
          <w:marRight w:val="0"/>
          <w:marTop w:val="135"/>
          <w:marBottom w:val="135"/>
          <w:divBdr>
            <w:top w:val="none" w:sz="0" w:space="0" w:color="auto"/>
            <w:left w:val="none" w:sz="0" w:space="0" w:color="auto"/>
            <w:bottom w:val="none" w:sz="0" w:space="0" w:color="auto"/>
            <w:right w:val="none" w:sz="0" w:space="0" w:color="auto"/>
          </w:divBdr>
        </w:div>
        <w:div w:id="1137991833">
          <w:marLeft w:val="0"/>
          <w:marRight w:val="0"/>
          <w:marTop w:val="135"/>
          <w:marBottom w:val="135"/>
          <w:divBdr>
            <w:top w:val="none" w:sz="0" w:space="0" w:color="auto"/>
            <w:left w:val="none" w:sz="0" w:space="0" w:color="auto"/>
            <w:bottom w:val="none" w:sz="0" w:space="0" w:color="auto"/>
            <w:right w:val="none" w:sz="0" w:space="0" w:color="auto"/>
          </w:divBdr>
        </w:div>
        <w:div w:id="1351762551">
          <w:marLeft w:val="0"/>
          <w:marRight w:val="0"/>
          <w:marTop w:val="135"/>
          <w:marBottom w:val="135"/>
          <w:divBdr>
            <w:top w:val="none" w:sz="0" w:space="0" w:color="auto"/>
            <w:left w:val="none" w:sz="0" w:space="0" w:color="auto"/>
            <w:bottom w:val="none" w:sz="0" w:space="0" w:color="auto"/>
            <w:right w:val="none" w:sz="0" w:space="0" w:color="auto"/>
          </w:divBdr>
        </w:div>
        <w:div w:id="1608998459">
          <w:marLeft w:val="0"/>
          <w:marRight w:val="0"/>
          <w:marTop w:val="135"/>
          <w:marBottom w:val="135"/>
          <w:divBdr>
            <w:top w:val="none" w:sz="0" w:space="0" w:color="auto"/>
            <w:left w:val="none" w:sz="0" w:space="0" w:color="auto"/>
            <w:bottom w:val="none" w:sz="0" w:space="0" w:color="auto"/>
            <w:right w:val="none" w:sz="0" w:space="0" w:color="auto"/>
          </w:divBdr>
        </w:div>
        <w:div w:id="1828782382">
          <w:marLeft w:val="0"/>
          <w:marRight w:val="0"/>
          <w:marTop w:val="135"/>
          <w:marBottom w:val="135"/>
          <w:divBdr>
            <w:top w:val="none" w:sz="0" w:space="0" w:color="auto"/>
            <w:left w:val="none" w:sz="0" w:space="0" w:color="auto"/>
            <w:bottom w:val="none" w:sz="0" w:space="0" w:color="auto"/>
            <w:right w:val="none" w:sz="0" w:space="0" w:color="auto"/>
          </w:divBdr>
        </w:div>
      </w:divsChild>
    </w:div>
    <w:div w:id="605237019">
      <w:bodyDiv w:val="1"/>
      <w:marLeft w:val="0"/>
      <w:marRight w:val="0"/>
      <w:marTop w:val="0"/>
      <w:marBottom w:val="0"/>
      <w:divBdr>
        <w:top w:val="none" w:sz="0" w:space="0" w:color="auto"/>
        <w:left w:val="none" w:sz="0" w:space="0" w:color="auto"/>
        <w:bottom w:val="none" w:sz="0" w:space="0" w:color="auto"/>
        <w:right w:val="none" w:sz="0" w:space="0" w:color="auto"/>
      </w:divBdr>
    </w:div>
    <w:div w:id="745766726">
      <w:bodyDiv w:val="1"/>
      <w:marLeft w:val="0"/>
      <w:marRight w:val="0"/>
      <w:marTop w:val="0"/>
      <w:marBottom w:val="0"/>
      <w:divBdr>
        <w:top w:val="none" w:sz="0" w:space="0" w:color="auto"/>
        <w:left w:val="none" w:sz="0" w:space="0" w:color="auto"/>
        <w:bottom w:val="none" w:sz="0" w:space="0" w:color="auto"/>
        <w:right w:val="none" w:sz="0" w:space="0" w:color="auto"/>
      </w:divBdr>
    </w:div>
    <w:div w:id="779642851">
      <w:bodyDiv w:val="1"/>
      <w:marLeft w:val="0"/>
      <w:marRight w:val="0"/>
      <w:marTop w:val="0"/>
      <w:marBottom w:val="0"/>
      <w:divBdr>
        <w:top w:val="none" w:sz="0" w:space="0" w:color="auto"/>
        <w:left w:val="none" w:sz="0" w:space="0" w:color="auto"/>
        <w:bottom w:val="none" w:sz="0" w:space="0" w:color="auto"/>
        <w:right w:val="none" w:sz="0" w:space="0" w:color="auto"/>
      </w:divBdr>
    </w:div>
    <w:div w:id="783312173">
      <w:bodyDiv w:val="1"/>
      <w:marLeft w:val="0"/>
      <w:marRight w:val="0"/>
      <w:marTop w:val="0"/>
      <w:marBottom w:val="0"/>
      <w:divBdr>
        <w:top w:val="none" w:sz="0" w:space="0" w:color="auto"/>
        <w:left w:val="none" w:sz="0" w:space="0" w:color="auto"/>
        <w:bottom w:val="none" w:sz="0" w:space="0" w:color="auto"/>
        <w:right w:val="none" w:sz="0" w:space="0" w:color="auto"/>
      </w:divBdr>
    </w:div>
    <w:div w:id="857813815">
      <w:bodyDiv w:val="1"/>
      <w:marLeft w:val="0"/>
      <w:marRight w:val="0"/>
      <w:marTop w:val="0"/>
      <w:marBottom w:val="0"/>
      <w:divBdr>
        <w:top w:val="none" w:sz="0" w:space="0" w:color="auto"/>
        <w:left w:val="none" w:sz="0" w:space="0" w:color="auto"/>
        <w:bottom w:val="none" w:sz="0" w:space="0" w:color="auto"/>
        <w:right w:val="none" w:sz="0" w:space="0" w:color="auto"/>
      </w:divBdr>
    </w:div>
    <w:div w:id="1115248708">
      <w:bodyDiv w:val="1"/>
      <w:marLeft w:val="0"/>
      <w:marRight w:val="0"/>
      <w:marTop w:val="0"/>
      <w:marBottom w:val="0"/>
      <w:divBdr>
        <w:top w:val="none" w:sz="0" w:space="0" w:color="auto"/>
        <w:left w:val="none" w:sz="0" w:space="0" w:color="auto"/>
        <w:bottom w:val="none" w:sz="0" w:space="0" w:color="auto"/>
        <w:right w:val="none" w:sz="0" w:space="0" w:color="auto"/>
      </w:divBdr>
      <w:divsChild>
        <w:div w:id="1579557605">
          <w:marLeft w:val="150"/>
          <w:marRight w:val="0"/>
          <w:marTop w:val="0"/>
          <w:marBottom w:val="0"/>
          <w:divBdr>
            <w:top w:val="none" w:sz="0" w:space="0" w:color="auto"/>
            <w:left w:val="none" w:sz="0" w:space="0" w:color="auto"/>
            <w:bottom w:val="none" w:sz="0" w:space="0" w:color="auto"/>
            <w:right w:val="none" w:sz="0" w:space="0" w:color="auto"/>
          </w:divBdr>
          <w:divsChild>
            <w:div w:id="2082093676">
              <w:marLeft w:val="0"/>
              <w:marRight w:val="0"/>
              <w:marTop w:val="0"/>
              <w:marBottom w:val="0"/>
              <w:divBdr>
                <w:top w:val="none" w:sz="0" w:space="0" w:color="auto"/>
                <w:left w:val="none" w:sz="0" w:space="0" w:color="auto"/>
                <w:bottom w:val="none" w:sz="0" w:space="0" w:color="auto"/>
                <w:right w:val="none" w:sz="0" w:space="0" w:color="auto"/>
              </w:divBdr>
              <w:divsChild>
                <w:div w:id="158154012">
                  <w:marLeft w:val="0"/>
                  <w:marRight w:val="0"/>
                  <w:marTop w:val="0"/>
                  <w:marBottom w:val="0"/>
                  <w:divBdr>
                    <w:top w:val="none" w:sz="0" w:space="0" w:color="auto"/>
                    <w:left w:val="none" w:sz="0" w:space="0" w:color="auto"/>
                    <w:bottom w:val="none" w:sz="0" w:space="0" w:color="auto"/>
                    <w:right w:val="none" w:sz="0" w:space="0" w:color="auto"/>
                  </w:divBdr>
                  <w:divsChild>
                    <w:div w:id="2135127679">
                      <w:marLeft w:val="0"/>
                      <w:marRight w:val="0"/>
                      <w:marTop w:val="0"/>
                      <w:marBottom w:val="0"/>
                      <w:divBdr>
                        <w:top w:val="none" w:sz="0" w:space="0" w:color="auto"/>
                        <w:left w:val="none" w:sz="0" w:space="0" w:color="auto"/>
                        <w:bottom w:val="none" w:sz="0" w:space="0" w:color="auto"/>
                        <w:right w:val="none" w:sz="0" w:space="0" w:color="auto"/>
                      </w:divBdr>
                      <w:divsChild>
                        <w:div w:id="902718164">
                          <w:marLeft w:val="0"/>
                          <w:marRight w:val="0"/>
                          <w:marTop w:val="0"/>
                          <w:marBottom w:val="0"/>
                          <w:divBdr>
                            <w:top w:val="none" w:sz="0" w:space="0" w:color="auto"/>
                            <w:left w:val="none" w:sz="0" w:space="0" w:color="auto"/>
                            <w:bottom w:val="none" w:sz="0" w:space="0" w:color="auto"/>
                            <w:right w:val="none" w:sz="0" w:space="0" w:color="auto"/>
                          </w:divBdr>
                          <w:divsChild>
                            <w:div w:id="957299757">
                              <w:marLeft w:val="0"/>
                              <w:marRight w:val="0"/>
                              <w:marTop w:val="0"/>
                              <w:marBottom w:val="0"/>
                              <w:divBdr>
                                <w:top w:val="none" w:sz="0" w:space="0" w:color="auto"/>
                                <w:left w:val="none" w:sz="0" w:space="0" w:color="auto"/>
                                <w:bottom w:val="none" w:sz="0" w:space="0" w:color="auto"/>
                                <w:right w:val="none" w:sz="0" w:space="0" w:color="auto"/>
                              </w:divBdr>
                              <w:divsChild>
                                <w:div w:id="1218250137">
                                  <w:marLeft w:val="0"/>
                                  <w:marRight w:val="0"/>
                                  <w:marTop w:val="0"/>
                                  <w:marBottom w:val="0"/>
                                  <w:divBdr>
                                    <w:top w:val="none" w:sz="0" w:space="0" w:color="auto"/>
                                    <w:left w:val="none" w:sz="0" w:space="0" w:color="auto"/>
                                    <w:bottom w:val="none" w:sz="0" w:space="0" w:color="auto"/>
                                    <w:right w:val="none" w:sz="0" w:space="0" w:color="auto"/>
                                  </w:divBdr>
                                  <w:divsChild>
                                    <w:div w:id="1385179738">
                                      <w:marLeft w:val="0"/>
                                      <w:marRight w:val="0"/>
                                      <w:marTop w:val="0"/>
                                      <w:marBottom w:val="0"/>
                                      <w:divBdr>
                                        <w:top w:val="none" w:sz="0" w:space="0" w:color="auto"/>
                                        <w:left w:val="none" w:sz="0" w:space="0" w:color="auto"/>
                                        <w:bottom w:val="none" w:sz="0" w:space="0" w:color="auto"/>
                                        <w:right w:val="none" w:sz="0" w:space="0" w:color="auto"/>
                                      </w:divBdr>
                                      <w:divsChild>
                                        <w:div w:id="432017998">
                                          <w:marLeft w:val="0"/>
                                          <w:marRight w:val="0"/>
                                          <w:marTop w:val="0"/>
                                          <w:marBottom w:val="0"/>
                                          <w:divBdr>
                                            <w:top w:val="none" w:sz="0" w:space="0" w:color="auto"/>
                                            <w:left w:val="none" w:sz="0" w:space="0" w:color="auto"/>
                                            <w:bottom w:val="none" w:sz="0" w:space="0" w:color="auto"/>
                                            <w:right w:val="none" w:sz="0" w:space="0" w:color="auto"/>
                                          </w:divBdr>
                                          <w:divsChild>
                                            <w:div w:id="1809398328">
                                              <w:marLeft w:val="0"/>
                                              <w:marRight w:val="0"/>
                                              <w:marTop w:val="0"/>
                                              <w:marBottom w:val="0"/>
                                              <w:divBdr>
                                                <w:top w:val="none" w:sz="0" w:space="0" w:color="auto"/>
                                                <w:left w:val="none" w:sz="0" w:space="0" w:color="auto"/>
                                                <w:bottom w:val="none" w:sz="0" w:space="0" w:color="auto"/>
                                                <w:right w:val="none" w:sz="0" w:space="0" w:color="auto"/>
                                              </w:divBdr>
                                              <w:divsChild>
                                                <w:div w:id="917134635">
                                                  <w:marLeft w:val="0"/>
                                                  <w:marRight w:val="0"/>
                                                  <w:marTop w:val="0"/>
                                                  <w:marBottom w:val="0"/>
                                                  <w:divBdr>
                                                    <w:top w:val="none" w:sz="0" w:space="0" w:color="auto"/>
                                                    <w:left w:val="none" w:sz="0" w:space="0" w:color="auto"/>
                                                    <w:bottom w:val="none" w:sz="0" w:space="0" w:color="auto"/>
                                                    <w:right w:val="none" w:sz="0" w:space="0" w:color="auto"/>
                                                  </w:divBdr>
                                                  <w:divsChild>
                                                    <w:div w:id="94400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7041412">
      <w:bodyDiv w:val="1"/>
      <w:marLeft w:val="0"/>
      <w:marRight w:val="0"/>
      <w:marTop w:val="0"/>
      <w:marBottom w:val="0"/>
      <w:divBdr>
        <w:top w:val="none" w:sz="0" w:space="0" w:color="auto"/>
        <w:left w:val="none" w:sz="0" w:space="0" w:color="auto"/>
        <w:bottom w:val="none" w:sz="0" w:space="0" w:color="auto"/>
        <w:right w:val="none" w:sz="0" w:space="0" w:color="auto"/>
      </w:divBdr>
      <w:divsChild>
        <w:div w:id="1814832219">
          <w:marLeft w:val="150"/>
          <w:marRight w:val="0"/>
          <w:marTop w:val="0"/>
          <w:marBottom w:val="0"/>
          <w:divBdr>
            <w:top w:val="none" w:sz="0" w:space="0" w:color="auto"/>
            <w:left w:val="none" w:sz="0" w:space="0" w:color="auto"/>
            <w:bottom w:val="none" w:sz="0" w:space="0" w:color="auto"/>
            <w:right w:val="none" w:sz="0" w:space="0" w:color="auto"/>
          </w:divBdr>
          <w:divsChild>
            <w:div w:id="1403987073">
              <w:marLeft w:val="0"/>
              <w:marRight w:val="0"/>
              <w:marTop w:val="0"/>
              <w:marBottom w:val="0"/>
              <w:divBdr>
                <w:top w:val="none" w:sz="0" w:space="0" w:color="auto"/>
                <w:left w:val="none" w:sz="0" w:space="0" w:color="auto"/>
                <w:bottom w:val="none" w:sz="0" w:space="0" w:color="auto"/>
                <w:right w:val="none" w:sz="0" w:space="0" w:color="auto"/>
              </w:divBdr>
              <w:divsChild>
                <w:div w:id="1533807726">
                  <w:marLeft w:val="0"/>
                  <w:marRight w:val="0"/>
                  <w:marTop w:val="0"/>
                  <w:marBottom w:val="0"/>
                  <w:divBdr>
                    <w:top w:val="none" w:sz="0" w:space="0" w:color="auto"/>
                    <w:left w:val="none" w:sz="0" w:space="0" w:color="auto"/>
                    <w:bottom w:val="none" w:sz="0" w:space="0" w:color="auto"/>
                    <w:right w:val="none" w:sz="0" w:space="0" w:color="auto"/>
                  </w:divBdr>
                  <w:divsChild>
                    <w:div w:id="375279871">
                      <w:marLeft w:val="0"/>
                      <w:marRight w:val="0"/>
                      <w:marTop w:val="0"/>
                      <w:marBottom w:val="0"/>
                      <w:divBdr>
                        <w:top w:val="none" w:sz="0" w:space="0" w:color="auto"/>
                        <w:left w:val="none" w:sz="0" w:space="0" w:color="auto"/>
                        <w:bottom w:val="none" w:sz="0" w:space="0" w:color="auto"/>
                        <w:right w:val="none" w:sz="0" w:space="0" w:color="auto"/>
                      </w:divBdr>
                      <w:divsChild>
                        <w:div w:id="1010178097">
                          <w:marLeft w:val="0"/>
                          <w:marRight w:val="0"/>
                          <w:marTop w:val="0"/>
                          <w:marBottom w:val="0"/>
                          <w:divBdr>
                            <w:top w:val="none" w:sz="0" w:space="0" w:color="auto"/>
                            <w:left w:val="none" w:sz="0" w:space="0" w:color="auto"/>
                            <w:bottom w:val="none" w:sz="0" w:space="0" w:color="auto"/>
                            <w:right w:val="none" w:sz="0" w:space="0" w:color="auto"/>
                          </w:divBdr>
                          <w:divsChild>
                            <w:div w:id="1244296312">
                              <w:marLeft w:val="0"/>
                              <w:marRight w:val="0"/>
                              <w:marTop w:val="0"/>
                              <w:marBottom w:val="0"/>
                              <w:divBdr>
                                <w:top w:val="none" w:sz="0" w:space="0" w:color="auto"/>
                                <w:left w:val="none" w:sz="0" w:space="0" w:color="auto"/>
                                <w:bottom w:val="none" w:sz="0" w:space="0" w:color="auto"/>
                                <w:right w:val="none" w:sz="0" w:space="0" w:color="auto"/>
                              </w:divBdr>
                              <w:divsChild>
                                <w:div w:id="1969778087">
                                  <w:marLeft w:val="0"/>
                                  <w:marRight w:val="0"/>
                                  <w:marTop w:val="0"/>
                                  <w:marBottom w:val="0"/>
                                  <w:divBdr>
                                    <w:top w:val="none" w:sz="0" w:space="0" w:color="auto"/>
                                    <w:left w:val="none" w:sz="0" w:space="0" w:color="auto"/>
                                    <w:bottom w:val="none" w:sz="0" w:space="0" w:color="auto"/>
                                    <w:right w:val="none" w:sz="0" w:space="0" w:color="auto"/>
                                  </w:divBdr>
                                  <w:divsChild>
                                    <w:div w:id="2108384399">
                                      <w:marLeft w:val="0"/>
                                      <w:marRight w:val="0"/>
                                      <w:marTop w:val="0"/>
                                      <w:marBottom w:val="0"/>
                                      <w:divBdr>
                                        <w:top w:val="none" w:sz="0" w:space="0" w:color="auto"/>
                                        <w:left w:val="none" w:sz="0" w:space="0" w:color="auto"/>
                                        <w:bottom w:val="none" w:sz="0" w:space="0" w:color="auto"/>
                                        <w:right w:val="none" w:sz="0" w:space="0" w:color="auto"/>
                                      </w:divBdr>
                                      <w:divsChild>
                                        <w:div w:id="540364498">
                                          <w:marLeft w:val="0"/>
                                          <w:marRight w:val="0"/>
                                          <w:marTop w:val="0"/>
                                          <w:marBottom w:val="0"/>
                                          <w:divBdr>
                                            <w:top w:val="none" w:sz="0" w:space="0" w:color="auto"/>
                                            <w:left w:val="none" w:sz="0" w:space="0" w:color="auto"/>
                                            <w:bottom w:val="none" w:sz="0" w:space="0" w:color="auto"/>
                                            <w:right w:val="none" w:sz="0" w:space="0" w:color="auto"/>
                                          </w:divBdr>
                                          <w:divsChild>
                                            <w:div w:id="223879448">
                                              <w:marLeft w:val="0"/>
                                              <w:marRight w:val="0"/>
                                              <w:marTop w:val="0"/>
                                              <w:marBottom w:val="0"/>
                                              <w:divBdr>
                                                <w:top w:val="none" w:sz="0" w:space="0" w:color="auto"/>
                                                <w:left w:val="none" w:sz="0" w:space="0" w:color="auto"/>
                                                <w:bottom w:val="none" w:sz="0" w:space="0" w:color="auto"/>
                                                <w:right w:val="none" w:sz="0" w:space="0" w:color="auto"/>
                                              </w:divBdr>
                                              <w:divsChild>
                                                <w:div w:id="268977611">
                                                  <w:marLeft w:val="0"/>
                                                  <w:marRight w:val="0"/>
                                                  <w:marTop w:val="0"/>
                                                  <w:marBottom w:val="0"/>
                                                  <w:divBdr>
                                                    <w:top w:val="none" w:sz="0" w:space="0" w:color="auto"/>
                                                    <w:left w:val="none" w:sz="0" w:space="0" w:color="auto"/>
                                                    <w:bottom w:val="none" w:sz="0" w:space="0" w:color="auto"/>
                                                    <w:right w:val="none" w:sz="0" w:space="0" w:color="auto"/>
                                                  </w:divBdr>
                                                  <w:divsChild>
                                                    <w:div w:id="658119699">
                                                      <w:marLeft w:val="0"/>
                                                      <w:marRight w:val="0"/>
                                                      <w:marTop w:val="0"/>
                                                      <w:marBottom w:val="0"/>
                                                      <w:divBdr>
                                                        <w:top w:val="none" w:sz="0" w:space="0" w:color="auto"/>
                                                        <w:left w:val="none" w:sz="0" w:space="0" w:color="auto"/>
                                                        <w:bottom w:val="none" w:sz="0" w:space="0" w:color="auto"/>
                                                        <w:right w:val="none" w:sz="0" w:space="0" w:color="auto"/>
                                                      </w:divBdr>
                                                    </w:div>
                                                    <w:div w:id="185036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0582706">
      <w:bodyDiv w:val="1"/>
      <w:marLeft w:val="0"/>
      <w:marRight w:val="0"/>
      <w:marTop w:val="0"/>
      <w:marBottom w:val="0"/>
      <w:divBdr>
        <w:top w:val="none" w:sz="0" w:space="0" w:color="auto"/>
        <w:left w:val="none" w:sz="0" w:space="0" w:color="auto"/>
        <w:bottom w:val="none" w:sz="0" w:space="0" w:color="auto"/>
        <w:right w:val="none" w:sz="0" w:space="0" w:color="auto"/>
      </w:divBdr>
    </w:div>
    <w:div w:id="1224147499">
      <w:bodyDiv w:val="1"/>
      <w:marLeft w:val="0"/>
      <w:marRight w:val="0"/>
      <w:marTop w:val="0"/>
      <w:marBottom w:val="0"/>
      <w:divBdr>
        <w:top w:val="none" w:sz="0" w:space="0" w:color="auto"/>
        <w:left w:val="none" w:sz="0" w:space="0" w:color="auto"/>
        <w:bottom w:val="none" w:sz="0" w:space="0" w:color="auto"/>
        <w:right w:val="none" w:sz="0" w:space="0" w:color="auto"/>
      </w:divBdr>
    </w:div>
    <w:div w:id="1286279487">
      <w:bodyDiv w:val="1"/>
      <w:marLeft w:val="0"/>
      <w:marRight w:val="0"/>
      <w:marTop w:val="0"/>
      <w:marBottom w:val="0"/>
      <w:divBdr>
        <w:top w:val="none" w:sz="0" w:space="0" w:color="auto"/>
        <w:left w:val="none" w:sz="0" w:space="0" w:color="auto"/>
        <w:bottom w:val="none" w:sz="0" w:space="0" w:color="auto"/>
        <w:right w:val="none" w:sz="0" w:space="0" w:color="auto"/>
      </w:divBdr>
    </w:div>
    <w:div w:id="1355379325">
      <w:bodyDiv w:val="1"/>
      <w:marLeft w:val="0"/>
      <w:marRight w:val="0"/>
      <w:marTop w:val="0"/>
      <w:marBottom w:val="0"/>
      <w:divBdr>
        <w:top w:val="none" w:sz="0" w:space="0" w:color="auto"/>
        <w:left w:val="none" w:sz="0" w:space="0" w:color="auto"/>
        <w:bottom w:val="none" w:sz="0" w:space="0" w:color="auto"/>
        <w:right w:val="none" w:sz="0" w:space="0" w:color="auto"/>
      </w:divBdr>
      <w:divsChild>
        <w:div w:id="922757825">
          <w:marLeft w:val="0"/>
          <w:marRight w:val="0"/>
          <w:marTop w:val="0"/>
          <w:marBottom w:val="0"/>
          <w:divBdr>
            <w:top w:val="none" w:sz="0" w:space="0" w:color="auto"/>
            <w:left w:val="none" w:sz="0" w:space="0" w:color="auto"/>
            <w:bottom w:val="none" w:sz="0" w:space="0" w:color="auto"/>
            <w:right w:val="none" w:sz="0" w:space="0" w:color="auto"/>
          </w:divBdr>
        </w:div>
        <w:div w:id="1035621042">
          <w:marLeft w:val="0"/>
          <w:marRight w:val="0"/>
          <w:marTop w:val="0"/>
          <w:marBottom w:val="0"/>
          <w:divBdr>
            <w:top w:val="none" w:sz="0" w:space="0" w:color="auto"/>
            <w:left w:val="none" w:sz="0" w:space="0" w:color="auto"/>
            <w:bottom w:val="none" w:sz="0" w:space="0" w:color="auto"/>
            <w:right w:val="none" w:sz="0" w:space="0" w:color="auto"/>
          </w:divBdr>
        </w:div>
        <w:div w:id="431826308">
          <w:marLeft w:val="0"/>
          <w:marRight w:val="0"/>
          <w:marTop w:val="0"/>
          <w:marBottom w:val="0"/>
          <w:divBdr>
            <w:top w:val="none" w:sz="0" w:space="0" w:color="auto"/>
            <w:left w:val="none" w:sz="0" w:space="0" w:color="auto"/>
            <w:bottom w:val="none" w:sz="0" w:space="0" w:color="auto"/>
            <w:right w:val="none" w:sz="0" w:space="0" w:color="auto"/>
          </w:divBdr>
        </w:div>
        <w:div w:id="1153567236">
          <w:marLeft w:val="0"/>
          <w:marRight w:val="0"/>
          <w:marTop w:val="0"/>
          <w:marBottom w:val="0"/>
          <w:divBdr>
            <w:top w:val="none" w:sz="0" w:space="0" w:color="auto"/>
            <w:left w:val="none" w:sz="0" w:space="0" w:color="auto"/>
            <w:bottom w:val="none" w:sz="0" w:space="0" w:color="auto"/>
            <w:right w:val="none" w:sz="0" w:space="0" w:color="auto"/>
          </w:divBdr>
        </w:div>
      </w:divsChild>
    </w:div>
    <w:div w:id="1375228897">
      <w:bodyDiv w:val="1"/>
      <w:marLeft w:val="0"/>
      <w:marRight w:val="0"/>
      <w:marTop w:val="0"/>
      <w:marBottom w:val="0"/>
      <w:divBdr>
        <w:top w:val="none" w:sz="0" w:space="0" w:color="auto"/>
        <w:left w:val="none" w:sz="0" w:space="0" w:color="auto"/>
        <w:bottom w:val="none" w:sz="0" w:space="0" w:color="auto"/>
        <w:right w:val="none" w:sz="0" w:space="0" w:color="auto"/>
      </w:divBdr>
      <w:divsChild>
        <w:div w:id="12615190">
          <w:marLeft w:val="0"/>
          <w:marRight w:val="0"/>
          <w:marTop w:val="0"/>
          <w:marBottom w:val="300"/>
          <w:divBdr>
            <w:top w:val="none" w:sz="0" w:space="0" w:color="auto"/>
            <w:left w:val="none" w:sz="0" w:space="0" w:color="auto"/>
            <w:bottom w:val="none" w:sz="0" w:space="0" w:color="auto"/>
            <w:right w:val="none" w:sz="0" w:space="0" w:color="auto"/>
          </w:divBdr>
          <w:divsChild>
            <w:div w:id="2012218185">
              <w:marLeft w:val="0"/>
              <w:marRight w:val="0"/>
              <w:marTop w:val="0"/>
              <w:marBottom w:val="0"/>
              <w:divBdr>
                <w:top w:val="none" w:sz="0" w:space="0" w:color="auto"/>
                <w:left w:val="none" w:sz="0" w:space="0" w:color="auto"/>
                <w:bottom w:val="none" w:sz="0" w:space="0" w:color="auto"/>
                <w:right w:val="none" w:sz="0" w:space="0" w:color="auto"/>
              </w:divBdr>
              <w:divsChild>
                <w:div w:id="1420056982">
                  <w:marLeft w:val="0"/>
                  <w:marRight w:val="0"/>
                  <w:marTop w:val="0"/>
                  <w:marBottom w:val="0"/>
                  <w:divBdr>
                    <w:top w:val="none" w:sz="0" w:space="0" w:color="auto"/>
                    <w:left w:val="none" w:sz="0" w:space="0" w:color="auto"/>
                    <w:bottom w:val="none" w:sz="0" w:space="0" w:color="auto"/>
                    <w:right w:val="none" w:sz="0" w:space="0" w:color="auto"/>
                  </w:divBdr>
                  <w:divsChild>
                    <w:div w:id="391855230">
                      <w:marLeft w:val="0"/>
                      <w:marRight w:val="0"/>
                      <w:marTop w:val="0"/>
                      <w:marBottom w:val="0"/>
                      <w:divBdr>
                        <w:top w:val="none" w:sz="0" w:space="0" w:color="auto"/>
                        <w:left w:val="none" w:sz="0" w:space="0" w:color="auto"/>
                        <w:bottom w:val="none" w:sz="0" w:space="0" w:color="auto"/>
                        <w:right w:val="none" w:sz="0" w:space="0" w:color="auto"/>
                      </w:divBdr>
                      <w:divsChild>
                        <w:div w:id="1428119512">
                          <w:marLeft w:val="0"/>
                          <w:marRight w:val="0"/>
                          <w:marTop w:val="0"/>
                          <w:marBottom w:val="0"/>
                          <w:divBdr>
                            <w:top w:val="none" w:sz="0" w:space="0" w:color="auto"/>
                            <w:left w:val="none" w:sz="0" w:space="0" w:color="auto"/>
                            <w:bottom w:val="none" w:sz="0" w:space="0" w:color="auto"/>
                            <w:right w:val="none" w:sz="0" w:space="0" w:color="auto"/>
                          </w:divBdr>
                          <w:divsChild>
                            <w:div w:id="112272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616314">
      <w:bodyDiv w:val="1"/>
      <w:marLeft w:val="0"/>
      <w:marRight w:val="0"/>
      <w:marTop w:val="0"/>
      <w:marBottom w:val="0"/>
      <w:divBdr>
        <w:top w:val="none" w:sz="0" w:space="0" w:color="auto"/>
        <w:left w:val="none" w:sz="0" w:space="0" w:color="auto"/>
        <w:bottom w:val="none" w:sz="0" w:space="0" w:color="auto"/>
        <w:right w:val="none" w:sz="0" w:space="0" w:color="auto"/>
      </w:divBdr>
    </w:div>
    <w:div w:id="1436441129">
      <w:bodyDiv w:val="1"/>
      <w:marLeft w:val="0"/>
      <w:marRight w:val="0"/>
      <w:marTop w:val="0"/>
      <w:marBottom w:val="0"/>
      <w:divBdr>
        <w:top w:val="none" w:sz="0" w:space="0" w:color="auto"/>
        <w:left w:val="none" w:sz="0" w:space="0" w:color="auto"/>
        <w:bottom w:val="none" w:sz="0" w:space="0" w:color="auto"/>
        <w:right w:val="none" w:sz="0" w:space="0" w:color="auto"/>
      </w:divBdr>
    </w:div>
    <w:div w:id="1479541729">
      <w:bodyDiv w:val="1"/>
      <w:marLeft w:val="0"/>
      <w:marRight w:val="0"/>
      <w:marTop w:val="0"/>
      <w:marBottom w:val="0"/>
      <w:divBdr>
        <w:top w:val="none" w:sz="0" w:space="0" w:color="auto"/>
        <w:left w:val="none" w:sz="0" w:space="0" w:color="auto"/>
        <w:bottom w:val="none" w:sz="0" w:space="0" w:color="auto"/>
        <w:right w:val="none" w:sz="0" w:space="0" w:color="auto"/>
      </w:divBdr>
      <w:divsChild>
        <w:div w:id="110326651">
          <w:marLeft w:val="0"/>
          <w:marRight w:val="0"/>
          <w:marTop w:val="0"/>
          <w:marBottom w:val="0"/>
          <w:divBdr>
            <w:top w:val="none" w:sz="0" w:space="0" w:color="auto"/>
            <w:left w:val="none" w:sz="0" w:space="0" w:color="auto"/>
            <w:bottom w:val="none" w:sz="0" w:space="0" w:color="auto"/>
            <w:right w:val="none" w:sz="0" w:space="0" w:color="auto"/>
          </w:divBdr>
          <w:divsChild>
            <w:div w:id="1568343684">
              <w:marLeft w:val="0"/>
              <w:marRight w:val="0"/>
              <w:marTop w:val="0"/>
              <w:marBottom w:val="0"/>
              <w:divBdr>
                <w:top w:val="none" w:sz="0" w:space="0" w:color="auto"/>
                <w:left w:val="none" w:sz="0" w:space="0" w:color="auto"/>
                <w:bottom w:val="none" w:sz="0" w:space="0" w:color="auto"/>
                <w:right w:val="none" w:sz="0" w:space="0" w:color="auto"/>
              </w:divBdr>
              <w:divsChild>
                <w:div w:id="1947615642">
                  <w:marLeft w:val="0"/>
                  <w:marRight w:val="0"/>
                  <w:marTop w:val="0"/>
                  <w:marBottom w:val="0"/>
                  <w:divBdr>
                    <w:top w:val="none" w:sz="0" w:space="0" w:color="auto"/>
                    <w:left w:val="none" w:sz="0" w:space="0" w:color="auto"/>
                    <w:bottom w:val="none" w:sz="0" w:space="0" w:color="auto"/>
                    <w:right w:val="none" w:sz="0" w:space="0" w:color="auto"/>
                  </w:divBdr>
                  <w:divsChild>
                    <w:div w:id="1596089314">
                      <w:marLeft w:val="0"/>
                      <w:marRight w:val="0"/>
                      <w:marTop w:val="0"/>
                      <w:marBottom w:val="0"/>
                      <w:divBdr>
                        <w:top w:val="none" w:sz="0" w:space="0" w:color="auto"/>
                        <w:left w:val="none" w:sz="0" w:space="0" w:color="auto"/>
                        <w:bottom w:val="none" w:sz="0" w:space="0" w:color="auto"/>
                        <w:right w:val="none" w:sz="0" w:space="0" w:color="auto"/>
                      </w:divBdr>
                      <w:divsChild>
                        <w:div w:id="2073849666">
                          <w:marLeft w:val="0"/>
                          <w:marRight w:val="0"/>
                          <w:marTop w:val="0"/>
                          <w:marBottom w:val="0"/>
                          <w:divBdr>
                            <w:top w:val="none" w:sz="0" w:space="0" w:color="auto"/>
                            <w:left w:val="none" w:sz="0" w:space="0" w:color="auto"/>
                            <w:bottom w:val="none" w:sz="0" w:space="0" w:color="auto"/>
                            <w:right w:val="none" w:sz="0" w:space="0" w:color="auto"/>
                          </w:divBdr>
                          <w:divsChild>
                            <w:div w:id="1629777781">
                              <w:marLeft w:val="0"/>
                              <w:marRight w:val="0"/>
                              <w:marTop w:val="0"/>
                              <w:marBottom w:val="0"/>
                              <w:divBdr>
                                <w:top w:val="none" w:sz="0" w:space="0" w:color="auto"/>
                                <w:left w:val="none" w:sz="0" w:space="0" w:color="auto"/>
                                <w:bottom w:val="none" w:sz="0" w:space="0" w:color="auto"/>
                                <w:right w:val="none" w:sz="0" w:space="0" w:color="auto"/>
                              </w:divBdr>
                              <w:divsChild>
                                <w:div w:id="1762988576">
                                  <w:marLeft w:val="0"/>
                                  <w:marRight w:val="0"/>
                                  <w:marTop w:val="0"/>
                                  <w:marBottom w:val="0"/>
                                  <w:divBdr>
                                    <w:top w:val="none" w:sz="0" w:space="0" w:color="auto"/>
                                    <w:left w:val="none" w:sz="0" w:space="0" w:color="auto"/>
                                    <w:bottom w:val="none" w:sz="0" w:space="0" w:color="auto"/>
                                    <w:right w:val="none" w:sz="0" w:space="0" w:color="auto"/>
                                  </w:divBdr>
                                  <w:divsChild>
                                    <w:div w:id="999964165">
                                      <w:marLeft w:val="0"/>
                                      <w:marRight w:val="0"/>
                                      <w:marTop w:val="0"/>
                                      <w:marBottom w:val="0"/>
                                      <w:divBdr>
                                        <w:top w:val="none" w:sz="0" w:space="0" w:color="auto"/>
                                        <w:left w:val="none" w:sz="0" w:space="0" w:color="auto"/>
                                        <w:bottom w:val="none" w:sz="0" w:space="0" w:color="auto"/>
                                        <w:right w:val="none" w:sz="0" w:space="0" w:color="auto"/>
                                      </w:divBdr>
                                      <w:divsChild>
                                        <w:div w:id="179424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7329142">
      <w:bodyDiv w:val="1"/>
      <w:marLeft w:val="0"/>
      <w:marRight w:val="0"/>
      <w:marTop w:val="0"/>
      <w:marBottom w:val="0"/>
      <w:divBdr>
        <w:top w:val="none" w:sz="0" w:space="0" w:color="auto"/>
        <w:left w:val="none" w:sz="0" w:space="0" w:color="auto"/>
        <w:bottom w:val="none" w:sz="0" w:space="0" w:color="auto"/>
        <w:right w:val="none" w:sz="0" w:space="0" w:color="auto"/>
      </w:divBdr>
    </w:div>
    <w:div w:id="1691376067">
      <w:bodyDiv w:val="1"/>
      <w:marLeft w:val="0"/>
      <w:marRight w:val="0"/>
      <w:marTop w:val="0"/>
      <w:marBottom w:val="0"/>
      <w:divBdr>
        <w:top w:val="none" w:sz="0" w:space="0" w:color="auto"/>
        <w:left w:val="none" w:sz="0" w:space="0" w:color="auto"/>
        <w:bottom w:val="none" w:sz="0" w:space="0" w:color="auto"/>
        <w:right w:val="none" w:sz="0" w:space="0" w:color="auto"/>
      </w:divBdr>
    </w:div>
    <w:div w:id="1779716472">
      <w:bodyDiv w:val="1"/>
      <w:marLeft w:val="0"/>
      <w:marRight w:val="0"/>
      <w:marTop w:val="0"/>
      <w:marBottom w:val="0"/>
      <w:divBdr>
        <w:top w:val="none" w:sz="0" w:space="0" w:color="auto"/>
        <w:left w:val="none" w:sz="0" w:space="0" w:color="auto"/>
        <w:bottom w:val="none" w:sz="0" w:space="0" w:color="auto"/>
        <w:right w:val="none" w:sz="0" w:space="0" w:color="auto"/>
      </w:divBdr>
    </w:div>
    <w:div w:id="1838425577">
      <w:bodyDiv w:val="1"/>
      <w:marLeft w:val="0"/>
      <w:marRight w:val="0"/>
      <w:marTop w:val="0"/>
      <w:marBottom w:val="0"/>
      <w:divBdr>
        <w:top w:val="none" w:sz="0" w:space="0" w:color="auto"/>
        <w:left w:val="none" w:sz="0" w:space="0" w:color="auto"/>
        <w:bottom w:val="none" w:sz="0" w:space="0" w:color="auto"/>
        <w:right w:val="none" w:sz="0" w:space="0" w:color="auto"/>
      </w:divBdr>
    </w:div>
    <w:div w:id="1905406312">
      <w:bodyDiv w:val="1"/>
      <w:marLeft w:val="0"/>
      <w:marRight w:val="0"/>
      <w:marTop w:val="0"/>
      <w:marBottom w:val="0"/>
      <w:divBdr>
        <w:top w:val="none" w:sz="0" w:space="0" w:color="auto"/>
        <w:left w:val="none" w:sz="0" w:space="0" w:color="auto"/>
        <w:bottom w:val="none" w:sz="0" w:space="0" w:color="auto"/>
        <w:right w:val="none" w:sz="0" w:space="0" w:color="auto"/>
      </w:divBdr>
      <w:divsChild>
        <w:div w:id="1475490742">
          <w:marLeft w:val="0"/>
          <w:marRight w:val="0"/>
          <w:marTop w:val="0"/>
          <w:marBottom w:val="0"/>
          <w:divBdr>
            <w:top w:val="none" w:sz="0" w:space="0" w:color="auto"/>
            <w:left w:val="none" w:sz="0" w:space="0" w:color="auto"/>
            <w:bottom w:val="none" w:sz="0" w:space="0" w:color="auto"/>
            <w:right w:val="none" w:sz="0" w:space="0" w:color="auto"/>
          </w:divBdr>
          <w:divsChild>
            <w:div w:id="1124150764">
              <w:marLeft w:val="0"/>
              <w:marRight w:val="0"/>
              <w:marTop w:val="0"/>
              <w:marBottom w:val="0"/>
              <w:divBdr>
                <w:top w:val="none" w:sz="0" w:space="0" w:color="auto"/>
                <w:left w:val="none" w:sz="0" w:space="0" w:color="auto"/>
                <w:bottom w:val="none" w:sz="0" w:space="0" w:color="auto"/>
                <w:right w:val="none" w:sz="0" w:space="0" w:color="auto"/>
              </w:divBdr>
              <w:divsChild>
                <w:div w:id="1067266900">
                  <w:marLeft w:val="0"/>
                  <w:marRight w:val="0"/>
                  <w:marTop w:val="0"/>
                  <w:marBottom w:val="0"/>
                  <w:divBdr>
                    <w:top w:val="none" w:sz="0" w:space="0" w:color="auto"/>
                    <w:left w:val="none" w:sz="0" w:space="0" w:color="auto"/>
                    <w:bottom w:val="none" w:sz="0" w:space="0" w:color="auto"/>
                    <w:right w:val="none" w:sz="0" w:space="0" w:color="auto"/>
                  </w:divBdr>
                  <w:divsChild>
                    <w:div w:id="585504087">
                      <w:marLeft w:val="0"/>
                      <w:marRight w:val="0"/>
                      <w:marTop w:val="0"/>
                      <w:marBottom w:val="0"/>
                      <w:divBdr>
                        <w:top w:val="none" w:sz="0" w:space="0" w:color="auto"/>
                        <w:left w:val="none" w:sz="0" w:space="0" w:color="auto"/>
                        <w:bottom w:val="none" w:sz="0" w:space="0" w:color="auto"/>
                        <w:right w:val="none" w:sz="0" w:space="0" w:color="auto"/>
                      </w:divBdr>
                      <w:divsChild>
                        <w:div w:id="1304576135">
                          <w:marLeft w:val="0"/>
                          <w:marRight w:val="0"/>
                          <w:marTop w:val="0"/>
                          <w:marBottom w:val="0"/>
                          <w:divBdr>
                            <w:top w:val="none" w:sz="0" w:space="0" w:color="auto"/>
                            <w:left w:val="none" w:sz="0" w:space="0" w:color="auto"/>
                            <w:bottom w:val="none" w:sz="0" w:space="0" w:color="auto"/>
                            <w:right w:val="none" w:sz="0" w:space="0" w:color="auto"/>
                          </w:divBdr>
                          <w:divsChild>
                            <w:div w:id="1424569106">
                              <w:marLeft w:val="0"/>
                              <w:marRight w:val="0"/>
                              <w:marTop w:val="0"/>
                              <w:marBottom w:val="0"/>
                              <w:divBdr>
                                <w:top w:val="none" w:sz="0" w:space="0" w:color="auto"/>
                                <w:left w:val="none" w:sz="0" w:space="0" w:color="auto"/>
                                <w:bottom w:val="none" w:sz="0" w:space="0" w:color="auto"/>
                                <w:right w:val="none" w:sz="0" w:space="0" w:color="auto"/>
                              </w:divBdr>
                              <w:divsChild>
                                <w:div w:id="833449373">
                                  <w:marLeft w:val="0"/>
                                  <w:marRight w:val="0"/>
                                  <w:marTop w:val="0"/>
                                  <w:marBottom w:val="0"/>
                                  <w:divBdr>
                                    <w:top w:val="none" w:sz="0" w:space="0" w:color="auto"/>
                                    <w:left w:val="none" w:sz="0" w:space="0" w:color="auto"/>
                                    <w:bottom w:val="none" w:sz="0" w:space="0" w:color="auto"/>
                                    <w:right w:val="none" w:sz="0" w:space="0" w:color="auto"/>
                                  </w:divBdr>
                                  <w:divsChild>
                                    <w:div w:id="167610368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287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microsoft.com/office/2011/relationships/people" Target="people.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38</ap:Pages>
  <ap:Words>18247</ap:Words>
  <ap:Characters>100362</ap:Characters>
  <ap:DocSecurity>4</ap:DocSecurity>
  <ap:Lines>836</ap:Lines>
  <ap:Paragraphs>236</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Goedkeuring van het op 6 oktober 2010 te Den Haag tot stand gekomen Verdrag tussen het Koninkrijk der Nederlanden en de Republ</vt:lpstr>
      <vt:lpstr>Goedkeuring van het op 6 oktober 2010 te Den Haag tot stand gekomen Verdrag tussen het Koninkrijk der Nederlanden en de Republ</vt:lpstr>
    </vt:vector>
  </ap:TitlesOfParts>
  <ap:LinksUpToDate>false</ap:LinksUpToDate>
  <ap:CharactersWithSpaces>118373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2019-06-14T07:13:00.0000000Z</lastPrinted>
  <dcterms:created xsi:type="dcterms:W3CDTF">2021-03-19T09:03:00.0000000Z</dcterms:created>
  <dcterms:modified xsi:type="dcterms:W3CDTF">2021-03-19T09:03:00.0000000Z</dcterms:modified>
  <dc:description>------------------------</dc:description>
  <dc:subject/>
  <keywords/>
  <version/>
  <category/>
</coreProperties>
</file>