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27546" w:rsidR="00427546" w:rsidP="000D0DF5" w:rsidRDefault="00427546">
            <w:pPr>
              <w:tabs>
                <w:tab w:val="left" w:pos="-1440"/>
                <w:tab w:val="left" w:pos="-720"/>
              </w:tabs>
              <w:suppressAutoHyphens/>
              <w:rPr>
                <w:rFonts w:ascii="Times New Roman" w:hAnsi="Times New Roman"/>
              </w:rPr>
            </w:pPr>
            <w:r w:rsidRPr="00427546">
              <w:rPr>
                <w:rFonts w:ascii="Times New Roman" w:hAnsi="Times New Roman"/>
              </w:rPr>
              <w:t>De Tweede Kamer der Staten-</w:t>
            </w:r>
            <w:r w:rsidRPr="00427546">
              <w:rPr>
                <w:rFonts w:ascii="Times New Roman" w:hAnsi="Times New Roman"/>
              </w:rPr>
              <w:fldChar w:fldCharType="begin"/>
            </w:r>
            <w:r w:rsidRPr="00427546">
              <w:rPr>
                <w:rFonts w:ascii="Times New Roman" w:hAnsi="Times New Roman"/>
              </w:rPr>
              <w:instrText xml:space="preserve">PRIVATE </w:instrText>
            </w:r>
            <w:r w:rsidRPr="00427546">
              <w:rPr>
                <w:rFonts w:ascii="Times New Roman" w:hAnsi="Times New Roman"/>
              </w:rPr>
              <w:fldChar w:fldCharType="end"/>
            </w:r>
          </w:p>
          <w:p w:rsidRPr="00427546" w:rsidR="00427546" w:rsidP="000D0DF5" w:rsidRDefault="00427546">
            <w:pPr>
              <w:tabs>
                <w:tab w:val="left" w:pos="-1440"/>
                <w:tab w:val="left" w:pos="-720"/>
              </w:tabs>
              <w:suppressAutoHyphens/>
              <w:rPr>
                <w:rFonts w:ascii="Times New Roman" w:hAnsi="Times New Roman"/>
              </w:rPr>
            </w:pPr>
            <w:r w:rsidRPr="00427546">
              <w:rPr>
                <w:rFonts w:ascii="Times New Roman" w:hAnsi="Times New Roman"/>
              </w:rPr>
              <w:t>Generaal zendt bijgaand door</w:t>
            </w:r>
          </w:p>
          <w:p w:rsidRPr="00427546" w:rsidR="00427546" w:rsidP="000D0DF5" w:rsidRDefault="00427546">
            <w:pPr>
              <w:tabs>
                <w:tab w:val="left" w:pos="-1440"/>
                <w:tab w:val="left" w:pos="-720"/>
              </w:tabs>
              <w:suppressAutoHyphens/>
              <w:rPr>
                <w:rFonts w:ascii="Times New Roman" w:hAnsi="Times New Roman"/>
              </w:rPr>
            </w:pPr>
            <w:r w:rsidRPr="00427546">
              <w:rPr>
                <w:rFonts w:ascii="Times New Roman" w:hAnsi="Times New Roman"/>
              </w:rPr>
              <w:t>haar aangenomen wetsvoorstel</w:t>
            </w:r>
          </w:p>
          <w:p w:rsidRPr="00427546" w:rsidR="00427546" w:rsidP="000D0DF5" w:rsidRDefault="00427546">
            <w:pPr>
              <w:tabs>
                <w:tab w:val="left" w:pos="-1440"/>
                <w:tab w:val="left" w:pos="-720"/>
              </w:tabs>
              <w:suppressAutoHyphens/>
              <w:rPr>
                <w:rFonts w:ascii="Times New Roman" w:hAnsi="Times New Roman"/>
              </w:rPr>
            </w:pPr>
            <w:r w:rsidRPr="00427546">
              <w:rPr>
                <w:rFonts w:ascii="Times New Roman" w:hAnsi="Times New Roman"/>
              </w:rPr>
              <w:t>aan de Eerste Kamer.</w:t>
            </w: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r w:rsidRPr="00427546">
              <w:rPr>
                <w:rFonts w:ascii="Times New Roman" w:hAnsi="Times New Roman"/>
              </w:rPr>
              <w:t>De Voorzitter,</w:t>
            </w: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p>
          <w:p w:rsidRPr="00427546" w:rsidR="00427546" w:rsidP="000D0DF5" w:rsidRDefault="00427546">
            <w:pPr>
              <w:tabs>
                <w:tab w:val="left" w:pos="-1440"/>
                <w:tab w:val="left" w:pos="-720"/>
              </w:tabs>
              <w:suppressAutoHyphens/>
              <w:rPr>
                <w:rFonts w:ascii="Times New Roman" w:hAnsi="Times New Roman"/>
              </w:rPr>
            </w:pPr>
          </w:p>
          <w:p w:rsidR="00CB3578" w:rsidP="00427546" w:rsidRDefault="00CB3578">
            <w:pPr>
              <w:pStyle w:val="Amendement"/>
              <w:rPr>
                <w:rFonts w:ascii="Times New Roman" w:hAnsi="Times New Roman" w:cs="Times New Roman"/>
                <w:b w:val="0"/>
                <w:bCs w:val="0"/>
                <w:sz w:val="20"/>
              </w:rPr>
            </w:pPr>
          </w:p>
          <w:p w:rsidRPr="00427546" w:rsidR="00427546" w:rsidP="00427546" w:rsidRDefault="00427546">
            <w:pPr>
              <w:pStyle w:val="Amendement"/>
              <w:rPr>
                <w:rFonts w:ascii="Times New Roman" w:hAnsi="Times New Roman" w:cs="Times New Roman"/>
                <w:b w:val="0"/>
              </w:rPr>
            </w:pPr>
            <w:r>
              <w:rPr>
                <w:rFonts w:ascii="Times New Roman" w:hAnsi="Times New Roman" w:cs="Times New Roman"/>
                <w:b w:val="0"/>
                <w:bCs w:val="0"/>
                <w:sz w:val="20"/>
              </w:rPr>
              <w:t>11 februari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27546" w:rsidTr="00B5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32C99" w:rsidR="00427546" w:rsidP="00332C99" w:rsidRDefault="00427546">
            <w:pPr>
              <w:autoSpaceDE w:val="0"/>
              <w:autoSpaceDN w:val="0"/>
              <w:adjustRightInd w:val="0"/>
              <w:rPr>
                <w:rFonts w:ascii="Times New Roman" w:hAnsi="Times New Roman"/>
                <w:b/>
                <w:sz w:val="24"/>
              </w:rPr>
            </w:pPr>
            <w:r w:rsidRPr="00332C99">
              <w:rPr>
                <w:rFonts w:ascii="Times New Roman" w:hAnsi="Times New Roman"/>
                <w:b/>
                <w:sz w:val="24"/>
              </w:rPr>
              <w:t>Wijziging van de begrotingsstaat van het Ministerie van Financiën (IXB) voor het jaar 2021 (Incidentele suppletoire begroting inzake Herstel Toeslagen)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27546" w:rsidTr="0097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27546" w:rsidRDefault="00427546">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2C99">
        <w:rPr>
          <w:rFonts w:ascii="Times New Roman" w:hAnsi="Times New Roman"/>
          <w:sz w:val="24"/>
          <w:szCs w:val="20"/>
        </w:rPr>
        <w:t>Wij Willem-Alexander, bij de gratie Gods, Koning der Nederlanden, Prins van Oranje-Nassau, enz. enz. enz.</w:t>
      </w:r>
    </w:p>
    <w:p w:rsidR="00332C99" w:rsidP="00332C99" w:rsidRDefault="00332C99">
      <w:pPr>
        <w:tabs>
          <w:tab w:val="left" w:pos="284"/>
          <w:tab w:val="left" w:pos="567"/>
          <w:tab w:val="left" w:pos="851"/>
        </w:tabs>
        <w:ind w:right="-2"/>
        <w:rPr>
          <w:rFonts w:ascii="Times New Roman" w:hAnsi="Times New Roman"/>
          <w:sz w:val="24"/>
          <w:szCs w:val="20"/>
        </w:rPr>
      </w:pPr>
    </w:p>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2C99">
        <w:rPr>
          <w:rFonts w:ascii="Times New Roman" w:hAnsi="Times New Roman"/>
          <w:sz w:val="24"/>
          <w:szCs w:val="20"/>
        </w:rPr>
        <w:t xml:space="preserve">Allen, die deze zullen zien of horen lezen, saluut! doen te weten: </w:t>
      </w:r>
    </w:p>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2C99">
        <w:rPr>
          <w:rFonts w:ascii="Times New Roman" w:hAnsi="Times New Roman"/>
          <w:sz w:val="24"/>
          <w:szCs w:val="20"/>
        </w:rPr>
        <w:t xml:space="preserve">Alzo Wij in overweging genomen hebben, dat de noodzaak is gebleken van een wijziging van de departementale begrotingsstaat van het Ministerie van Financiën (IXB), voor het jaar 2021. </w:t>
      </w:r>
    </w:p>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2C99">
        <w:rPr>
          <w:rFonts w:ascii="Times New Roman" w:hAnsi="Times New Roman"/>
          <w:sz w:val="24"/>
          <w:szCs w:val="20"/>
        </w:rPr>
        <w:t xml:space="preserve">Zo is het, dat Wij met gemeen overleg der Staten-Generaal, hebben goedgevonden en verstaan, gelijk Wij goedvinden en verstaand bij deze: </w:t>
      </w:r>
    </w:p>
    <w:p w:rsidR="00332C99" w:rsidP="00332C99" w:rsidRDefault="00332C99">
      <w:pPr>
        <w:tabs>
          <w:tab w:val="left" w:pos="284"/>
          <w:tab w:val="left" w:pos="567"/>
          <w:tab w:val="left" w:pos="851"/>
        </w:tabs>
        <w:ind w:right="-2"/>
        <w:rPr>
          <w:rFonts w:ascii="Times New Roman" w:hAnsi="Times New Roman"/>
          <w:b/>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r w:rsidRPr="00332C99">
        <w:rPr>
          <w:rFonts w:ascii="Times New Roman" w:hAnsi="Times New Roman"/>
          <w:b/>
          <w:sz w:val="24"/>
          <w:szCs w:val="20"/>
        </w:rPr>
        <w:t>Artikel 1</w:t>
      </w:r>
      <w:r w:rsidRPr="00332C99">
        <w:rPr>
          <w:rFonts w:ascii="Times New Roman" w:hAnsi="Times New Roman"/>
          <w:sz w:val="24"/>
          <w:szCs w:val="20"/>
        </w:rPr>
        <w:br/>
      </w:r>
    </w:p>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2C99">
        <w:rPr>
          <w:rFonts w:ascii="Times New Roman" w:hAnsi="Times New Roman"/>
          <w:sz w:val="24"/>
          <w:szCs w:val="20"/>
        </w:rPr>
        <w:t>De departementale begrotingsstaat van het Ministerie van Financiën (IXB) voor het jaar 2021 wordt gewijzigd, zoals blijkt uit de desbetreffende bij deze wet behorende staat.</w:t>
      </w:r>
    </w:p>
    <w:p w:rsidR="00332C99" w:rsidP="00332C99" w:rsidRDefault="00332C99">
      <w:pPr>
        <w:tabs>
          <w:tab w:val="left" w:pos="284"/>
          <w:tab w:val="left" w:pos="567"/>
          <w:tab w:val="left" w:pos="851"/>
        </w:tabs>
        <w:ind w:right="-2"/>
        <w:rPr>
          <w:rFonts w:ascii="Times New Roman" w:hAnsi="Times New Roman"/>
          <w:b/>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r w:rsidRPr="00332C99">
        <w:rPr>
          <w:rFonts w:ascii="Times New Roman" w:hAnsi="Times New Roman"/>
          <w:b/>
          <w:sz w:val="24"/>
          <w:szCs w:val="20"/>
        </w:rPr>
        <w:t>Artikel 2</w:t>
      </w:r>
      <w:r w:rsidRPr="00332C99">
        <w:rPr>
          <w:rFonts w:ascii="Times New Roman" w:hAnsi="Times New Roman"/>
          <w:sz w:val="24"/>
          <w:szCs w:val="20"/>
        </w:rPr>
        <w:br/>
      </w:r>
    </w:p>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2C99">
        <w:rPr>
          <w:rFonts w:ascii="Times New Roman" w:hAnsi="Times New Roman"/>
          <w:sz w:val="24"/>
          <w:szCs w:val="20"/>
        </w:rPr>
        <w:t>De vaststelling van de begrotingsstaat geschiedt in duizenden euro’s.</w:t>
      </w:r>
    </w:p>
    <w:p w:rsidR="00332C99" w:rsidP="00332C99" w:rsidRDefault="00332C99">
      <w:pPr>
        <w:tabs>
          <w:tab w:val="left" w:pos="284"/>
          <w:tab w:val="left" w:pos="567"/>
          <w:tab w:val="left" w:pos="851"/>
        </w:tabs>
        <w:ind w:right="-2"/>
        <w:rPr>
          <w:rFonts w:ascii="Times New Roman" w:hAnsi="Times New Roman"/>
          <w:b/>
          <w:sz w:val="24"/>
          <w:szCs w:val="20"/>
        </w:rPr>
      </w:pPr>
    </w:p>
    <w:p w:rsidRPr="0008132C" w:rsidR="0008132C" w:rsidP="0008132C" w:rsidRDefault="0008132C">
      <w:pPr>
        <w:widowControl w:val="0"/>
        <w:rPr>
          <w:rFonts w:ascii="Times New Roman" w:hAnsi="Times New Roman"/>
          <w:b/>
          <w:sz w:val="24"/>
        </w:rPr>
      </w:pPr>
      <w:r w:rsidRPr="0008132C">
        <w:rPr>
          <w:rFonts w:ascii="Times New Roman" w:hAnsi="Times New Roman"/>
          <w:b/>
          <w:sz w:val="24"/>
        </w:rPr>
        <w:t>Artikel 2a</w:t>
      </w:r>
    </w:p>
    <w:p w:rsidRPr="0008132C" w:rsidR="0008132C" w:rsidP="0008132C" w:rsidRDefault="0008132C">
      <w:pPr>
        <w:widowControl w:val="0"/>
        <w:rPr>
          <w:rFonts w:ascii="Times New Roman" w:hAnsi="Times New Roman"/>
          <w:sz w:val="24"/>
        </w:rPr>
      </w:pP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In de Algemene wet inkomensafhankelijke regelingen worden na artikel 49h twee artikelen ingevoegd, luidende:</w:t>
      </w:r>
    </w:p>
    <w:p w:rsidRPr="0008132C" w:rsidR="0008132C" w:rsidP="0008132C" w:rsidRDefault="0008132C">
      <w:pPr>
        <w:widowControl w:val="0"/>
        <w:rPr>
          <w:rFonts w:ascii="Times New Roman" w:hAnsi="Times New Roman"/>
          <w:sz w:val="24"/>
        </w:rPr>
      </w:pPr>
    </w:p>
    <w:p w:rsidRPr="0008132C" w:rsidR="0008132C" w:rsidP="0008132C" w:rsidRDefault="0008132C">
      <w:pPr>
        <w:widowControl w:val="0"/>
        <w:rPr>
          <w:rFonts w:ascii="Times New Roman" w:hAnsi="Times New Roman"/>
          <w:b/>
          <w:sz w:val="24"/>
        </w:rPr>
      </w:pPr>
      <w:r w:rsidRPr="0008132C">
        <w:rPr>
          <w:rFonts w:ascii="Times New Roman" w:hAnsi="Times New Roman"/>
          <w:b/>
          <w:sz w:val="24"/>
        </w:rPr>
        <w:t>Artikel 49i Moratorium</w:t>
      </w:r>
      <w:r w:rsidRPr="0008132C">
        <w:rPr>
          <w:rFonts w:ascii="Times New Roman" w:hAnsi="Times New Roman"/>
          <w:b/>
          <w:sz w:val="24"/>
        </w:rPr>
        <w:tab/>
        <w:t xml:space="preserve">      </w:t>
      </w:r>
    </w:p>
    <w:p w:rsidRPr="0008132C" w:rsidR="0008132C" w:rsidP="0008132C" w:rsidRDefault="0008132C">
      <w:pPr>
        <w:widowControl w:val="0"/>
        <w:rPr>
          <w:rFonts w:ascii="Times New Roman" w:hAnsi="Times New Roman"/>
          <w:sz w:val="24"/>
        </w:rPr>
      </w:pP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 xml:space="preserve">1. Indien aan een belanghebbende die over enig berekeningsjaar in aanmerking komt voor toepassing van een regeling als bedoeld in de artikelen 49, 49b, 49c of 49g, tweede lid, een forfaitaire tegemoetkoming van € 30.000 of een aanvullende forfaitaire tegemoetkoming tot € </w:t>
      </w:r>
      <w:r w:rsidRPr="0008132C">
        <w:rPr>
          <w:rFonts w:ascii="Times New Roman" w:hAnsi="Times New Roman"/>
          <w:sz w:val="24"/>
        </w:rPr>
        <w:lastRenderedPageBreak/>
        <w:t>30.000 wordt toegekend door de Belastingdienst/Toeslagen als onderdeel van die regeling, gaat op het moment dat het bedrag wordt uitgekeerd van rechtswege een afkoelingsperiode in voor een periode van een jaar. Ten aanzien van de belanghebbende die voor 12 februari 2021 een verzoek heeft ingediend tot toepassing van een regeling als bedoeld in de artikelen 49, 49b, 49c of 49g, tweede lid, geldt van rechtswege ook een afkoelingsperiode van 12 februari 2021 tot en met 1 mei 2021.</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2.</w:t>
      </w:r>
      <w:r w:rsidRPr="0008132C">
        <w:rPr>
          <w:rFonts w:ascii="Times New Roman" w:hAnsi="Times New Roman"/>
          <w:sz w:val="24"/>
        </w:rPr>
        <w:tab/>
        <w:t xml:space="preserve">Tijdens de afkoelingsperiode kan elke bevoegdheid van een schuldeiser tot verhaal op de goederen van de belanghebbende of zijn partner en tot opeising van goederen die zich in de macht van de belanghebbende of zijn partner bevinden niet worden uitgeoefend, voor zover die bevoegdheid betrekking heeft op vorderingen die zijn ontstaan door een verzuim in de nakoming van een verbintenis door de belanghebbende of zijn partner dat heeft plaatsgevonden vóór de afkoelingsperiode. </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3.</w:t>
      </w:r>
      <w:r w:rsidRPr="0008132C">
        <w:rPr>
          <w:rFonts w:ascii="Times New Roman" w:hAnsi="Times New Roman"/>
          <w:sz w:val="24"/>
        </w:rPr>
        <w:tab/>
        <w:t xml:space="preserve">Tijdens de afkoelingsperiode is een tekortkoming in de nakoming van een verbintenis door de belanghebbende of zijn partner die heeft plaatsgevonden vóór de afkoelingsperiode geen grond voor wijziging van verbintenissen of verplichtingen jegens de schuldenaar, voor opschorting van de nakoming van een verbintenis jegens de schuldenaar of voor ontbinding van een met de schuldenaar gesloten overeenkomst.   </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4.</w:t>
      </w:r>
      <w:r w:rsidRPr="0008132C">
        <w:rPr>
          <w:rFonts w:ascii="Times New Roman" w:hAnsi="Times New Roman"/>
          <w:sz w:val="24"/>
        </w:rPr>
        <w:tab/>
        <w:t>Een schuldeiser met een opeisbare vordering of diegene die optreedt namens die schuldeiser kan de naam, de geboortedatum, de adresgegevens en, indien de schuldeiser het burgerservicenummer rechtmatig mag verwerken, het burgerservicenummer van een schuldenaar op wie de opeisbare vordering betrekking heeft en op wie de afkoelingsperiode mogelijk van toepassing is verstrekken aan de Belastingdienst/Toeslagen, zodat de Belastingdienst/Toeslagen aan de schuldeiser of degene die namens hem optreedt kan bevestigen of ten aanzien van die schuldenaar de afkoelingsperiode van toepassing is. De Belastingdienst/Toeslagen kan na de verstrekking van die gegevens de bevestiging van de afkoelingsperiode en de datum waarop de afkoelingsperiode is ingegaan verstrekken aan de schuldeiser of diegene die optreedt namens de schuldeiser. De eerste en tweede zin zijn van overeenkomstige toepassing ten aanzien van een gerechtsdeurwaarder, een gerecht als bedoeld in artikel 2 van de Wet op de rechterlijke organisatie, de Afdeling bestuursrechtspraak van de Raad van State, het College van beroep voor het bedrijfsleven en de Centrale Raad van Beroep.</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5.</w:t>
      </w:r>
      <w:r w:rsidRPr="0008132C">
        <w:rPr>
          <w:rFonts w:ascii="Times New Roman" w:hAnsi="Times New Roman"/>
          <w:sz w:val="24"/>
        </w:rPr>
        <w:tab/>
        <w:t xml:space="preserve">Voor de toepassing van dit artikel kan de Belastingdienst/Toeslagen aan het Uitvoeringsinstituut werknemersverzekeringen, het Centraal Administratie Kantoor, de Dienst Uitvoering Onderwijs, de Sociale Verzekeringsbank, het Centraal Justitieel Incassobureau, het Landelijk Bureau Inning Onderhoudsbijdragen, de inspecteur, bedoeld in artikel 2, derde lid, onderdeel b, van de Algemene wet inzake rijksbelastingen, de ontvanger, bedoeld in artikel 2, eerste lid, onderdeel i, van de Invorderingswet 1990, gemeenten en waterschappen uit eigen beweging voor zover nodig, de naam, de geboortedatum, de adresgegevens, het burgerservicenummer en indien van toepassing de datum waarop het bedrag, bedoeld in het eerste lid, is uitgekeerd, verstrekken: </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 xml:space="preserve">a. van degenen die zich gemeld hebben bij de Belastingdienst/Toeslagen als belanghebbende in de zin van het eerste lid;  </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 xml:space="preserve">b. van belanghebbenden en hun partner op wie de afkoelingsperiode van toepassing is. </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6.</w:t>
      </w:r>
      <w:r w:rsidRPr="0008132C">
        <w:rPr>
          <w:rFonts w:ascii="Times New Roman" w:hAnsi="Times New Roman"/>
          <w:sz w:val="24"/>
        </w:rPr>
        <w:tab/>
        <w:t xml:space="preserve">Indien een schuldeiser aan de Belastingdienst/Toeslagen bevestigt dat er in redelijkheid wordt gezocht naar een voor alle betrokken partijen passende oplossing voor de financiële situatie van de belanghebbende of zijn partner, kan de Belastingdienst/Toeslagen op verzoek van die schuldeiser gegevens verstrekken die noodzakelijk worden geacht voor de totstandkoming van die passende oplossing. De schuldeiser kan bij zijn verzoek aan de Belastingdienst/Toeslagen gegevens verstrekken die noodzakelijk worden geacht voor de </w:t>
      </w:r>
      <w:r w:rsidRPr="0008132C">
        <w:rPr>
          <w:rFonts w:ascii="Times New Roman" w:hAnsi="Times New Roman"/>
          <w:sz w:val="24"/>
        </w:rPr>
        <w:lastRenderedPageBreak/>
        <w:t xml:space="preserve">totstandkoming van de passende oplossing. </w:t>
      </w:r>
      <w:r w:rsidRPr="0008132C">
        <w:rPr>
          <w:rFonts w:ascii="Times New Roman" w:hAnsi="Times New Roman"/>
          <w:sz w:val="24"/>
        </w:rPr>
        <w:tab/>
      </w:r>
    </w:p>
    <w:p w:rsidRPr="0008132C" w:rsidR="0008132C" w:rsidP="0008132C" w:rsidRDefault="0008132C">
      <w:pPr>
        <w:widowControl w:val="0"/>
        <w:rPr>
          <w:rFonts w:ascii="Times New Roman" w:hAnsi="Times New Roman"/>
          <w:sz w:val="24"/>
        </w:rPr>
      </w:pPr>
      <w:r w:rsidRPr="0008132C">
        <w:rPr>
          <w:rFonts w:ascii="Times New Roman" w:hAnsi="Times New Roman"/>
          <w:sz w:val="24"/>
        </w:rPr>
        <w:t>7.</w:t>
      </w:r>
      <w:r w:rsidRPr="0008132C">
        <w:rPr>
          <w:rFonts w:ascii="Times New Roman" w:hAnsi="Times New Roman"/>
          <w:sz w:val="24"/>
        </w:rPr>
        <w:tab/>
        <w:t xml:space="preserve">De Belastingdienst/Toeslagen registreert welke gegevens van welke belanghebbenden of hun partners zijn verstrekt aan schuldeisers, aan iemand die optreedt namens een schuldeiser, aan gerechtsdeurwaarders, aan een gerecht als bedoeld in artikel 2 van de Wet op de rechterlijke organisatie, aan de Afdeling bestuursrechtspraak van de Raad van State, aan het College van beroep voor het bedrijfsleven of aan de Centrale Raad van Beroep. </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8.</w:t>
      </w:r>
      <w:r w:rsidRPr="0008132C">
        <w:rPr>
          <w:rFonts w:ascii="Times New Roman" w:hAnsi="Times New Roman"/>
          <w:sz w:val="24"/>
        </w:rPr>
        <w:tab/>
        <w:t xml:space="preserve">Bij ministeriële regeling kunnen nadere regels worden gesteld ter uitvoering van het vierde tot en met zevende lid. </w:t>
      </w: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9.</w:t>
      </w:r>
      <w:r w:rsidRPr="0008132C">
        <w:rPr>
          <w:rFonts w:ascii="Times New Roman" w:hAnsi="Times New Roman"/>
          <w:sz w:val="24"/>
        </w:rPr>
        <w:tab/>
        <w:t>Het eerste tot en met achtste lid zijn van overeenkomstige toepassing op een betalingsverplichting die voortvloeit uit een bestuursrechtelijke geldschuld als bedoeld in artikel 4:85 van de Algemene wet bestuursrecht, een administratiefrechtelijke afdoening op grond van de Wet administratieve handhaving verkeersvoorschriften, een publiekrechtelijke rechtshandeling of een uitspraak van een gerecht als bedoeld in artikel 2 van de Wet op de rechterlijke organisatie, de Afdeling bestuursrechtspraak van de Raad van State, het College van Beroep voor het bedrijfsleven of de Centrale Raad van Beroep.</w:t>
      </w:r>
    </w:p>
    <w:p w:rsidRPr="0008132C" w:rsidR="0008132C" w:rsidP="0008132C" w:rsidRDefault="0008132C">
      <w:pPr>
        <w:widowControl w:val="0"/>
        <w:rPr>
          <w:rFonts w:ascii="Times New Roman" w:hAnsi="Times New Roman"/>
          <w:sz w:val="24"/>
        </w:rPr>
      </w:pPr>
    </w:p>
    <w:p w:rsidRPr="0008132C" w:rsidR="0008132C" w:rsidP="0008132C" w:rsidRDefault="0008132C">
      <w:pPr>
        <w:widowControl w:val="0"/>
        <w:rPr>
          <w:rFonts w:ascii="Times New Roman" w:hAnsi="Times New Roman"/>
          <w:b/>
          <w:sz w:val="24"/>
        </w:rPr>
      </w:pPr>
      <w:r w:rsidRPr="0008132C">
        <w:rPr>
          <w:rFonts w:ascii="Times New Roman" w:hAnsi="Times New Roman"/>
          <w:b/>
          <w:sz w:val="24"/>
        </w:rPr>
        <w:t xml:space="preserve">Artikel 49j Registratie </w:t>
      </w:r>
    </w:p>
    <w:p w:rsidRPr="0008132C" w:rsidR="0008132C" w:rsidP="0008132C" w:rsidRDefault="0008132C">
      <w:pPr>
        <w:widowControl w:val="0"/>
        <w:rPr>
          <w:rFonts w:ascii="Times New Roman" w:hAnsi="Times New Roman"/>
          <w:sz w:val="24"/>
        </w:rPr>
      </w:pPr>
    </w:p>
    <w:p w:rsidRPr="0008132C" w:rsidR="0008132C" w:rsidP="0008132C" w:rsidRDefault="0008132C">
      <w:pPr>
        <w:widowControl w:val="0"/>
        <w:rPr>
          <w:rFonts w:ascii="Times New Roman" w:hAnsi="Times New Roman"/>
          <w:sz w:val="24"/>
        </w:rPr>
      </w:pPr>
      <w:r w:rsidRPr="0008132C">
        <w:rPr>
          <w:rFonts w:ascii="Times New Roman" w:hAnsi="Times New Roman"/>
          <w:sz w:val="24"/>
        </w:rPr>
        <w:tab/>
        <w:t>1. Een registratie aangaande een overeenkomst in een stelsel van kredietregistratie als bedoeld in artikel 4:32 van de Wet op het financieel toezicht met een belanghebbende of zijn partner als bedoeld in artikel 49i, eerste lid, eerste volzin, in verband met een achterstand die is komen te vervallen, wordt door degene die deze heeft geregistreerd per omgaande verwijderd uit het stelsel van kredietregistratie.</w:t>
      </w:r>
    </w:p>
    <w:p w:rsidR="0008132C" w:rsidP="0008132C" w:rsidRDefault="0008132C">
      <w:pPr>
        <w:tabs>
          <w:tab w:val="left" w:pos="284"/>
          <w:tab w:val="left" w:pos="567"/>
          <w:tab w:val="left" w:pos="851"/>
        </w:tabs>
        <w:ind w:right="-2"/>
        <w:rPr>
          <w:rFonts w:ascii="Times New Roman" w:hAnsi="Times New Roman"/>
          <w:b/>
          <w:sz w:val="24"/>
          <w:szCs w:val="20"/>
        </w:rPr>
      </w:pPr>
      <w:r w:rsidRPr="0008132C">
        <w:rPr>
          <w:rFonts w:ascii="Times New Roman" w:hAnsi="Times New Roman"/>
          <w:sz w:val="24"/>
        </w:rPr>
        <w:tab/>
        <w:t xml:space="preserve"> 2. De Belastingdienst/Toeslagen kan op diens verzoek en indien noodzakelijk ter ondersteuning van de uitvoering van het eerste lid aan het stelsel van kredietregistratie de naam en de geboortedatum, de adresgegevens van de belanghebbende of zijn partner verstrekken.</w:t>
      </w:r>
    </w:p>
    <w:p w:rsidR="0008132C" w:rsidP="00332C99" w:rsidRDefault="0008132C">
      <w:pPr>
        <w:tabs>
          <w:tab w:val="left" w:pos="284"/>
          <w:tab w:val="left" w:pos="567"/>
          <w:tab w:val="left" w:pos="851"/>
        </w:tabs>
        <w:ind w:right="-2"/>
        <w:rPr>
          <w:rFonts w:ascii="Times New Roman" w:hAnsi="Times New Roman"/>
          <w:b/>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r w:rsidRPr="00332C99">
        <w:rPr>
          <w:rFonts w:ascii="Times New Roman" w:hAnsi="Times New Roman"/>
          <w:b/>
          <w:sz w:val="24"/>
          <w:szCs w:val="20"/>
        </w:rPr>
        <w:t>Artikel 3</w:t>
      </w:r>
      <w:r w:rsidRPr="00332C99">
        <w:rPr>
          <w:rFonts w:ascii="Times New Roman" w:hAnsi="Times New Roman"/>
          <w:sz w:val="24"/>
          <w:szCs w:val="20"/>
        </w:rPr>
        <w:br/>
      </w:r>
    </w:p>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132C" w:rsidR="0008132C">
        <w:rPr>
          <w:rFonts w:ascii="Times New Roman" w:hAnsi="Times New Roman"/>
          <w:sz w:val="24"/>
          <w:szCs w:val="20"/>
        </w:rPr>
        <w:t>Deze wet treedt in werking met ingang van de dag na de datum van uitgifte van het Staatsblad waarin zij wordt geplaatst en werkt terug tot en met 29 januari 2021, met dien verstande dat artikel 2a terug werkt tot en met 12 februari 2021.</w:t>
      </w:r>
    </w:p>
    <w:p w:rsidR="00332C99" w:rsidP="00332C99" w:rsidRDefault="00332C99">
      <w:pPr>
        <w:tabs>
          <w:tab w:val="left" w:pos="284"/>
          <w:tab w:val="left" w:pos="567"/>
          <w:tab w:val="left" w:pos="851"/>
        </w:tabs>
        <w:ind w:right="-2"/>
        <w:rPr>
          <w:rFonts w:ascii="Times New Roman" w:hAnsi="Times New Roman"/>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p>
    <w:p w:rsidRPr="00332C99" w:rsidR="00332C99" w:rsidP="00332C99" w:rsidRDefault="00332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2C9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32C99" w:rsidR="00332C99" w:rsidP="00332C99" w:rsidRDefault="00332C99">
      <w:pPr>
        <w:tabs>
          <w:tab w:val="left" w:pos="284"/>
          <w:tab w:val="left" w:pos="567"/>
          <w:tab w:val="left" w:pos="851"/>
        </w:tabs>
        <w:ind w:right="-2"/>
        <w:rPr>
          <w:rFonts w:ascii="Times New Roman" w:hAnsi="Times New Roman"/>
          <w:sz w:val="24"/>
          <w:szCs w:val="20"/>
        </w:rPr>
      </w:pPr>
    </w:p>
    <w:p w:rsidRPr="00332C99" w:rsidR="00332C99" w:rsidP="00332C99" w:rsidRDefault="00332C99">
      <w:pPr>
        <w:tabs>
          <w:tab w:val="left" w:pos="284"/>
          <w:tab w:val="left" w:pos="567"/>
          <w:tab w:val="left" w:pos="851"/>
        </w:tabs>
        <w:ind w:right="-2"/>
        <w:rPr>
          <w:rFonts w:ascii="Times New Roman" w:hAnsi="Times New Roman"/>
          <w:sz w:val="24"/>
          <w:szCs w:val="20"/>
        </w:rPr>
      </w:pPr>
      <w:r w:rsidRPr="00332C99">
        <w:rPr>
          <w:rFonts w:ascii="Times New Roman" w:hAnsi="Times New Roman"/>
          <w:sz w:val="24"/>
          <w:szCs w:val="20"/>
        </w:rPr>
        <w:t>Gegeven</w:t>
      </w:r>
    </w:p>
    <w:p w:rsidR="00332C99" w:rsidP="00332C99" w:rsidRDefault="00332C99">
      <w:pPr>
        <w:tabs>
          <w:tab w:val="left" w:pos="284"/>
          <w:tab w:val="left" w:pos="567"/>
          <w:tab w:val="left" w:pos="851"/>
        </w:tabs>
        <w:ind w:right="-2"/>
        <w:rPr>
          <w:rFonts w:ascii="Times New Roman" w:hAnsi="Times New Roman"/>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p>
    <w:p w:rsidR="00332C99" w:rsidP="00332C99" w:rsidRDefault="00332C99">
      <w:pPr>
        <w:tabs>
          <w:tab w:val="left" w:pos="284"/>
          <w:tab w:val="left" w:pos="567"/>
          <w:tab w:val="left" w:pos="851"/>
        </w:tabs>
        <w:ind w:right="-2"/>
        <w:rPr>
          <w:rFonts w:ascii="Times New Roman" w:hAnsi="Times New Roman"/>
          <w:sz w:val="24"/>
          <w:szCs w:val="20"/>
        </w:rPr>
      </w:pPr>
    </w:p>
    <w:p w:rsidRPr="00332C99" w:rsidR="00332C99" w:rsidP="00332C99" w:rsidRDefault="00332C99">
      <w:pPr>
        <w:tabs>
          <w:tab w:val="left" w:pos="284"/>
          <w:tab w:val="left" w:pos="567"/>
          <w:tab w:val="left" w:pos="851"/>
        </w:tabs>
        <w:ind w:right="-2"/>
        <w:rPr>
          <w:rFonts w:ascii="Times New Roman" w:hAnsi="Times New Roman"/>
          <w:sz w:val="24"/>
          <w:szCs w:val="20"/>
        </w:rPr>
      </w:pPr>
    </w:p>
    <w:p w:rsidR="00CB3578" w:rsidP="00332C99" w:rsidRDefault="00332C99">
      <w:pPr>
        <w:tabs>
          <w:tab w:val="left" w:pos="284"/>
          <w:tab w:val="left" w:pos="567"/>
          <w:tab w:val="left" w:pos="851"/>
        </w:tabs>
        <w:ind w:right="-2"/>
        <w:rPr>
          <w:rFonts w:ascii="Times New Roman" w:hAnsi="Times New Roman"/>
          <w:sz w:val="24"/>
          <w:szCs w:val="20"/>
        </w:rPr>
      </w:pPr>
      <w:r w:rsidRPr="00332C99">
        <w:rPr>
          <w:rFonts w:ascii="Times New Roman" w:hAnsi="Times New Roman"/>
          <w:sz w:val="24"/>
          <w:szCs w:val="20"/>
        </w:rPr>
        <w:t>De Minister van Financiën</w:t>
      </w:r>
      <w:r>
        <w:rPr>
          <w:rFonts w:ascii="Times New Roman" w:hAnsi="Times New Roman"/>
          <w:sz w:val="24"/>
          <w:szCs w:val="20"/>
        </w:rPr>
        <w:t>,</w:t>
      </w:r>
    </w:p>
    <w:p w:rsidR="00332C99" w:rsidP="00332C99" w:rsidRDefault="00332C99">
      <w:pPr>
        <w:tabs>
          <w:tab w:val="left" w:pos="284"/>
          <w:tab w:val="left" w:pos="567"/>
          <w:tab w:val="left" w:pos="851"/>
        </w:tabs>
        <w:ind w:right="-2"/>
        <w:rPr>
          <w:rFonts w:ascii="Times New Roman" w:hAnsi="Times New Roman"/>
          <w:sz w:val="24"/>
          <w:szCs w:val="20"/>
        </w:rPr>
      </w:pPr>
    </w:p>
    <w:p w:rsidR="0008132C" w:rsidP="0008132C" w:rsidRDefault="0008132C">
      <w:pPr>
        <w:tabs>
          <w:tab w:val="left" w:pos="284"/>
          <w:tab w:val="left" w:pos="567"/>
          <w:tab w:val="left" w:pos="851"/>
        </w:tabs>
        <w:ind w:right="-2"/>
        <w:rPr>
          <w:rFonts w:ascii="Times New Roman" w:hAnsi="Times New Roman"/>
          <w:sz w:val="24"/>
          <w:szCs w:val="20"/>
        </w:rPr>
      </w:pPr>
    </w:p>
    <w:p w:rsidR="0008132C" w:rsidP="0008132C" w:rsidRDefault="0008132C">
      <w:pPr>
        <w:tabs>
          <w:tab w:val="left" w:pos="284"/>
          <w:tab w:val="left" w:pos="567"/>
          <w:tab w:val="left" w:pos="851"/>
        </w:tabs>
        <w:ind w:right="-2"/>
        <w:rPr>
          <w:rFonts w:ascii="Times New Roman" w:hAnsi="Times New Roman"/>
          <w:sz w:val="24"/>
          <w:szCs w:val="20"/>
        </w:rPr>
      </w:pPr>
    </w:p>
    <w:p w:rsidR="0008132C" w:rsidP="0008132C" w:rsidRDefault="0008132C">
      <w:pPr>
        <w:tabs>
          <w:tab w:val="left" w:pos="284"/>
          <w:tab w:val="left" w:pos="567"/>
          <w:tab w:val="left" w:pos="851"/>
        </w:tabs>
        <w:ind w:right="-2"/>
        <w:rPr>
          <w:rFonts w:ascii="Times New Roman" w:hAnsi="Times New Roman"/>
          <w:sz w:val="24"/>
          <w:szCs w:val="20"/>
        </w:rPr>
      </w:pPr>
    </w:p>
    <w:p w:rsidR="0008132C" w:rsidP="0008132C" w:rsidRDefault="0008132C">
      <w:pPr>
        <w:tabs>
          <w:tab w:val="left" w:pos="284"/>
          <w:tab w:val="left" w:pos="567"/>
          <w:tab w:val="left" w:pos="851"/>
        </w:tabs>
        <w:ind w:right="-2"/>
        <w:rPr>
          <w:rFonts w:ascii="Times New Roman" w:hAnsi="Times New Roman"/>
          <w:sz w:val="24"/>
          <w:szCs w:val="20"/>
        </w:rPr>
      </w:pPr>
    </w:p>
    <w:p w:rsidR="0008132C" w:rsidP="0008132C" w:rsidRDefault="0008132C">
      <w:pPr>
        <w:tabs>
          <w:tab w:val="left" w:pos="284"/>
          <w:tab w:val="left" w:pos="567"/>
          <w:tab w:val="left" w:pos="851"/>
        </w:tabs>
        <w:ind w:right="-2"/>
        <w:rPr>
          <w:rFonts w:ascii="Times New Roman" w:hAnsi="Times New Roman"/>
          <w:sz w:val="24"/>
          <w:szCs w:val="20"/>
        </w:rPr>
      </w:pPr>
    </w:p>
    <w:p w:rsidR="0008132C" w:rsidP="0008132C" w:rsidRDefault="0008132C">
      <w:pPr>
        <w:tabs>
          <w:tab w:val="left" w:pos="284"/>
          <w:tab w:val="left" w:pos="567"/>
          <w:tab w:val="left" w:pos="851"/>
        </w:tabs>
        <w:ind w:right="-2"/>
        <w:rPr>
          <w:rFonts w:ascii="Times New Roman" w:hAnsi="Times New Roman"/>
          <w:sz w:val="24"/>
          <w:szCs w:val="20"/>
        </w:rPr>
      </w:pPr>
    </w:p>
    <w:p w:rsidRPr="00332C99" w:rsidR="0008132C" w:rsidP="0008132C" w:rsidRDefault="0008132C">
      <w:pPr>
        <w:tabs>
          <w:tab w:val="left" w:pos="284"/>
          <w:tab w:val="left" w:pos="567"/>
          <w:tab w:val="left" w:pos="851"/>
        </w:tabs>
        <w:ind w:right="-2"/>
        <w:rPr>
          <w:rFonts w:ascii="Times New Roman" w:hAnsi="Times New Roman"/>
          <w:sz w:val="24"/>
          <w:szCs w:val="20"/>
        </w:rPr>
      </w:pPr>
    </w:p>
    <w:p w:rsidR="0008132C" w:rsidP="0008132C" w:rsidRDefault="0008132C">
      <w:pPr>
        <w:tabs>
          <w:tab w:val="left" w:pos="284"/>
          <w:tab w:val="left" w:pos="567"/>
          <w:tab w:val="left" w:pos="851"/>
        </w:tabs>
        <w:ind w:right="-2"/>
        <w:rPr>
          <w:rFonts w:ascii="Times New Roman" w:hAnsi="Times New Roman"/>
          <w:sz w:val="24"/>
          <w:szCs w:val="20"/>
        </w:rPr>
        <w:sectPr w:rsidR="0008132C" w:rsidSect="00A11E73">
          <w:footerReference w:type="even" r:id="rId6"/>
          <w:footerReference w:type="default" r:id="rId7"/>
          <w:pgSz w:w="11906" w:h="16838"/>
          <w:pgMar w:top="1418" w:right="1418" w:bottom="1418" w:left="1418" w:header="357" w:footer="1440" w:gutter="0"/>
          <w:pgNumType w:start="1"/>
          <w:cols w:space="708"/>
          <w:noEndnote/>
        </w:sectPr>
      </w:pPr>
      <w:r w:rsidRPr="00332C99">
        <w:rPr>
          <w:rFonts w:ascii="Times New Roman" w:hAnsi="Times New Roman"/>
          <w:sz w:val="24"/>
          <w:szCs w:val="20"/>
        </w:rPr>
        <w:t>De Minister van Financiën</w:t>
      </w:r>
      <w:r>
        <w:rPr>
          <w:rFonts w:ascii="Times New Roman" w:hAnsi="Times New Roman"/>
          <w:sz w:val="24"/>
          <w:szCs w:val="20"/>
        </w:rPr>
        <w:t>,</w:t>
      </w:r>
    </w:p>
    <w:p w:rsidR="00332C99" w:rsidP="00332C99" w:rsidRDefault="00332C99">
      <w:pPr>
        <w:tabs>
          <w:tab w:val="left" w:pos="284"/>
          <w:tab w:val="left" w:pos="567"/>
          <w:tab w:val="left" w:pos="851"/>
        </w:tabs>
        <w:ind w:right="-2"/>
        <w:rPr>
          <w:rFonts w:ascii="Times New Roman" w:hAnsi="Times New Roman"/>
          <w:b/>
          <w:sz w:val="24"/>
          <w:szCs w:val="20"/>
        </w:rPr>
      </w:pPr>
      <w:r w:rsidRPr="00332C99">
        <w:rPr>
          <w:rFonts w:ascii="Times New Roman" w:hAnsi="Times New Roman"/>
          <w:b/>
          <w:sz w:val="24"/>
          <w:szCs w:val="20"/>
        </w:rPr>
        <w:lastRenderedPageBreak/>
        <w:t>Wijziging van de begrotingsstaat van het Ministerie van Financiën (IXB) voor het jaar 2021 (Incidentele suppletoire begroting inzake Herstel Toeslagen) (Bedragen x € 1.000)</w:t>
      </w:r>
    </w:p>
    <w:p w:rsidR="00332C99" w:rsidP="00332C99" w:rsidRDefault="00332C99">
      <w:pPr>
        <w:tabs>
          <w:tab w:val="left" w:pos="284"/>
          <w:tab w:val="left" w:pos="567"/>
          <w:tab w:val="left" w:pos="851"/>
        </w:tabs>
        <w:ind w:right="-2"/>
        <w:rPr>
          <w:rFonts w:ascii="Times New Roman" w:hAnsi="Times New Roman"/>
          <w:b/>
          <w:sz w:val="24"/>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01"/>
        <w:gridCol w:w="5765"/>
        <w:gridCol w:w="1447"/>
        <w:gridCol w:w="960"/>
        <w:gridCol w:w="1256"/>
        <w:gridCol w:w="1623"/>
        <w:gridCol w:w="1038"/>
        <w:gridCol w:w="1402"/>
      </w:tblGrid>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bookmarkStart w:name="RANGE!A1:E17" w:id="1"/>
            <w:r w:rsidRPr="00332C99">
              <w:rPr>
                <w:rFonts w:ascii="Times New Roman" w:hAnsi="Times New Roman"/>
                <w:b/>
                <w:bCs/>
                <w:color w:val="000000"/>
                <w:szCs w:val="20"/>
              </w:rPr>
              <w:t>Art.</w:t>
            </w:r>
            <w:bookmarkEnd w:id="1"/>
          </w:p>
        </w:tc>
        <w:tc>
          <w:tcPr>
            <w:tcW w:w="2060" w:type="pct"/>
            <w:shd w:val="clear" w:color="auto" w:fill="auto"/>
            <w:noWrap/>
            <w:vAlign w:val="bottom"/>
            <w:hideMark/>
          </w:tcPr>
          <w:p w:rsidRPr="00332C99" w:rsidR="00332C99" w:rsidP="00332C99" w:rsidRDefault="00332C99">
            <w:pPr>
              <w:rPr>
                <w:rFonts w:ascii="Times New Roman" w:hAnsi="Times New Roman"/>
                <w:b/>
                <w:bCs/>
                <w:color w:val="000000"/>
                <w:szCs w:val="20"/>
              </w:rPr>
            </w:pPr>
            <w:r w:rsidRPr="00332C99">
              <w:rPr>
                <w:rFonts w:ascii="Times New Roman" w:hAnsi="Times New Roman"/>
                <w:b/>
                <w:bCs/>
                <w:color w:val="000000"/>
                <w:szCs w:val="20"/>
              </w:rPr>
              <w:t>Omschrijving</w:t>
            </w:r>
          </w:p>
        </w:tc>
        <w:tc>
          <w:tcPr>
            <w:tcW w:w="1308" w:type="pct"/>
            <w:gridSpan w:val="3"/>
            <w:shd w:val="clear" w:color="auto" w:fill="auto"/>
            <w:noWrap/>
            <w:vAlign w:val="bottom"/>
            <w:hideMark/>
          </w:tcPr>
          <w:p w:rsidRPr="00332C99" w:rsidR="00332C99" w:rsidP="00332C99" w:rsidRDefault="00332C99">
            <w:pPr>
              <w:jc w:val="center"/>
              <w:rPr>
                <w:rFonts w:ascii="Times New Roman" w:hAnsi="Times New Roman"/>
                <w:b/>
                <w:bCs/>
                <w:color w:val="000000"/>
                <w:szCs w:val="20"/>
              </w:rPr>
            </w:pPr>
            <w:r w:rsidRPr="00332C99">
              <w:rPr>
                <w:rFonts w:ascii="Times New Roman" w:hAnsi="Times New Roman"/>
                <w:b/>
                <w:bCs/>
                <w:color w:val="000000"/>
                <w:szCs w:val="20"/>
              </w:rPr>
              <w:t xml:space="preserve">Vastgestelde begroting incl. </w:t>
            </w:r>
            <w:proofErr w:type="spellStart"/>
            <w:r w:rsidRPr="00332C99">
              <w:rPr>
                <w:rFonts w:ascii="Times New Roman" w:hAnsi="Times New Roman"/>
                <w:b/>
                <w:bCs/>
                <w:color w:val="000000"/>
                <w:szCs w:val="20"/>
              </w:rPr>
              <w:t>NvW</w:t>
            </w:r>
            <w:proofErr w:type="spellEnd"/>
            <w:r w:rsidRPr="00332C99">
              <w:rPr>
                <w:rFonts w:ascii="Times New Roman" w:hAnsi="Times New Roman"/>
                <w:b/>
                <w:bCs/>
                <w:color w:val="000000"/>
                <w:szCs w:val="20"/>
              </w:rPr>
              <w:t xml:space="preserve"> </w:t>
            </w:r>
          </w:p>
        </w:tc>
        <w:tc>
          <w:tcPr>
            <w:tcW w:w="1453" w:type="pct"/>
            <w:gridSpan w:val="3"/>
            <w:shd w:val="clear" w:color="auto" w:fill="auto"/>
            <w:noWrap/>
            <w:vAlign w:val="bottom"/>
            <w:hideMark/>
          </w:tcPr>
          <w:p w:rsidRPr="00332C99" w:rsidR="00332C99" w:rsidP="00332C99" w:rsidRDefault="00332C99">
            <w:pPr>
              <w:jc w:val="center"/>
              <w:rPr>
                <w:rFonts w:ascii="Times New Roman" w:hAnsi="Times New Roman"/>
                <w:b/>
                <w:bCs/>
                <w:color w:val="000000"/>
                <w:szCs w:val="20"/>
              </w:rPr>
            </w:pPr>
            <w:r w:rsidRPr="00332C99">
              <w:rPr>
                <w:rFonts w:ascii="Times New Roman" w:hAnsi="Times New Roman"/>
                <w:b/>
                <w:bCs/>
                <w:color w:val="000000"/>
                <w:szCs w:val="20"/>
              </w:rPr>
              <w:t>Mutaties 1e incidentele suppletoire begroting</w:t>
            </w: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center"/>
              <w:rPr>
                <w:rFonts w:ascii="Times New Roman" w:hAnsi="Times New Roman"/>
                <w:b/>
                <w:bCs/>
                <w:color w:val="000000"/>
                <w:szCs w:val="20"/>
              </w:rPr>
            </w:pPr>
          </w:p>
        </w:tc>
        <w:tc>
          <w:tcPr>
            <w:tcW w:w="2060"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17"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Verplichtingen</w:t>
            </w:r>
          </w:p>
        </w:tc>
        <w:tc>
          <w:tcPr>
            <w:tcW w:w="343"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Uitgaven</w:t>
            </w:r>
          </w:p>
        </w:tc>
        <w:tc>
          <w:tcPr>
            <w:tcW w:w="449"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Ontvangsten</w:t>
            </w:r>
          </w:p>
        </w:tc>
        <w:tc>
          <w:tcPr>
            <w:tcW w:w="580"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Verplichtingen</w:t>
            </w:r>
          </w:p>
        </w:tc>
        <w:tc>
          <w:tcPr>
            <w:tcW w:w="371"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Uitgaven</w:t>
            </w:r>
          </w:p>
        </w:tc>
        <w:tc>
          <w:tcPr>
            <w:tcW w:w="503"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Ontvangsten</w:t>
            </w: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p>
        </w:tc>
        <w:tc>
          <w:tcPr>
            <w:tcW w:w="2060" w:type="pct"/>
            <w:shd w:val="clear" w:color="auto" w:fill="auto"/>
            <w:noWrap/>
            <w:vAlign w:val="bottom"/>
            <w:hideMark/>
          </w:tcPr>
          <w:p w:rsidRPr="00332C99" w:rsidR="00332C99" w:rsidP="00332C99" w:rsidRDefault="00332C99">
            <w:pPr>
              <w:rPr>
                <w:rFonts w:ascii="Times New Roman" w:hAnsi="Times New Roman"/>
                <w:b/>
                <w:bCs/>
                <w:color w:val="000000"/>
                <w:szCs w:val="20"/>
              </w:rPr>
            </w:pPr>
            <w:r w:rsidRPr="00332C99">
              <w:rPr>
                <w:rFonts w:ascii="Times New Roman" w:hAnsi="Times New Roman"/>
                <w:b/>
                <w:bCs/>
                <w:color w:val="000000"/>
                <w:szCs w:val="20"/>
              </w:rPr>
              <w:t>Totaal</w:t>
            </w:r>
          </w:p>
        </w:tc>
        <w:tc>
          <w:tcPr>
            <w:tcW w:w="517"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16.540.038</w:t>
            </w:r>
          </w:p>
        </w:tc>
        <w:tc>
          <w:tcPr>
            <w:tcW w:w="343"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9.954.970</w:t>
            </w:r>
          </w:p>
        </w:tc>
        <w:tc>
          <w:tcPr>
            <w:tcW w:w="449"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156.162.159</w:t>
            </w:r>
          </w:p>
        </w:tc>
        <w:tc>
          <w:tcPr>
            <w:tcW w:w="580"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 xml:space="preserve">           876.000 </w:t>
            </w:r>
          </w:p>
        </w:tc>
        <w:tc>
          <w:tcPr>
            <w:tcW w:w="371"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r w:rsidRPr="00332C99">
              <w:rPr>
                <w:rFonts w:ascii="Times New Roman" w:hAnsi="Times New Roman"/>
                <w:b/>
                <w:bCs/>
                <w:color w:val="000000"/>
                <w:szCs w:val="20"/>
              </w:rPr>
              <w:t xml:space="preserve"> 876.000 </w:t>
            </w:r>
          </w:p>
        </w:tc>
        <w:tc>
          <w:tcPr>
            <w:tcW w:w="503" w:type="pct"/>
            <w:shd w:val="clear" w:color="auto" w:fill="auto"/>
            <w:noWrap/>
            <w:vAlign w:val="bottom"/>
            <w:hideMark/>
          </w:tcPr>
          <w:p w:rsidRPr="00332C99" w:rsidR="00332C99" w:rsidP="00332C99" w:rsidRDefault="00332C99">
            <w:pPr>
              <w:jc w:val="right"/>
              <w:rPr>
                <w:rFonts w:ascii="Times New Roman" w:hAnsi="Times New Roman"/>
                <w:b/>
                <w:bCs/>
                <w:color w:val="000000"/>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rPr>
                <w:rFonts w:ascii="Times New Roman" w:hAnsi="Times New Roman"/>
                <w:szCs w:val="20"/>
              </w:rPr>
            </w:pPr>
          </w:p>
        </w:tc>
        <w:tc>
          <w:tcPr>
            <w:tcW w:w="2060"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17" w:type="pct"/>
            <w:shd w:val="clear" w:color="auto" w:fill="auto"/>
            <w:noWrap/>
            <w:vAlign w:val="bottom"/>
            <w:hideMark/>
          </w:tcPr>
          <w:p w:rsidRPr="00332C99" w:rsidR="00332C99" w:rsidP="00332C99" w:rsidRDefault="00332C99">
            <w:pPr>
              <w:rPr>
                <w:rFonts w:ascii="Times New Roman" w:hAnsi="Times New Roman"/>
                <w:szCs w:val="20"/>
              </w:rPr>
            </w:pPr>
          </w:p>
        </w:tc>
        <w:tc>
          <w:tcPr>
            <w:tcW w:w="343"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449"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80"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rPr>
                <w:rFonts w:ascii="Times New Roman" w:hAnsi="Times New Roman"/>
                <w:szCs w:val="20"/>
              </w:rPr>
            </w:pPr>
          </w:p>
        </w:tc>
        <w:tc>
          <w:tcPr>
            <w:tcW w:w="2060" w:type="pct"/>
            <w:shd w:val="clear" w:color="auto" w:fill="auto"/>
            <w:noWrap/>
            <w:vAlign w:val="bottom"/>
            <w:hideMark/>
          </w:tcPr>
          <w:p w:rsidRPr="00332C99" w:rsidR="00332C99" w:rsidP="00332C99" w:rsidRDefault="00332C99">
            <w:pPr>
              <w:rPr>
                <w:rFonts w:ascii="Times New Roman" w:hAnsi="Times New Roman"/>
                <w:b/>
                <w:bCs/>
                <w:color w:val="000000"/>
                <w:szCs w:val="20"/>
              </w:rPr>
            </w:pPr>
            <w:r w:rsidRPr="00332C99">
              <w:rPr>
                <w:rFonts w:ascii="Times New Roman" w:hAnsi="Times New Roman"/>
                <w:b/>
                <w:bCs/>
                <w:color w:val="000000"/>
                <w:szCs w:val="20"/>
              </w:rPr>
              <w:t>Beleidsartikelen</w:t>
            </w:r>
          </w:p>
        </w:tc>
        <w:tc>
          <w:tcPr>
            <w:tcW w:w="517" w:type="pct"/>
            <w:shd w:val="clear" w:color="auto" w:fill="auto"/>
            <w:noWrap/>
            <w:vAlign w:val="bottom"/>
            <w:hideMark/>
          </w:tcPr>
          <w:p w:rsidRPr="00332C99" w:rsidR="00332C99" w:rsidP="00332C99" w:rsidRDefault="00332C99">
            <w:pPr>
              <w:rPr>
                <w:rFonts w:ascii="Times New Roman" w:hAnsi="Times New Roman"/>
                <w:b/>
                <w:bCs/>
                <w:color w:val="000000"/>
                <w:szCs w:val="20"/>
              </w:rPr>
            </w:pPr>
          </w:p>
        </w:tc>
        <w:tc>
          <w:tcPr>
            <w:tcW w:w="343"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449"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80"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Belastingen</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2.987.107</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3.108.560</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150.945.690</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 xml:space="preserve">           14.000 </w:t>
            </w:r>
          </w:p>
        </w:tc>
        <w:tc>
          <w:tcPr>
            <w:tcW w:w="371"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 xml:space="preserve">    14.000 </w:t>
            </w:r>
          </w:p>
        </w:tc>
        <w:tc>
          <w:tcPr>
            <w:tcW w:w="50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Financiële markten</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26.053</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26.053</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10.255</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3</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Financieringsactiviteiten publiek-private sector</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692.928</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692.928</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815.850</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4</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Internationale financiële betrekkingen</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-2.082.075</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79.362</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136.298</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5</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Exportkredietverzekeringen, -garanties en investeringsverzekeringen</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10.133.378</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1.265.378</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624.914</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6</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Btw-Compensatiefonds</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3.576.710</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3.576.710</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3.576.710</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9</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Douane</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540.248</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540.248</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605</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c>
          <w:tcPr>
            <w:tcW w:w="371"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03" w:type="pct"/>
            <w:shd w:val="clear" w:color="auto" w:fill="auto"/>
            <w:noWrap/>
            <w:vAlign w:val="bottom"/>
            <w:hideMark/>
          </w:tcPr>
          <w:p w:rsidRPr="00332C99" w:rsidR="00332C99" w:rsidP="00332C99" w:rsidRDefault="00332C99">
            <w:pPr>
              <w:jc w:val="right"/>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13</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Toeslagen</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118.125</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118.125</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0</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 xml:space="preserve">          612.000 </w:t>
            </w:r>
          </w:p>
        </w:tc>
        <w:tc>
          <w:tcPr>
            <w:tcW w:w="371"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 xml:space="preserve">  612.000 </w:t>
            </w:r>
          </w:p>
        </w:tc>
        <w:tc>
          <w:tcPr>
            <w:tcW w:w="50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rPr>
                <w:rFonts w:ascii="Times New Roman" w:hAnsi="Times New Roman"/>
                <w:szCs w:val="20"/>
              </w:rPr>
            </w:pPr>
          </w:p>
        </w:tc>
        <w:tc>
          <w:tcPr>
            <w:tcW w:w="2060"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17" w:type="pct"/>
            <w:shd w:val="clear" w:color="auto" w:fill="auto"/>
            <w:noWrap/>
            <w:vAlign w:val="bottom"/>
            <w:hideMark/>
          </w:tcPr>
          <w:p w:rsidRPr="00332C99" w:rsidR="00332C99" w:rsidP="00332C99" w:rsidRDefault="00332C99">
            <w:pPr>
              <w:rPr>
                <w:rFonts w:ascii="Times New Roman" w:hAnsi="Times New Roman"/>
                <w:szCs w:val="20"/>
              </w:rPr>
            </w:pPr>
          </w:p>
        </w:tc>
        <w:tc>
          <w:tcPr>
            <w:tcW w:w="343"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449"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80"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371" w:type="pct"/>
            <w:shd w:val="clear" w:color="auto" w:fill="auto"/>
            <w:noWrap/>
            <w:vAlign w:val="bottom"/>
            <w:hideMark/>
          </w:tcPr>
          <w:p w:rsidRPr="00332C99" w:rsidR="00332C99" w:rsidP="00332C99" w:rsidRDefault="00332C99">
            <w:pPr>
              <w:rPr>
                <w:rFonts w:ascii="Times New Roman" w:hAnsi="Times New Roman"/>
                <w:szCs w:val="20"/>
              </w:rPr>
            </w:pPr>
          </w:p>
        </w:tc>
        <w:tc>
          <w:tcPr>
            <w:tcW w:w="503" w:type="pct"/>
            <w:shd w:val="clear" w:color="auto" w:fill="auto"/>
            <w:noWrap/>
            <w:vAlign w:val="bottom"/>
            <w:hideMark/>
          </w:tcPr>
          <w:p w:rsidRPr="00332C99" w:rsidR="00332C99" w:rsidP="00332C99" w:rsidRDefault="00332C99">
            <w:pPr>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rPr>
                <w:rFonts w:ascii="Times New Roman" w:hAnsi="Times New Roman"/>
                <w:szCs w:val="20"/>
              </w:rPr>
            </w:pPr>
          </w:p>
        </w:tc>
        <w:tc>
          <w:tcPr>
            <w:tcW w:w="2577" w:type="pct"/>
            <w:gridSpan w:val="2"/>
            <w:shd w:val="clear" w:color="auto" w:fill="auto"/>
            <w:noWrap/>
            <w:vAlign w:val="bottom"/>
            <w:hideMark/>
          </w:tcPr>
          <w:p w:rsidRPr="00332C99" w:rsidR="00332C99" w:rsidP="00332C99" w:rsidRDefault="00332C99">
            <w:pPr>
              <w:rPr>
                <w:rFonts w:ascii="Times New Roman" w:hAnsi="Times New Roman"/>
                <w:b/>
                <w:bCs/>
                <w:color w:val="000000"/>
                <w:szCs w:val="20"/>
              </w:rPr>
            </w:pPr>
            <w:r w:rsidRPr="00332C99">
              <w:rPr>
                <w:rFonts w:ascii="Times New Roman" w:hAnsi="Times New Roman"/>
                <w:b/>
                <w:bCs/>
                <w:color w:val="000000"/>
                <w:szCs w:val="20"/>
              </w:rPr>
              <w:t>Niet-beleidsartikelen</w:t>
            </w:r>
          </w:p>
        </w:tc>
        <w:tc>
          <w:tcPr>
            <w:tcW w:w="343" w:type="pct"/>
            <w:shd w:val="clear" w:color="auto" w:fill="auto"/>
            <w:noWrap/>
            <w:vAlign w:val="bottom"/>
            <w:hideMark/>
          </w:tcPr>
          <w:p w:rsidRPr="00332C99" w:rsidR="00332C99" w:rsidP="00332C99" w:rsidRDefault="00332C99">
            <w:pPr>
              <w:rPr>
                <w:rFonts w:ascii="Times New Roman" w:hAnsi="Times New Roman"/>
                <w:b/>
                <w:bCs/>
                <w:color w:val="000000"/>
                <w:szCs w:val="20"/>
              </w:rPr>
            </w:pPr>
          </w:p>
        </w:tc>
        <w:tc>
          <w:tcPr>
            <w:tcW w:w="449"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580" w:type="pct"/>
            <w:shd w:val="clear" w:color="auto" w:fill="auto"/>
            <w:noWrap/>
            <w:vAlign w:val="bottom"/>
            <w:hideMark/>
          </w:tcPr>
          <w:p w:rsidRPr="00332C99" w:rsidR="00332C99" w:rsidP="00332C99" w:rsidRDefault="00332C99">
            <w:pPr>
              <w:jc w:val="right"/>
              <w:rPr>
                <w:rFonts w:ascii="Times New Roman" w:hAnsi="Times New Roman"/>
                <w:szCs w:val="20"/>
              </w:rPr>
            </w:pPr>
          </w:p>
        </w:tc>
        <w:tc>
          <w:tcPr>
            <w:tcW w:w="371" w:type="pct"/>
            <w:shd w:val="clear" w:color="auto" w:fill="auto"/>
            <w:noWrap/>
            <w:vAlign w:val="bottom"/>
            <w:hideMark/>
          </w:tcPr>
          <w:p w:rsidRPr="00332C99" w:rsidR="00332C99" w:rsidP="00332C99" w:rsidRDefault="00332C99">
            <w:pPr>
              <w:rPr>
                <w:rFonts w:ascii="Times New Roman" w:hAnsi="Times New Roman"/>
                <w:szCs w:val="20"/>
              </w:rPr>
            </w:pPr>
          </w:p>
        </w:tc>
        <w:tc>
          <w:tcPr>
            <w:tcW w:w="503" w:type="pct"/>
            <w:shd w:val="clear" w:color="auto" w:fill="auto"/>
            <w:noWrap/>
            <w:vAlign w:val="bottom"/>
            <w:hideMark/>
          </w:tcPr>
          <w:p w:rsidRPr="00332C99" w:rsidR="00332C99" w:rsidP="00332C99" w:rsidRDefault="00332C99">
            <w:pPr>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8</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Apparaat kerndepartement</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283.512</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283.512</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51.837</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c>
          <w:tcPr>
            <w:tcW w:w="371" w:type="pct"/>
            <w:shd w:val="clear" w:color="auto" w:fill="auto"/>
            <w:noWrap/>
            <w:vAlign w:val="bottom"/>
            <w:hideMark/>
          </w:tcPr>
          <w:p w:rsidRPr="00332C99" w:rsidR="00332C99" w:rsidP="00332C99" w:rsidRDefault="00332C99">
            <w:pPr>
              <w:rPr>
                <w:rFonts w:ascii="Times New Roman" w:hAnsi="Times New Roman"/>
                <w:szCs w:val="20"/>
              </w:rPr>
            </w:pPr>
          </w:p>
        </w:tc>
        <w:tc>
          <w:tcPr>
            <w:tcW w:w="503" w:type="pct"/>
            <w:shd w:val="clear" w:color="auto" w:fill="auto"/>
            <w:noWrap/>
            <w:vAlign w:val="bottom"/>
            <w:hideMark/>
          </w:tcPr>
          <w:p w:rsidRPr="00332C99" w:rsidR="00332C99" w:rsidP="00332C99" w:rsidRDefault="00332C99">
            <w:pPr>
              <w:rPr>
                <w:rFonts w:ascii="Times New Roman" w:hAnsi="Times New Roman"/>
                <w:szCs w:val="20"/>
              </w:rPr>
            </w:pPr>
          </w:p>
        </w:tc>
      </w:tr>
      <w:tr w:rsidRPr="00332C99" w:rsidR="00332C99" w:rsidTr="00332C99">
        <w:trPr>
          <w:trHeight w:val="288"/>
        </w:trPr>
        <w:tc>
          <w:tcPr>
            <w:tcW w:w="17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10</w:t>
            </w:r>
          </w:p>
        </w:tc>
        <w:tc>
          <w:tcPr>
            <w:tcW w:w="2060" w:type="pct"/>
            <w:shd w:val="clear" w:color="auto" w:fill="auto"/>
            <w:noWrap/>
            <w:vAlign w:val="bottom"/>
            <w:hideMark/>
          </w:tcPr>
          <w:p w:rsidRPr="00332C99" w:rsidR="00332C99" w:rsidP="00332C99" w:rsidRDefault="00332C99">
            <w:pPr>
              <w:rPr>
                <w:rFonts w:ascii="Times New Roman" w:hAnsi="Times New Roman"/>
                <w:color w:val="000000"/>
                <w:szCs w:val="20"/>
              </w:rPr>
            </w:pPr>
            <w:r w:rsidRPr="00332C99">
              <w:rPr>
                <w:rFonts w:ascii="Times New Roman" w:hAnsi="Times New Roman"/>
                <w:color w:val="000000"/>
                <w:szCs w:val="20"/>
              </w:rPr>
              <w:t>Nog onverdeeld</w:t>
            </w:r>
          </w:p>
        </w:tc>
        <w:tc>
          <w:tcPr>
            <w:tcW w:w="517"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264.052</w:t>
            </w:r>
          </w:p>
        </w:tc>
        <w:tc>
          <w:tcPr>
            <w:tcW w:w="34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264.094</w:t>
            </w:r>
          </w:p>
        </w:tc>
        <w:tc>
          <w:tcPr>
            <w:tcW w:w="449"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0</w:t>
            </w:r>
          </w:p>
        </w:tc>
        <w:tc>
          <w:tcPr>
            <w:tcW w:w="580"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250.000</w:t>
            </w:r>
          </w:p>
        </w:tc>
        <w:tc>
          <w:tcPr>
            <w:tcW w:w="371" w:type="pct"/>
            <w:shd w:val="clear" w:color="auto" w:fill="auto"/>
            <w:noWrap/>
            <w:vAlign w:val="bottom"/>
            <w:hideMark/>
          </w:tcPr>
          <w:p w:rsidRPr="00332C99" w:rsidR="00332C99" w:rsidP="00332C99" w:rsidRDefault="00332C99">
            <w:pPr>
              <w:jc w:val="right"/>
              <w:rPr>
                <w:rFonts w:ascii="Times New Roman" w:hAnsi="Times New Roman"/>
                <w:color w:val="000000"/>
                <w:szCs w:val="20"/>
              </w:rPr>
            </w:pPr>
            <w:r w:rsidRPr="00332C99">
              <w:rPr>
                <w:rFonts w:ascii="Times New Roman" w:hAnsi="Times New Roman"/>
                <w:color w:val="000000"/>
                <w:szCs w:val="20"/>
              </w:rPr>
              <w:t>250.000</w:t>
            </w:r>
          </w:p>
        </w:tc>
        <w:tc>
          <w:tcPr>
            <w:tcW w:w="503" w:type="pct"/>
            <w:shd w:val="clear" w:color="auto" w:fill="auto"/>
            <w:noWrap/>
            <w:vAlign w:val="bottom"/>
            <w:hideMark/>
          </w:tcPr>
          <w:p w:rsidRPr="00332C99" w:rsidR="00332C99" w:rsidP="00332C99" w:rsidRDefault="00332C99">
            <w:pPr>
              <w:jc w:val="right"/>
              <w:rPr>
                <w:rFonts w:ascii="Times New Roman" w:hAnsi="Times New Roman"/>
                <w:color w:val="000000"/>
                <w:szCs w:val="20"/>
              </w:rPr>
            </w:pPr>
          </w:p>
        </w:tc>
      </w:tr>
    </w:tbl>
    <w:p w:rsidRPr="00332C99" w:rsidR="00332C99" w:rsidP="00332C99" w:rsidRDefault="00332C99">
      <w:pPr>
        <w:tabs>
          <w:tab w:val="left" w:pos="284"/>
          <w:tab w:val="left" w:pos="567"/>
          <w:tab w:val="left" w:pos="851"/>
        </w:tabs>
        <w:ind w:right="-2"/>
        <w:rPr>
          <w:rFonts w:ascii="Times New Roman" w:hAnsi="Times New Roman"/>
          <w:b/>
          <w:sz w:val="24"/>
          <w:szCs w:val="20"/>
        </w:rPr>
      </w:pPr>
    </w:p>
    <w:sectPr w:rsidRPr="00332C99" w:rsidR="00332C99" w:rsidSect="00332C9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AC3" w:rsidRDefault="00650AC3">
      <w:pPr>
        <w:spacing w:line="20" w:lineRule="exact"/>
      </w:pPr>
    </w:p>
  </w:endnote>
  <w:endnote w:type="continuationSeparator" w:id="0">
    <w:p w:rsidR="00650AC3" w:rsidRDefault="00650AC3">
      <w:pPr>
        <w:pStyle w:val="Amendement"/>
      </w:pPr>
      <w:r>
        <w:rPr>
          <w:b w:val="0"/>
          <w:bCs w:val="0"/>
        </w:rPr>
        <w:t xml:space="preserve"> </w:t>
      </w:r>
    </w:p>
  </w:endnote>
  <w:endnote w:type="continuationNotice" w:id="1">
    <w:p w:rsidR="00650AC3" w:rsidRDefault="00650A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2754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AC3" w:rsidRDefault="00650AC3">
      <w:pPr>
        <w:pStyle w:val="Amendement"/>
      </w:pPr>
      <w:r>
        <w:rPr>
          <w:b w:val="0"/>
          <w:bCs w:val="0"/>
        </w:rPr>
        <w:separator/>
      </w:r>
    </w:p>
  </w:footnote>
  <w:footnote w:type="continuationSeparator" w:id="0">
    <w:p w:rsidR="00650AC3" w:rsidRDefault="00650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C3"/>
    <w:rsid w:val="00012DBE"/>
    <w:rsid w:val="0008132C"/>
    <w:rsid w:val="000A1D81"/>
    <w:rsid w:val="00111ED3"/>
    <w:rsid w:val="001C190E"/>
    <w:rsid w:val="002168F4"/>
    <w:rsid w:val="002A727C"/>
    <w:rsid w:val="00332C99"/>
    <w:rsid w:val="00427546"/>
    <w:rsid w:val="005D2707"/>
    <w:rsid w:val="00606255"/>
    <w:rsid w:val="00650AC3"/>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A0D24"/>
  <w15:docId w15:val="{DDD255D3-8193-4FBD-9A6C-B1E990A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2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1406</ap:Words>
  <ap:Characters>7735</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2021-02-12T08:00:00.0000000Z</dcterms:created>
  <dcterms:modified xsi:type="dcterms:W3CDTF">2021-02-12T08:02:00.0000000Z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