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67CF8" w:rsidR="00CB3578" w:rsidTr="00F13442">
        <w:trPr>
          <w:cantSplit/>
        </w:trPr>
        <w:tc>
          <w:tcPr>
            <w:tcW w:w="9142" w:type="dxa"/>
            <w:gridSpan w:val="2"/>
            <w:tcBorders>
              <w:top w:val="nil"/>
              <w:left w:val="nil"/>
              <w:bottom w:val="nil"/>
              <w:right w:val="nil"/>
            </w:tcBorders>
          </w:tcPr>
          <w:p w:rsidRPr="009A55CC" w:rsidR="009A55CC" w:rsidP="000D0DF5" w:rsidRDefault="009A55CC">
            <w:pPr>
              <w:tabs>
                <w:tab w:val="left" w:pos="-1440"/>
                <w:tab w:val="left" w:pos="-720"/>
              </w:tabs>
              <w:suppressAutoHyphens/>
              <w:rPr>
                <w:rFonts w:ascii="Times New Roman" w:hAnsi="Times New Roman"/>
              </w:rPr>
            </w:pPr>
            <w:r w:rsidRPr="009A55CC">
              <w:rPr>
                <w:rFonts w:ascii="Times New Roman" w:hAnsi="Times New Roman"/>
              </w:rPr>
              <w:t>De Tweede Kamer der Staten-</w:t>
            </w:r>
            <w:r w:rsidRPr="009A55CC">
              <w:rPr>
                <w:rFonts w:ascii="Times New Roman" w:hAnsi="Times New Roman"/>
              </w:rPr>
              <w:fldChar w:fldCharType="begin"/>
            </w:r>
            <w:r w:rsidRPr="009A55CC">
              <w:rPr>
                <w:rFonts w:ascii="Times New Roman" w:hAnsi="Times New Roman"/>
              </w:rPr>
              <w:instrText xml:space="preserve">PRIVATE </w:instrText>
            </w:r>
            <w:r w:rsidRPr="009A55CC">
              <w:rPr>
                <w:rFonts w:ascii="Times New Roman" w:hAnsi="Times New Roman"/>
              </w:rPr>
              <w:fldChar w:fldCharType="end"/>
            </w:r>
          </w:p>
          <w:p w:rsidRPr="009A55CC" w:rsidR="009A55CC" w:rsidP="000D0DF5" w:rsidRDefault="009A55CC">
            <w:pPr>
              <w:tabs>
                <w:tab w:val="left" w:pos="-1440"/>
                <w:tab w:val="left" w:pos="-720"/>
              </w:tabs>
              <w:suppressAutoHyphens/>
              <w:rPr>
                <w:rFonts w:ascii="Times New Roman" w:hAnsi="Times New Roman"/>
              </w:rPr>
            </w:pPr>
            <w:r w:rsidRPr="009A55CC">
              <w:rPr>
                <w:rFonts w:ascii="Times New Roman" w:hAnsi="Times New Roman"/>
              </w:rPr>
              <w:t>Generaal zendt bijgaand door</w:t>
            </w:r>
          </w:p>
          <w:p w:rsidRPr="009A55CC" w:rsidR="009A55CC" w:rsidP="000D0DF5" w:rsidRDefault="009A55CC">
            <w:pPr>
              <w:tabs>
                <w:tab w:val="left" w:pos="-1440"/>
                <w:tab w:val="left" w:pos="-720"/>
              </w:tabs>
              <w:suppressAutoHyphens/>
              <w:rPr>
                <w:rFonts w:ascii="Times New Roman" w:hAnsi="Times New Roman"/>
              </w:rPr>
            </w:pPr>
            <w:r w:rsidRPr="009A55CC">
              <w:rPr>
                <w:rFonts w:ascii="Times New Roman" w:hAnsi="Times New Roman"/>
              </w:rPr>
              <w:t>haar aangenomen wetsvoorstel</w:t>
            </w:r>
          </w:p>
          <w:p w:rsidRPr="009A55CC" w:rsidR="009A55CC" w:rsidP="000D0DF5" w:rsidRDefault="009A55CC">
            <w:pPr>
              <w:tabs>
                <w:tab w:val="left" w:pos="-1440"/>
                <w:tab w:val="left" w:pos="-720"/>
              </w:tabs>
              <w:suppressAutoHyphens/>
              <w:rPr>
                <w:rFonts w:ascii="Times New Roman" w:hAnsi="Times New Roman"/>
              </w:rPr>
            </w:pPr>
            <w:r w:rsidRPr="009A55CC">
              <w:rPr>
                <w:rFonts w:ascii="Times New Roman" w:hAnsi="Times New Roman"/>
              </w:rPr>
              <w:t>aan de Eerste Kamer.</w:t>
            </w:r>
          </w:p>
          <w:p w:rsidRPr="009A55CC" w:rsidR="009A55CC" w:rsidP="000D0DF5" w:rsidRDefault="009A55CC">
            <w:pPr>
              <w:tabs>
                <w:tab w:val="left" w:pos="-1440"/>
                <w:tab w:val="left" w:pos="-720"/>
              </w:tabs>
              <w:suppressAutoHyphens/>
              <w:rPr>
                <w:rFonts w:ascii="Times New Roman" w:hAnsi="Times New Roman"/>
              </w:rPr>
            </w:pPr>
          </w:p>
          <w:p w:rsidRPr="009A55CC" w:rsidR="009A55CC" w:rsidP="000D0DF5" w:rsidRDefault="009A55CC">
            <w:pPr>
              <w:tabs>
                <w:tab w:val="left" w:pos="-1440"/>
                <w:tab w:val="left" w:pos="-720"/>
              </w:tabs>
              <w:suppressAutoHyphens/>
              <w:rPr>
                <w:rFonts w:ascii="Times New Roman" w:hAnsi="Times New Roman"/>
              </w:rPr>
            </w:pPr>
            <w:r w:rsidRPr="009A55CC">
              <w:rPr>
                <w:rFonts w:ascii="Times New Roman" w:hAnsi="Times New Roman"/>
              </w:rPr>
              <w:t>De Voorzitter,</w:t>
            </w:r>
          </w:p>
          <w:p w:rsidRPr="009A55CC" w:rsidR="009A55CC" w:rsidP="000D0DF5" w:rsidRDefault="009A55CC">
            <w:pPr>
              <w:tabs>
                <w:tab w:val="left" w:pos="-1440"/>
                <w:tab w:val="left" w:pos="-720"/>
              </w:tabs>
              <w:suppressAutoHyphens/>
              <w:rPr>
                <w:rFonts w:ascii="Times New Roman" w:hAnsi="Times New Roman"/>
              </w:rPr>
            </w:pPr>
          </w:p>
          <w:p w:rsidRPr="009A55CC" w:rsidR="009A55CC" w:rsidP="000D0DF5" w:rsidRDefault="009A55CC">
            <w:pPr>
              <w:tabs>
                <w:tab w:val="left" w:pos="-1440"/>
                <w:tab w:val="left" w:pos="-720"/>
              </w:tabs>
              <w:suppressAutoHyphens/>
              <w:rPr>
                <w:rFonts w:ascii="Times New Roman" w:hAnsi="Times New Roman"/>
              </w:rPr>
            </w:pPr>
          </w:p>
          <w:p w:rsidRPr="009A55CC" w:rsidR="009A55CC" w:rsidP="000D0DF5" w:rsidRDefault="009A55CC">
            <w:pPr>
              <w:tabs>
                <w:tab w:val="left" w:pos="-1440"/>
                <w:tab w:val="left" w:pos="-720"/>
              </w:tabs>
              <w:suppressAutoHyphens/>
              <w:rPr>
                <w:rFonts w:ascii="Times New Roman" w:hAnsi="Times New Roman"/>
              </w:rPr>
            </w:pPr>
          </w:p>
          <w:p w:rsidRPr="009A55CC" w:rsidR="009A55CC" w:rsidP="000D0DF5" w:rsidRDefault="009A55CC">
            <w:pPr>
              <w:tabs>
                <w:tab w:val="left" w:pos="-1440"/>
                <w:tab w:val="left" w:pos="-720"/>
              </w:tabs>
              <w:suppressAutoHyphens/>
              <w:rPr>
                <w:rFonts w:ascii="Times New Roman" w:hAnsi="Times New Roman"/>
              </w:rPr>
            </w:pPr>
          </w:p>
          <w:p w:rsidRPr="009A55CC" w:rsidR="009A55CC" w:rsidP="000D0DF5" w:rsidRDefault="009A55CC">
            <w:pPr>
              <w:tabs>
                <w:tab w:val="left" w:pos="-1440"/>
                <w:tab w:val="left" w:pos="-720"/>
              </w:tabs>
              <w:suppressAutoHyphens/>
              <w:rPr>
                <w:rFonts w:ascii="Times New Roman" w:hAnsi="Times New Roman"/>
              </w:rPr>
            </w:pPr>
          </w:p>
          <w:p w:rsidRPr="009A55CC" w:rsidR="009A55CC" w:rsidP="000D0DF5" w:rsidRDefault="009A55CC">
            <w:pPr>
              <w:tabs>
                <w:tab w:val="left" w:pos="-1440"/>
                <w:tab w:val="left" w:pos="-720"/>
              </w:tabs>
              <w:suppressAutoHyphens/>
              <w:rPr>
                <w:rFonts w:ascii="Times New Roman" w:hAnsi="Times New Roman"/>
              </w:rPr>
            </w:pPr>
          </w:p>
          <w:p w:rsidRPr="009A55CC" w:rsidR="009A55CC" w:rsidP="000D0DF5" w:rsidRDefault="009A55CC">
            <w:pPr>
              <w:tabs>
                <w:tab w:val="left" w:pos="-1440"/>
                <w:tab w:val="left" w:pos="-720"/>
              </w:tabs>
              <w:suppressAutoHyphens/>
              <w:rPr>
                <w:rFonts w:ascii="Times New Roman" w:hAnsi="Times New Roman"/>
              </w:rPr>
            </w:pPr>
          </w:p>
          <w:p w:rsidRPr="009A55CC" w:rsidR="009A55CC" w:rsidP="000D0DF5" w:rsidRDefault="009A55CC">
            <w:pPr>
              <w:tabs>
                <w:tab w:val="left" w:pos="-1440"/>
                <w:tab w:val="left" w:pos="-720"/>
              </w:tabs>
              <w:suppressAutoHyphens/>
              <w:rPr>
                <w:rFonts w:ascii="Times New Roman" w:hAnsi="Times New Roman"/>
              </w:rPr>
            </w:pPr>
          </w:p>
          <w:p w:rsidRPr="009A55CC" w:rsidR="009A55CC" w:rsidP="000D0DF5" w:rsidRDefault="009A55CC">
            <w:pPr>
              <w:rPr>
                <w:rFonts w:ascii="Times New Roman" w:hAnsi="Times New Roman"/>
              </w:rPr>
            </w:pPr>
          </w:p>
          <w:p w:rsidRPr="00367CF8" w:rsidR="00CB3578" w:rsidP="00367CF8" w:rsidRDefault="009A55CC">
            <w:pPr>
              <w:rPr>
                <w:rFonts w:ascii="Times New Roman" w:hAnsi="Times New Roman"/>
                <w:sz w:val="24"/>
              </w:rPr>
            </w:pPr>
            <w:r>
              <w:rPr>
                <w:rFonts w:ascii="Times New Roman" w:hAnsi="Times New Roman"/>
              </w:rPr>
              <w:t>3 december 2020</w:t>
            </w:r>
          </w:p>
        </w:tc>
      </w:tr>
      <w:tr w:rsidRPr="00367C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CF8" w:rsidR="00CB3578" w:rsidP="00367CF8" w:rsidRDefault="00CB3578">
            <w:pPr>
              <w:rPr>
                <w:rFonts w:ascii="Times New Roman" w:hAnsi="Times New Roman"/>
                <w:sz w:val="24"/>
              </w:rPr>
            </w:pPr>
          </w:p>
        </w:tc>
        <w:tc>
          <w:tcPr>
            <w:tcW w:w="6590" w:type="dxa"/>
            <w:tcBorders>
              <w:top w:val="nil"/>
              <w:left w:val="nil"/>
              <w:bottom w:val="nil"/>
              <w:right w:val="nil"/>
            </w:tcBorders>
          </w:tcPr>
          <w:p w:rsidRPr="00367CF8" w:rsidR="00CB3578" w:rsidP="00367CF8" w:rsidRDefault="00CB3578">
            <w:pPr>
              <w:rPr>
                <w:rFonts w:ascii="Times New Roman" w:hAnsi="Times New Roman"/>
                <w:b/>
                <w:bCs/>
                <w:sz w:val="24"/>
              </w:rPr>
            </w:pPr>
          </w:p>
        </w:tc>
      </w:tr>
      <w:tr w:rsidRPr="00367CF8" w:rsidR="009A55CC" w:rsidTr="00C2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67CF8" w:rsidR="009A55CC" w:rsidP="00367CF8" w:rsidRDefault="009A55CC">
            <w:pPr>
              <w:rPr>
                <w:rFonts w:ascii="Times New Roman" w:hAnsi="Times New Roman"/>
                <w:b/>
                <w:sz w:val="24"/>
              </w:rPr>
            </w:pPr>
            <w:r w:rsidRPr="00367CF8">
              <w:rPr>
                <w:rFonts w:ascii="Times New Roman" w:hAnsi="Times New Roman"/>
                <w:b/>
                <w:sz w:val="24"/>
              </w:rPr>
              <w:t>Wijziging van de Verzamelwet Brexit in verband met aanpassing van de termijn waarbinnen regelgevende bevoegdheden ten behoeve van overgangssituaties gelden alsmede wijziging van enkele andere wetten in verband met de Brexit</w:t>
            </w:r>
          </w:p>
        </w:tc>
      </w:tr>
      <w:tr w:rsidRPr="00367C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CF8" w:rsidR="00CB3578" w:rsidP="00367CF8" w:rsidRDefault="00CB3578">
            <w:pPr>
              <w:rPr>
                <w:rFonts w:ascii="Times New Roman" w:hAnsi="Times New Roman"/>
                <w:sz w:val="24"/>
              </w:rPr>
            </w:pPr>
          </w:p>
        </w:tc>
        <w:tc>
          <w:tcPr>
            <w:tcW w:w="6590" w:type="dxa"/>
            <w:tcBorders>
              <w:top w:val="nil"/>
              <w:left w:val="nil"/>
              <w:bottom w:val="nil"/>
              <w:right w:val="nil"/>
            </w:tcBorders>
          </w:tcPr>
          <w:p w:rsidRPr="00367CF8" w:rsidR="00CB3578" w:rsidP="00367CF8" w:rsidRDefault="00CB3578">
            <w:pPr>
              <w:rPr>
                <w:rFonts w:ascii="Times New Roman" w:hAnsi="Times New Roman"/>
                <w:sz w:val="24"/>
              </w:rPr>
            </w:pPr>
          </w:p>
        </w:tc>
      </w:tr>
      <w:tr w:rsidRPr="00367C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CF8" w:rsidR="00CB3578" w:rsidP="00367CF8" w:rsidRDefault="00CB3578">
            <w:pPr>
              <w:rPr>
                <w:rFonts w:ascii="Times New Roman" w:hAnsi="Times New Roman"/>
                <w:sz w:val="24"/>
              </w:rPr>
            </w:pPr>
          </w:p>
        </w:tc>
        <w:tc>
          <w:tcPr>
            <w:tcW w:w="6590" w:type="dxa"/>
            <w:tcBorders>
              <w:top w:val="nil"/>
              <w:left w:val="nil"/>
              <w:bottom w:val="nil"/>
              <w:right w:val="nil"/>
            </w:tcBorders>
          </w:tcPr>
          <w:p w:rsidRPr="00367CF8" w:rsidR="00CB3578" w:rsidP="00367CF8" w:rsidRDefault="00CB3578">
            <w:pPr>
              <w:rPr>
                <w:rFonts w:ascii="Times New Roman" w:hAnsi="Times New Roman"/>
                <w:sz w:val="24"/>
              </w:rPr>
            </w:pPr>
          </w:p>
        </w:tc>
      </w:tr>
      <w:tr w:rsidRPr="00367CF8" w:rsidR="009A55CC" w:rsidTr="00CB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67CF8" w:rsidR="009A55CC" w:rsidP="00367CF8" w:rsidRDefault="009A55CC">
            <w:pPr>
              <w:rPr>
                <w:rFonts w:ascii="Times New Roman" w:hAnsi="Times New Roman"/>
                <w:b/>
                <w:sz w:val="24"/>
              </w:rPr>
            </w:pPr>
            <w:r w:rsidRPr="00367CF8">
              <w:rPr>
                <w:rFonts w:ascii="Times New Roman" w:hAnsi="Times New Roman"/>
                <w:b/>
                <w:sz w:val="24"/>
              </w:rPr>
              <w:t>VOORSTEL VAN WET</w:t>
            </w:r>
          </w:p>
        </w:tc>
      </w:tr>
      <w:tr w:rsidRPr="00367C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CF8" w:rsidR="00CB3578" w:rsidP="00367CF8" w:rsidRDefault="00CB3578">
            <w:pPr>
              <w:rPr>
                <w:rFonts w:ascii="Times New Roman" w:hAnsi="Times New Roman"/>
                <w:sz w:val="24"/>
              </w:rPr>
            </w:pPr>
          </w:p>
        </w:tc>
        <w:tc>
          <w:tcPr>
            <w:tcW w:w="6590" w:type="dxa"/>
            <w:tcBorders>
              <w:top w:val="nil"/>
              <w:left w:val="nil"/>
              <w:bottom w:val="nil"/>
              <w:right w:val="nil"/>
            </w:tcBorders>
          </w:tcPr>
          <w:p w:rsidRPr="00367CF8" w:rsidR="00CB3578" w:rsidP="00367CF8" w:rsidRDefault="00CB3578">
            <w:pPr>
              <w:rPr>
                <w:rFonts w:ascii="Times New Roman" w:hAnsi="Times New Roman"/>
                <w:sz w:val="24"/>
              </w:rPr>
            </w:pPr>
          </w:p>
        </w:tc>
      </w:tr>
    </w:tbl>
    <w:p w:rsidRPr="00367CF8" w:rsidR="00367CF8" w:rsidP="00367CF8" w:rsidRDefault="00367CF8">
      <w:pPr>
        <w:ind w:firstLine="284"/>
        <w:rPr>
          <w:rFonts w:ascii="Times New Roman" w:hAnsi="Times New Roman"/>
          <w:sz w:val="24"/>
        </w:rPr>
      </w:pPr>
      <w:r w:rsidRPr="00367CF8">
        <w:rPr>
          <w:rFonts w:ascii="Times New Roman" w:hAnsi="Times New Roman"/>
          <w:sz w:val="24"/>
        </w:rPr>
        <w:t>Wij Willem-Alexander, bij de gratie Gods, Koning der Nederlanden, Prins van Oranje- Nassau, enz. enz. enz.</w:t>
      </w:r>
    </w:p>
    <w:p w:rsidR="00367CF8" w:rsidP="00367CF8" w:rsidRDefault="00367CF8">
      <w:pPr>
        <w:rPr>
          <w:rFonts w:ascii="Times New Roman" w:hAnsi="Times New Roman"/>
          <w:sz w:val="24"/>
        </w:rPr>
      </w:pPr>
    </w:p>
    <w:p w:rsidRPr="00367CF8" w:rsidR="00367CF8" w:rsidP="00367CF8" w:rsidRDefault="00367CF8">
      <w:pPr>
        <w:ind w:left="284" w:firstLine="284"/>
        <w:rPr>
          <w:rFonts w:ascii="Times New Roman" w:hAnsi="Times New Roman"/>
          <w:sz w:val="24"/>
        </w:rPr>
      </w:pPr>
      <w:r w:rsidRPr="00367CF8">
        <w:rPr>
          <w:rFonts w:ascii="Times New Roman" w:hAnsi="Times New Roman"/>
          <w:sz w:val="24"/>
        </w:rPr>
        <w:t>Allen, die deze zullen zien of horen lezen, saluut! doen te weten:</w:t>
      </w:r>
    </w:p>
    <w:p w:rsidRPr="00367CF8" w:rsidR="00367CF8" w:rsidP="00367CF8" w:rsidRDefault="00367CF8">
      <w:pPr>
        <w:rPr>
          <w:rFonts w:ascii="Times New Roman" w:hAnsi="Times New Roman"/>
          <w:sz w:val="24"/>
        </w:rPr>
      </w:pPr>
      <w:r w:rsidRPr="00367CF8">
        <w:rPr>
          <w:rFonts w:ascii="Times New Roman" w:hAnsi="Times New Roman"/>
          <w:sz w:val="24"/>
        </w:rPr>
        <w:t>Alzo Wij in overweging genomen hebben, dat het wenselijk is om ter voorbereiding op het einde van de overgangsperiode rond de terugtrekking van het Verenigd Koninkrijk uit de Europese Unie de wettelijke voorziening ten behoeve van overgangssituaties in de Verzamelwet Brexit toepasselijk te laten zijn in het tijdvak ten vervolge op deze overgangsperiode en om enkele wijzigingen door te voeren in een aantal wetten;</w:t>
      </w:r>
    </w:p>
    <w:p w:rsidRPr="00367CF8" w:rsidR="00367CF8" w:rsidP="00367CF8" w:rsidRDefault="00367CF8">
      <w:pPr>
        <w:ind w:firstLine="284"/>
        <w:rPr>
          <w:rFonts w:ascii="Times New Roman" w:hAnsi="Times New Roman"/>
          <w:sz w:val="24"/>
        </w:rPr>
      </w:pPr>
      <w:r w:rsidRPr="00367CF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67CF8" w:rsidR="00367CF8" w:rsidP="00367CF8" w:rsidRDefault="00367CF8">
      <w:pPr>
        <w:rPr>
          <w:rFonts w:ascii="Times New Roman" w:hAnsi="Times New Roman"/>
          <w:sz w:val="24"/>
        </w:rPr>
      </w:pPr>
    </w:p>
    <w:p w:rsidR="00367CF8" w:rsidP="00367CF8" w:rsidRDefault="00367CF8">
      <w:pPr>
        <w:rPr>
          <w:rFonts w:ascii="Times New Roman" w:hAnsi="Times New Roman"/>
          <w:sz w:val="24"/>
        </w:rPr>
      </w:pPr>
    </w:p>
    <w:p w:rsidRPr="00367CF8" w:rsidR="00367CF8" w:rsidP="00367CF8" w:rsidRDefault="00367CF8">
      <w:pPr>
        <w:rPr>
          <w:rFonts w:ascii="Times New Roman" w:hAnsi="Times New Roman"/>
          <w:b/>
          <w:sz w:val="24"/>
        </w:rPr>
      </w:pPr>
      <w:r w:rsidRPr="00367CF8">
        <w:rPr>
          <w:rFonts w:ascii="Times New Roman" w:hAnsi="Times New Roman"/>
          <w:b/>
          <w:sz w:val="24"/>
        </w:rPr>
        <w:t>ARTIKEL I WIJZIGING VERZAMELWET BREXIT</w:t>
      </w:r>
    </w:p>
    <w:p w:rsidRPr="00367CF8" w:rsidR="00367CF8" w:rsidP="00367CF8" w:rsidRDefault="00367CF8">
      <w:pPr>
        <w:rPr>
          <w:rFonts w:ascii="Times New Roman" w:hAnsi="Times New Roman"/>
          <w:b/>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t>De Verzamelwet Brexit wordt als volgt gewijzigd:</w:t>
      </w:r>
    </w:p>
    <w:p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r w:rsidRPr="00367CF8">
        <w:rPr>
          <w:rFonts w:ascii="Times New Roman" w:hAnsi="Times New Roman"/>
          <w:sz w:val="24"/>
        </w:rPr>
        <w:t>A</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t>Na artikel IX wordt een artikel ingevoegd, luidende:</w:t>
      </w:r>
    </w:p>
    <w:p w:rsidR="00367CF8" w:rsidP="00367CF8" w:rsidRDefault="00367CF8">
      <w:pPr>
        <w:rPr>
          <w:rFonts w:ascii="Times New Roman" w:hAnsi="Times New Roman"/>
          <w:b/>
          <w:sz w:val="24"/>
        </w:rPr>
      </w:pPr>
    </w:p>
    <w:p w:rsidR="00367CF8" w:rsidP="00367CF8" w:rsidRDefault="00367CF8">
      <w:pPr>
        <w:rPr>
          <w:rFonts w:ascii="Times New Roman" w:hAnsi="Times New Roman"/>
          <w:b/>
          <w:sz w:val="24"/>
        </w:rPr>
      </w:pPr>
    </w:p>
    <w:p w:rsidRPr="00367CF8" w:rsidR="00367CF8" w:rsidP="00367CF8" w:rsidRDefault="00367CF8">
      <w:pPr>
        <w:rPr>
          <w:rFonts w:ascii="Times New Roman" w:hAnsi="Times New Roman"/>
          <w:sz w:val="24"/>
        </w:rPr>
      </w:pPr>
      <w:r w:rsidRPr="00367CF8">
        <w:rPr>
          <w:rFonts w:ascii="Times New Roman" w:hAnsi="Times New Roman"/>
          <w:b/>
          <w:sz w:val="24"/>
        </w:rPr>
        <w:t>ARTIKEL IXA TIJDELIJKE DELEGATIEGRONDSLAG MET BETREKKING TOT SOCIALEZEKERHEIDSWETTEN</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t xml:space="preserve">1. Bij algemene maatregel van bestuur kan in de Wet langdurige zorg en de Zorgverzekeringswet worden bepaald dat het Verenigd Koninkrijk na de terugtrekking uit de </w:t>
      </w:r>
      <w:r w:rsidRPr="00367CF8">
        <w:rPr>
          <w:rFonts w:ascii="Times New Roman" w:hAnsi="Times New Roman"/>
          <w:sz w:val="24"/>
        </w:rPr>
        <w:lastRenderedPageBreak/>
        <w:t>Europese Unie voor de toepassing van die wetten gedurende een daarbij aangegeven periode nog als EU-lidstaat wordt aangemerkt, en kan in die wetten overgangsrecht worden opgenomen voor de situatie na de terugtrekking of na afloop van die periode ter voorkoming van onevenredig nadeel voor verzekerden in het Verenigd Koninkrijk en Nederland.</w:t>
      </w:r>
    </w:p>
    <w:p w:rsidRPr="00367CF8" w:rsidR="00367CF8" w:rsidP="00367CF8" w:rsidRDefault="00367CF8">
      <w:pPr>
        <w:ind w:firstLine="284"/>
        <w:rPr>
          <w:rFonts w:ascii="Times New Roman" w:hAnsi="Times New Roman"/>
          <w:sz w:val="24"/>
        </w:rPr>
      </w:pPr>
      <w:r w:rsidRPr="00367CF8">
        <w:rPr>
          <w:rFonts w:ascii="Times New Roman" w:hAnsi="Times New Roman"/>
          <w:sz w:val="24"/>
        </w:rPr>
        <w:t>2. Zo spoedig mogelijk na de totstandkoming van de algemene maatregel van bestuur, maar uiterlijk binnen acht weken, wordt een voorstel van wet tot goedkeuring van de algemene maatregel van bestuur aan de Tweede Kamer der Staten-Generaal gezonden. Indien het voorstel wordt ingetrokken of indien een van de kamers van de Staten-Generaal tot het niet-aannemen van het voorstel besluit, wordt de algemene maatregel van bestuur onverwijld ingetrokken en wordt onverwijld een voorstel van wet aan de Tweede Kamer der Staten-Generaal gezonden dat er toe strekt de bij de algemene maatregel van bestuur vastgestelde wijzigingen ongedaan te maken.</w:t>
      </w:r>
      <w:r w:rsidRPr="00367CF8">
        <w:rPr>
          <w:rFonts w:ascii="Times New Roman" w:hAnsi="Times New Roman"/>
          <w:sz w:val="24"/>
        </w:rPr>
        <w:br/>
      </w:r>
    </w:p>
    <w:p w:rsidRPr="00367CF8" w:rsidR="00367CF8" w:rsidP="00367CF8" w:rsidRDefault="00367CF8">
      <w:pPr>
        <w:rPr>
          <w:rFonts w:ascii="Times New Roman" w:hAnsi="Times New Roman"/>
          <w:sz w:val="24"/>
        </w:rPr>
      </w:pPr>
      <w:r w:rsidRPr="00367CF8">
        <w:rPr>
          <w:rFonts w:ascii="Times New Roman" w:hAnsi="Times New Roman"/>
          <w:sz w:val="24"/>
        </w:rPr>
        <w:t>B</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b/>
          <w:sz w:val="24"/>
        </w:rPr>
      </w:pPr>
      <w:r w:rsidRPr="00367CF8">
        <w:rPr>
          <w:rFonts w:ascii="Times New Roman" w:hAnsi="Times New Roman"/>
          <w:sz w:val="24"/>
        </w:rPr>
        <w:t xml:space="preserve">In artikel X, eerste lid, wordt ‘tot zes maanden na de datum van terugtrekking van het Verenigd Koninkrijk uit de Europese Unie’ vervangen door ‘tot zes maanden na het einde van de overgangsperiode, bedoeld in artikel 126 van het Akkoord inzake de terugtrekking van het Verenigd Koninkrijk van Groot-Brittannië en Noord-Ierland uit de Europese Unie en de Europese Gemeenschap voor Atoomenergie (PbEU 2020, L 29)’.   </w:t>
      </w:r>
    </w:p>
    <w:p w:rsidRPr="00367CF8" w:rsidR="00367CF8" w:rsidP="00367CF8" w:rsidRDefault="00367CF8">
      <w:pPr>
        <w:rPr>
          <w:rFonts w:ascii="Times New Roman" w:hAnsi="Times New Roman"/>
          <w:b/>
          <w:sz w:val="24"/>
        </w:rPr>
      </w:pPr>
    </w:p>
    <w:p w:rsidR="00367CF8" w:rsidP="00367CF8" w:rsidRDefault="00367CF8">
      <w:pPr>
        <w:rPr>
          <w:rFonts w:ascii="Times New Roman" w:hAnsi="Times New Roman"/>
          <w:sz w:val="24"/>
        </w:rPr>
      </w:pPr>
    </w:p>
    <w:p w:rsidRPr="00367CF8" w:rsidR="00367CF8" w:rsidP="00367CF8" w:rsidRDefault="00367CF8">
      <w:pPr>
        <w:rPr>
          <w:rFonts w:ascii="Times New Roman" w:hAnsi="Times New Roman"/>
          <w:b/>
          <w:sz w:val="24"/>
        </w:rPr>
      </w:pPr>
      <w:r w:rsidRPr="00367CF8">
        <w:rPr>
          <w:rFonts w:ascii="Times New Roman" w:hAnsi="Times New Roman"/>
          <w:b/>
          <w:sz w:val="24"/>
        </w:rPr>
        <w:t>ARTIKEL II WIJZIGING VERZAMELWET VWS 2020</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b/>
          <w:sz w:val="24"/>
        </w:rPr>
      </w:pPr>
      <w:r w:rsidRPr="00367CF8">
        <w:rPr>
          <w:rFonts w:ascii="Times New Roman" w:hAnsi="Times New Roman"/>
          <w:sz w:val="24"/>
        </w:rPr>
        <w:t>Artikel XII, onderdeel E, van de Verzamelwet VWS 2020 vervalt.</w:t>
      </w:r>
    </w:p>
    <w:p w:rsidR="00367CF8" w:rsidP="00367CF8" w:rsidRDefault="00367CF8">
      <w:pPr>
        <w:rPr>
          <w:rFonts w:ascii="Times New Roman" w:hAnsi="Times New Roman"/>
          <w:b/>
          <w:sz w:val="24"/>
        </w:rPr>
      </w:pPr>
    </w:p>
    <w:p w:rsidRPr="00367CF8" w:rsidR="00367CF8" w:rsidP="00367CF8" w:rsidRDefault="00367CF8">
      <w:pPr>
        <w:rPr>
          <w:rFonts w:ascii="Times New Roman" w:hAnsi="Times New Roman"/>
          <w:b/>
          <w:sz w:val="24"/>
        </w:rPr>
      </w:pPr>
    </w:p>
    <w:p w:rsidRPr="00367CF8" w:rsidR="00367CF8" w:rsidP="00367CF8" w:rsidRDefault="00367CF8">
      <w:pPr>
        <w:rPr>
          <w:rFonts w:ascii="Times New Roman" w:hAnsi="Times New Roman"/>
          <w:b/>
          <w:sz w:val="24"/>
        </w:rPr>
      </w:pPr>
      <w:r w:rsidRPr="00367CF8">
        <w:rPr>
          <w:rFonts w:ascii="Times New Roman" w:hAnsi="Times New Roman"/>
          <w:b/>
          <w:sz w:val="24"/>
        </w:rPr>
        <w:t>ARTIKEL III WIJZIGING WET INKOMSTENBELASTING 2001</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b/>
          <w:bCs/>
          <w:sz w:val="24"/>
        </w:rPr>
      </w:pPr>
      <w:r w:rsidRPr="00367CF8">
        <w:rPr>
          <w:rFonts w:ascii="Times New Roman" w:hAnsi="Times New Roman"/>
          <w:sz w:val="24"/>
        </w:rPr>
        <w:t xml:space="preserve">In de Wet inkomstenbelasting 2001 wordt aan hoofdstuk 10A een artikel toegevoegd, luidende: </w:t>
      </w:r>
    </w:p>
    <w:p w:rsidR="00367CF8" w:rsidP="00367CF8" w:rsidRDefault="00367CF8">
      <w:pPr>
        <w:rPr>
          <w:rFonts w:ascii="Times New Roman" w:hAnsi="Times New Roman"/>
          <w:sz w:val="24"/>
        </w:rPr>
      </w:pPr>
    </w:p>
    <w:p w:rsidRPr="00367CF8" w:rsidR="00367CF8" w:rsidP="00367CF8" w:rsidRDefault="00367CF8">
      <w:pPr>
        <w:rPr>
          <w:rFonts w:ascii="Times New Roman" w:hAnsi="Times New Roman"/>
          <w:b/>
          <w:sz w:val="24"/>
        </w:rPr>
      </w:pPr>
      <w:r w:rsidRPr="00367CF8">
        <w:rPr>
          <w:rFonts w:ascii="Times New Roman" w:hAnsi="Times New Roman"/>
          <w:b/>
          <w:sz w:val="24"/>
        </w:rPr>
        <w:t>Artikel 10a.22</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t>Voor de toepassing van artikel 2.7 en artikel 7.8, zesde lid, wordt onder een inwoner van een andere lidstaat van de Europese Unie mede verstaan een inwoner van het Verenigd Koninkrijk van Groot-Brittannië en Noord-Ierland die in het kalenderjaar de in de artikelen 24 en 25 van het Akkoord inzake de terugtrekking van het Verenigd Koninkrijk van Groot-Brittannië en Noord-Ierland uit de Europese Unie en de Europese Gemeenschap voor Atoomenergie (PbEU 2020, L 29) genoemde rechten geniet.</w:t>
      </w:r>
    </w:p>
    <w:p w:rsidRPr="00367CF8" w:rsidR="00367CF8" w:rsidP="00367CF8" w:rsidRDefault="00367CF8">
      <w:pPr>
        <w:rPr>
          <w:rFonts w:ascii="Times New Roman" w:hAnsi="Times New Roman"/>
          <w:b/>
          <w:sz w:val="24"/>
        </w:rPr>
      </w:pPr>
    </w:p>
    <w:p w:rsidR="00367CF8" w:rsidP="00367CF8" w:rsidRDefault="00367CF8">
      <w:pPr>
        <w:rPr>
          <w:rFonts w:ascii="Times New Roman" w:hAnsi="Times New Roman"/>
          <w:b/>
          <w:sz w:val="24"/>
        </w:rPr>
      </w:pPr>
    </w:p>
    <w:p w:rsidRPr="00367CF8" w:rsidR="00367CF8" w:rsidP="00367CF8" w:rsidRDefault="00367CF8">
      <w:pPr>
        <w:rPr>
          <w:rFonts w:ascii="Times New Roman" w:hAnsi="Times New Roman"/>
          <w:sz w:val="24"/>
        </w:rPr>
      </w:pPr>
      <w:r w:rsidRPr="00367CF8">
        <w:rPr>
          <w:rFonts w:ascii="Times New Roman" w:hAnsi="Times New Roman"/>
          <w:b/>
          <w:sz w:val="24"/>
        </w:rPr>
        <w:t>ARTIKEL IV WIJZIGING WET LANGDURIGE ZORG</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t>Artikel 6.1.2, onderdeel m, van de Wet langdurige zorg vervalt, onder vervanging van de puntkomma aan het slot van onderdeel l door een punt.</w:t>
      </w:r>
    </w:p>
    <w:p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p>
    <w:p w:rsidRPr="00367CF8" w:rsidR="00367CF8" w:rsidP="00367CF8" w:rsidRDefault="00367CF8">
      <w:pPr>
        <w:rPr>
          <w:rFonts w:ascii="Times New Roman" w:hAnsi="Times New Roman"/>
          <w:b/>
          <w:sz w:val="24"/>
        </w:rPr>
      </w:pPr>
      <w:r w:rsidRPr="00367CF8">
        <w:rPr>
          <w:rFonts w:ascii="Times New Roman" w:hAnsi="Times New Roman"/>
          <w:b/>
          <w:sz w:val="24"/>
        </w:rPr>
        <w:t xml:space="preserve">ARTIKEL V WIJZIGING WET OP DE LOONBELASTING 1964 </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t>In de Wet op de loonbelasting 1964 wordt vóór artikel 40</w:t>
      </w:r>
      <w:r w:rsidRPr="00367CF8">
        <w:rPr>
          <w:rFonts w:ascii="Times New Roman" w:hAnsi="Times New Roman"/>
          <w:b/>
          <w:sz w:val="24"/>
        </w:rPr>
        <w:t xml:space="preserve"> </w:t>
      </w:r>
      <w:r w:rsidRPr="00367CF8">
        <w:rPr>
          <w:rFonts w:ascii="Times New Roman" w:hAnsi="Times New Roman"/>
          <w:sz w:val="24"/>
        </w:rPr>
        <w:t xml:space="preserve">een artikel ingevoegd, luidende: </w:t>
      </w:r>
    </w:p>
    <w:p w:rsidR="00367CF8" w:rsidP="00367CF8" w:rsidRDefault="00367CF8">
      <w:pPr>
        <w:rPr>
          <w:rFonts w:ascii="Times New Roman" w:hAnsi="Times New Roman"/>
          <w:b/>
          <w:sz w:val="24"/>
        </w:rPr>
      </w:pPr>
    </w:p>
    <w:p w:rsidRPr="00367CF8" w:rsidR="00367CF8" w:rsidP="00367CF8" w:rsidRDefault="00367CF8">
      <w:pPr>
        <w:rPr>
          <w:rFonts w:ascii="Times New Roman" w:hAnsi="Times New Roman"/>
          <w:b/>
          <w:sz w:val="24"/>
        </w:rPr>
      </w:pPr>
      <w:r w:rsidRPr="00367CF8">
        <w:rPr>
          <w:rFonts w:ascii="Times New Roman" w:hAnsi="Times New Roman"/>
          <w:b/>
          <w:sz w:val="24"/>
        </w:rPr>
        <w:t>Artikel</w:t>
      </w:r>
      <w:r w:rsidRPr="00367CF8">
        <w:rPr>
          <w:rFonts w:ascii="Times New Roman" w:hAnsi="Times New Roman"/>
          <w:b/>
          <w:spacing w:val="-7"/>
          <w:sz w:val="24"/>
        </w:rPr>
        <w:t xml:space="preserve"> </w:t>
      </w:r>
      <w:r w:rsidRPr="00367CF8">
        <w:rPr>
          <w:rFonts w:ascii="Times New Roman" w:hAnsi="Times New Roman"/>
          <w:b/>
          <w:sz w:val="24"/>
        </w:rPr>
        <w:t>39i</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t>Voor de toepassing van artikel 20, derde lid, worden onder werknemers die in een andere lidstaat van de Europese Unie wonen mede verstaan werknemers die in het Verenigd Koninkrijk van Groot-Brittannië en Noord-Ierland wonen en die in het kalenderjaar de in de artikelen 24 en 25 van het Akkoord inzake de terugtrekking van het Verenigd Koninkrijk van Groot-Brittannië en Noord-Ierland uit de Europese Unie en de Europese Gemeenschap voor Atoomenergie (PbEU 2020, L 29) genoemde rechten genieten.</w:t>
      </w:r>
    </w:p>
    <w:p w:rsidRPr="00367CF8" w:rsidR="00367CF8" w:rsidP="00367CF8" w:rsidRDefault="00367CF8">
      <w:pPr>
        <w:rPr>
          <w:rFonts w:ascii="Times New Roman" w:hAnsi="Times New Roman"/>
          <w:sz w:val="24"/>
        </w:rPr>
      </w:pPr>
    </w:p>
    <w:p w:rsidR="00367CF8" w:rsidP="00367CF8" w:rsidRDefault="00367CF8">
      <w:pPr>
        <w:rPr>
          <w:rFonts w:ascii="Times New Roman" w:hAnsi="Times New Roman"/>
          <w:b/>
          <w:sz w:val="24"/>
        </w:rPr>
      </w:pPr>
    </w:p>
    <w:p w:rsidRPr="00367CF8" w:rsidR="00367CF8" w:rsidP="00367CF8" w:rsidRDefault="00367CF8">
      <w:pPr>
        <w:rPr>
          <w:rFonts w:ascii="Times New Roman" w:hAnsi="Times New Roman"/>
          <w:b/>
          <w:sz w:val="24"/>
        </w:rPr>
      </w:pPr>
      <w:r w:rsidRPr="00367CF8">
        <w:rPr>
          <w:rFonts w:ascii="Times New Roman" w:hAnsi="Times New Roman"/>
          <w:b/>
          <w:sz w:val="24"/>
        </w:rPr>
        <w:t>ARTIKEL VI WIJZIGING ZORGVERZEKERINGSWET</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t>De Zorgverzekeringswet wordt als volgt gewijzigd:</w:t>
      </w:r>
    </w:p>
    <w:p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r w:rsidRPr="00367CF8">
        <w:rPr>
          <w:rFonts w:ascii="Times New Roman" w:hAnsi="Times New Roman"/>
          <w:sz w:val="24"/>
        </w:rPr>
        <w:t>A</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t>Artikel 39, derde lid, onderdeel b, en artikel 69c vervallen.</w:t>
      </w:r>
    </w:p>
    <w:p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r w:rsidRPr="00367CF8">
        <w:rPr>
          <w:rFonts w:ascii="Times New Roman" w:hAnsi="Times New Roman"/>
          <w:sz w:val="24"/>
        </w:rPr>
        <w:t>B</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t>In artikel 123, eerste lid, onderdelen a, b en c, vervalt "waarbij Nederland partij is".</w:t>
      </w:r>
    </w:p>
    <w:p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p>
    <w:p w:rsidRPr="00367CF8" w:rsidR="00367CF8" w:rsidP="00367CF8" w:rsidRDefault="00367CF8">
      <w:pPr>
        <w:rPr>
          <w:rFonts w:ascii="Times New Roman" w:hAnsi="Times New Roman"/>
          <w:b/>
          <w:sz w:val="24"/>
        </w:rPr>
      </w:pPr>
      <w:r w:rsidRPr="00367CF8">
        <w:rPr>
          <w:rFonts w:ascii="Times New Roman" w:hAnsi="Times New Roman"/>
          <w:b/>
          <w:sz w:val="24"/>
        </w:rPr>
        <w:t>ARTIKEL VII INWERKINGTREDING</w:t>
      </w: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Pr>
          <w:rFonts w:ascii="Times New Roman" w:hAnsi="Times New Roman"/>
          <w:sz w:val="24"/>
        </w:rPr>
        <w:t xml:space="preserve">1. </w:t>
      </w:r>
      <w:r w:rsidRPr="00367CF8">
        <w:rPr>
          <w:rFonts w:ascii="Times New Roman" w:hAnsi="Times New Roman"/>
          <w:sz w:val="24"/>
        </w:rPr>
        <w:t>Deze wet treedt in werking met ingang van 1 januari</w:t>
      </w:r>
      <w:r w:rsidRPr="00367CF8">
        <w:rPr>
          <w:rFonts w:ascii="Times New Roman" w:hAnsi="Times New Roman"/>
          <w:spacing w:val="-22"/>
          <w:sz w:val="24"/>
        </w:rPr>
        <w:t xml:space="preserve"> </w:t>
      </w:r>
      <w:r w:rsidRPr="00367CF8">
        <w:rPr>
          <w:rFonts w:ascii="Times New Roman" w:hAnsi="Times New Roman"/>
          <w:sz w:val="24"/>
        </w:rPr>
        <w:t>2021.</w:t>
      </w:r>
    </w:p>
    <w:p w:rsidRPr="00367CF8" w:rsidR="00367CF8" w:rsidP="00367CF8" w:rsidRDefault="00367CF8">
      <w:pPr>
        <w:ind w:firstLine="284"/>
        <w:rPr>
          <w:rFonts w:ascii="Times New Roman" w:hAnsi="Times New Roman"/>
          <w:sz w:val="24"/>
        </w:rPr>
      </w:pPr>
      <w:r>
        <w:rPr>
          <w:rFonts w:ascii="Times New Roman" w:hAnsi="Times New Roman"/>
          <w:sz w:val="24"/>
        </w:rPr>
        <w:t xml:space="preserve">2. </w:t>
      </w:r>
      <w:r w:rsidRPr="00367CF8">
        <w:rPr>
          <w:rFonts w:ascii="Times New Roman" w:hAnsi="Times New Roman"/>
          <w:sz w:val="24"/>
        </w:rPr>
        <w:t>Indien het Staatsblad waarin deze wet wordt geplaatst, wordt uitgegeven na 31 december 2020, treedt zij in werking met ingang van de dag na de datum van uitgifte van het Staatsblad waarin zij wordt geplaatst, en werkt zij terug tot en met 1 januari</w:t>
      </w:r>
      <w:r w:rsidRPr="00367CF8">
        <w:rPr>
          <w:rFonts w:ascii="Times New Roman" w:hAnsi="Times New Roman"/>
          <w:spacing w:val="-24"/>
          <w:sz w:val="24"/>
        </w:rPr>
        <w:t xml:space="preserve"> </w:t>
      </w:r>
      <w:r w:rsidRPr="00367CF8">
        <w:rPr>
          <w:rFonts w:ascii="Times New Roman" w:hAnsi="Times New Roman"/>
          <w:sz w:val="24"/>
        </w:rPr>
        <w:t>2021.</w:t>
      </w:r>
    </w:p>
    <w:p w:rsidRPr="00367CF8" w:rsidR="00367CF8" w:rsidP="00367CF8" w:rsidRDefault="00367CF8">
      <w:pPr>
        <w:ind w:firstLine="284"/>
        <w:rPr>
          <w:rFonts w:ascii="Times New Roman" w:hAnsi="Times New Roman"/>
          <w:sz w:val="24"/>
        </w:rPr>
      </w:pPr>
      <w:r>
        <w:rPr>
          <w:rFonts w:ascii="Times New Roman" w:hAnsi="Times New Roman"/>
          <w:sz w:val="24"/>
        </w:rPr>
        <w:t xml:space="preserve">3. </w:t>
      </w:r>
      <w:r w:rsidRPr="00367CF8">
        <w:rPr>
          <w:rFonts w:ascii="Times New Roman" w:hAnsi="Times New Roman"/>
          <w:sz w:val="24"/>
        </w:rPr>
        <w:t>Artikel VI, onderdeel B, werkt terug tot en met 1 februari 2020.</w:t>
      </w:r>
    </w:p>
    <w:p w:rsidRPr="00367CF8" w:rsidR="00367CF8" w:rsidP="00367CF8" w:rsidRDefault="00367CF8">
      <w:pPr>
        <w:ind w:firstLine="284"/>
        <w:rPr>
          <w:rFonts w:ascii="Times New Roman" w:hAnsi="Times New Roman"/>
          <w:sz w:val="24"/>
        </w:rPr>
      </w:pPr>
      <w:r>
        <w:rPr>
          <w:rFonts w:ascii="Times New Roman" w:hAnsi="Times New Roman"/>
          <w:sz w:val="24"/>
        </w:rPr>
        <w:t xml:space="preserve">4. </w:t>
      </w:r>
      <w:r w:rsidRPr="00367CF8">
        <w:rPr>
          <w:rFonts w:ascii="Times New Roman" w:hAnsi="Times New Roman"/>
          <w:sz w:val="24"/>
        </w:rPr>
        <w:t>Aan besluiten die worden gebaseerd op een bij deze wet gewijzigd of ingevoegd onderdeel van de Verzamelwet Brexit kan, indien aan deze wijziging of invoeging ingevolge het tweede lid terugwerkende kracht is verleend, terugwerkende kracht worden verleend tot en met dezelfde datum.</w:t>
      </w:r>
    </w:p>
    <w:p w:rsidR="00367CF8" w:rsidP="00367CF8" w:rsidRDefault="00367CF8">
      <w:pPr>
        <w:rPr>
          <w:rFonts w:ascii="Times New Roman" w:hAnsi="Times New Roman"/>
          <w:sz w:val="24"/>
        </w:rPr>
      </w:pPr>
    </w:p>
    <w:p w:rsidR="009A55CC" w:rsidP="00367CF8" w:rsidRDefault="009A55CC">
      <w:pPr>
        <w:rPr>
          <w:rFonts w:ascii="Times New Roman" w:hAnsi="Times New Roman"/>
          <w:sz w:val="24"/>
        </w:rPr>
      </w:pPr>
    </w:p>
    <w:p w:rsidR="009A55CC" w:rsidP="00367CF8" w:rsidRDefault="009A55CC">
      <w:pPr>
        <w:rPr>
          <w:rFonts w:ascii="Times New Roman" w:hAnsi="Times New Roman"/>
          <w:sz w:val="24"/>
        </w:rPr>
      </w:pPr>
    </w:p>
    <w:p w:rsidR="009A55CC" w:rsidP="00367CF8" w:rsidRDefault="009A55CC">
      <w:pPr>
        <w:rPr>
          <w:rFonts w:ascii="Times New Roman" w:hAnsi="Times New Roman"/>
          <w:sz w:val="24"/>
        </w:rPr>
      </w:pPr>
    </w:p>
    <w:p w:rsidR="009A55CC" w:rsidP="00367CF8" w:rsidRDefault="009A55CC">
      <w:pPr>
        <w:rPr>
          <w:rFonts w:ascii="Times New Roman" w:hAnsi="Times New Roman"/>
          <w:sz w:val="24"/>
        </w:rPr>
      </w:pPr>
    </w:p>
    <w:p w:rsidR="009A55CC" w:rsidP="00367CF8" w:rsidRDefault="009A55CC">
      <w:pPr>
        <w:rPr>
          <w:rFonts w:ascii="Times New Roman" w:hAnsi="Times New Roman"/>
          <w:sz w:val="24"/>
        </w:rPr>
      </w:pPr>
    </w:p>
    <w:p w:rsidR="009A55CC" w:rsidP="00367CF8" w:rsidRDefault="009A55CC">
      <w:pPr>
        <w:rPr>
          <w:rFonts w:ascii="Times New Roman" w:hAnsi="Times New Roman"/>
          <w:sz w:val="24"/>
        </w:rPr>
      </w:pPr>
    </w:p>
    <w:p w:rsidR="009A55CC" w:rsidP="00367CF8" w:rsidRDefault="009A55CC">
      <w:pPr>
        <w:rPr>
          <w:rFonts w:ascii="Times New Roman" w:hAnsi="Times New Roman"/>
          <w:sz w:val="24"/>
        </w:rPr>
      </w:pPr>
    </w:p>
    <w:p w:rsidRPr="00367CF8" w:rsidR="009A55CC" w:rsidP="00367CF8" w:rsidRDefault="009A55CC">
      <w:pPr>
        <w:rPr>
          <w:rFonts w:ascii="Times New Roman" w:hAnsi="Times New Roman"/>
          <w:sz w:val="24"/>
        </w:rPr>
      </w:pPr>
    </w:p>
    <w:p w:rsidR="00367CF8" w:rsidP="00367CF8" w:rsidRDefault="00367CF8">
      <w:pPr>
        <w:rPr>
          <w:rFonts w:ascii="Times New Roman" w:hAnsi="Times New Roman"/>
          <w:sz w:val="24"/>
        </w:rPr>
      </w:pPr>
    </w:p>
    <w:p w:rsidRPr="00367CF8" w:rsidR="00367CF8" w:rsidP="00367CF8" w:rsidRDefault="00367CF8">
      <w:pPr>
        <w:ind w:firstLine="284"/>
        <w:rPr>
          <w:rFonts w:ascii="Times New Roman" w:hAnsi="Times New Roman"/>
          <w:sz w:val="24"/>
        </w:rPr>
      </w:pPr>
      <w:r w:rsidRPr="00367CF8">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r w:rsidRPr="00367CF8">
        <w:rPr>
          <w:rFonts w:ascii="Times New Roman" w:hAnsi="Times New Roman"/>
          <w:sz w:val="24"/>
        </w:rPr>
        <w:t>Gegeven</w:t>
      </w:r>
    </w:p>
    <w:p w:rsidRPr="00367CF8"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p>
    <w:p w:rsidR="00367CF8" w:rsidP="00367CF8" w:rsidRDefault="00367CF8">
      <w:pPr>
        <w:rPr>
          <w:rFonts w:ascii="Times New Roman" w:hAnsi="Times New Roman"/>
          <w:sz w:val="24"/>
        </w:rPr>
      </w:pPr>
    </w:p>
    <w:p w:rsidR="00367CF8" w:rsidP="00367CF8" w:rsidRDefault="00367CF8">
      <w:pPr>
        <w:rPr>
          <w:rFonts w:ascii="Times New Roman" w:hAnsi="Times New Roman"/>
          <w:sz w:val="24"/>
        </w:rPr>
      </w:pPr>
    </w:p>
    <w:p w:rsidRPr="00367CF8" w:rsidR="00367CF8" w:rsidP="00367CF8" w:rsidRDefault="00367CF8">
      <w:pPr>
        <w:rPr>
          <w:rFonts w:ascii="Times New Roman" w:hAnsi="Times New Roman"/>
          <w:sz w:val="24"/>
        </w:rPr>
      </w:pPr>
    </w:p>
    <w:p w:rsidR="00CB3578" w:rsidP="00367CF8" w:rsidRDefault="00367CF8">
      <w:pPr>
        <w:rPr>
          <w:rFonts w:ascii="Times New Roman" w:hAnsi="Times New Roman"/>
          <w:sz w:val="24"/>
          <w:szCs w:val="18"/>
        </w:rPr>
      </w:pPr>
      <w:r w:rsidRPr="00367CF8">
        <w:rPr>
          <w:rFonts w:ascii="Times New Roman" w:hAnsi="Times New Roman"/>
          <w:sz w:val="24"/>
        </w:rPr>
        <w:t>De</w:t>
      </w:r>
      <w:r w:rsidR="009A55CC">
        <w:rPr>
          <w:rFonts w:ascii="Times New Roman" w:hAnsi="Times New Roman"/>
          <w:sz w:val="24"/>
        </w:rPr>
        <w:t xml:space="preserve"> M</w:t>
      </w:r>
      <w:r>
        <w:rPr>
          <w:rFonts w:ascii="Times New Roman" w:hAnsi="Times New Roman"/>
          <w:sz w:val="24"/>
        </w:rPr>
        <w:t xml:space="preserve">inister van </w:t>
      </w:r>
      <w:r w:rsidRPr="00367CF8">
        <w:rPr>
          <w:rFonts w:ascii="Times New Roman" w:hAnsi="Times New Roman"/>
          <w:sz w:val="24"/>
          <w:szCs w:val="18"/>
        </w:rPr>
        <w:t>Buitenlandse Zaken</w:t>
      </w:r>
      <w:r w:rsidR="009A55CC">
        <w:rPr>
          <w:rFonts w:ascii="Times New Roman" w:hAnsi="Times New Roman"/>
          <w:sz w:val="24"/>
          <w:szCs w:val="18"/>
        </w:rPr>
        <w:t>,</w:t>
      </w:r>
    </w:p>
    <w:p w:rsidRPr="00367CF8" w:rsidR="009A55CC" w:rsidP="009A55CC" w:rsidRDefault="009A55CC">
      <w:pPr>
        <w:rPr>
          <w:rFonts w:ascii="Times New Roman" w:hAnsi="Times New Roman"/>
          <w:sz w:val="24"/>
        </w:rPr>
      </w:pPr>
    </w:p>
    <w:p w:rsidRPr="00367CF8" w:rsidR="009A55CC" w:rsidP="009A55CC" w:rsidRDefault="009A55CC">
      <w:pPr>
        <w:rPr>
          <w:rFonts w:ascii="Times New Roman" w:hAnsi="Times New Roman"/>
          <w:sz w:val="24"/>
        </w:rPr>
      </w:pPr>
    </w:p>
    <w:p w:rsidRPr="00367CF8" w:rsidR="009A55CC" w:rsidP="009A55CC" w:rsidRDefault="009A55CC">
      <w:pPr>
        <w:rPr>
          <w:rFonts w:ascii="Times New Roman" w:hAnsi="Times New Roman"/>
          <w:sz w:val="24"/>
        </w:rPr>
      </w:pPr>
    </w:p>
    <w:p w:rsidRPr="00367CF8" w:rsidR="009A55CC" w:rsidP="009A55CC" w:rsidRDefault="009A55CC">
      <w:pPr>
        <w:rPr>
          <w:rFonts w:ascii="Times New Roman" w:hAnsi="Times New Roman"/>
          <w:sz w:val="24"/>
        </w:rPr>
      </w:pPr>
    </w:p>
    <w:p w:rsidRPr="00367CF8" w:rsidR="009A55CC" w:rsidP="009A55CC" w:rsidRDefault="009A55CC">
      <w:pPr>
        <w:rPr>
          <w:rFonts w:ascii="Times New Roman" w:hAnsi="Times New Roman"/>
          <w:sz w:val="24"/>
        </w:rPr>
      </w:pPr>
    </w:p>
    <w:p w:rsidRPr="00367CF8" w:rsidR="009A55CC" w:rsidP="009A55CC" w:rsidRDefault="009A55CC">
      <w:pPr>
        <w:rPr>
          <w:rFonts w:ascii="Times New Roman" w:hAnsi="Times New Roman"/>
          <w:sz w:val="24"/>
        </w:rPr>
      </w:pPr>
    </w:p>
    <w:p w:rsidR="009A55CC" w:rsidP="009A55CC" w:rsidRDefault="009A55CC">
      <w:pPr>
        <w:rPr>
          <w:rFonts w:ascii="Times New Roman" w:hAnsi="Times New Roman"/>
          <w:sz w:val="24"/>
        </w:rPr>
      </w:pPr>
    </w:p>
    <w:p w:rsidR="009A55CC" w:rsidP="009A55CC" w:rsidRDefault="009A55CC">
      <w:pPr>
        <w:rPr>
          <w:rFonts w:ascii="Times New Roman" w:hAnsi="Times New Roman"/>
          <w:sz w:val="24"/>
        </w:rPr>
      </w:pPr>
    </w:p>
    <w:p w:rsidRPr="00367CF8" w:rsidR="009A55CC" w:rsidP="009A55CC" w:rsidRDefault="009A55CC">
      <w:pPr>
        <w:rPr>
          <w:rFonts w:ascii="Times New Roman" w:hAnsi="Times New Roman"/>
          <w:sz w:val="24"/>
        </w:rPr>
      </w:pPr>
    </w:p>
    <w:p w:rsidR="009A55CC" w:rsidP="009A55CC" w:rsidRDefault="009A55CC">
      <w:pPr>
        <w:rPr>
          <w:rFonts w:ascii="Times New Roman" w:hAnsi="Times New Roman"/>
          <w:sz w:val="24"/>
          <w:szCs w:val="18"/>
        </w:rPr>
      </w:pPr>
      <w:r w:rsidRPr="00367CF8">
        <w:rPr>
          <w:rFonts w:ascii="Times New Roman" w:hAnsi="Times New Roman"/>
          <w:sz w:val="24"/>
        </w:rPr>
        <w:t>De</w:t>
      </w:r>
      <w:r>
        <w:rPr>
          <w:rFonts w:ascii="Times New Roman" w:hAnsi="Times New Roman"/>
          <w:sz w:val="24"/>
        </w:rPr>
        <w:t xml:space="preserve"> Minister van </w:t>
      </w:r>
      <w:r w:rsidRPr="00367CF8">
        <w:rPr>
          <w:rFonts w:ascii="Times New Roman" w:hAnsi="Times New Roman"/>
          <w:sz w:val="24"/>
          <w:szCs w:val="18"/>
        </w:rPr>
        <w:t>Buitenlandse Zaken</w:t>
      </w:r>
      <w:r>
        <w:rPr>
          <w:rFonts w:ascii="Times New Roman" w:hAnsi="Times New Roman"/>
          <w:sz w:val="24"/>
          <w:szCs w:val="18"/>
        </w:rPr>
        <w:t>,</w:t>
      </w:r>
    </w:p>
    <w:p w:rsidR="009A55CC" w:rsidP="00367CF8" w:rsidRDefault="009A55CC">
      <w:pPr>
        <w:rPr>
          <w:rFonts w:ascii="Times New Roman" w:hAnsi="Times New Roman"/>
          <w:sz w:val="24"/>
          <w:szCs w:val="18"/>
        </w:rPr>
      </w:pPr>
      <w:bookmarkStart w:name="_GoBack" w:id="0"/>
      <w:bookmarkEnd w:id="0"/>
    </w:p>
    <w:p w:rsidRPr="00367CF8" w:rsidR="009A55CC" w:rsidP="00367CF8" w:rsidRDefault="009A55CC">
      <w:pPr>
        <w:rPr>
          <w:rFonts w:ascii="Times New Roman" w:hAnsi="Times New Roman"/>
          <w:sz w:val="24"/>
        </w:rPr>
      </w:pPr>
    </w:p>
    <w:sectPr w:rsidRPr="00367CF8" w:rsidR="009A55C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CF8" w:rsidRDefault="00367CF8">
      <w:pPr>
        <w:spacing w:line="20" w:lineRule="exact"/>
      </w:pPr>
    </w:p>
  </w:endnote>
  <w:endnote w:type="continuationSeparator" w:id="0">
    <w:p w:rsidR="00367CF8" w:rsidRDefault="00367CF8">
      <w:pPr>
        <w:pStyle w:val="Amendement"/>
      </w:pPr>
      <w:r>
        <w:rPr>
          <w:b w:val="0"/>
          <w:bCs w:val="0"/>
        </w:rPr>
        <w:t xml:space="preserve"> </w:t>
      </w:r>
    </w:p>
  </w:endnote>
  <w:endnote w:type="continuationNotice" w:id="1">
    <w:p w:rsidR="00367CF8" w:rsidRDefault="00367CF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A55CC">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CF8" w:rsidRDefault="00367CF8">
      <w:pPr>
        <w:pStyle w:val="Amendement"/>
      </w:pPr>
      <w:r>
        <w:rPr>
          <w:b w:val="0"/>
          <w:bCs w:val="0"/>
        </w:rPr>
        <w:separator/>
      </w:r>
    </w:p>
  </w:footnote>
  <w:footnote w:type="continuationSeparator" w:id="0">
    <w:p w:rsidR="00367CF8" w:rsidRDefault="00367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E20B7"/>
    <w:multiLevelType w:val="hybridMultilevel"/>
    <w:tmpl w:val="6E029F2C"/>
    <w:lvl w:ilvl="0" w:tplc="C7627A12">
      <w:start w:val="1"/>
      <w:numFmt w:val="decimal"/>
      <w:lvlText w:val="%1."/>
      <w:lvlJc w:val="left"/>
      <w:pPr>
        <w:ind w:left="460" w:hanging="360"/>
        <w:jc w:val="left"/>
      </w:pPr>
      <w:rPr>
        <w:rFonts w:ascii="Verdana" w:eastAsia="Verdana" w:hAnsi="Verdana" w:cs="Verdana" w:hint="default"/>
        <w:spacing w:val="-11"/>
        <w:w w:val="99"/>
        <w:sz w:val="18"/>
        <w:szCs w:val="18"/>
      </w:rPr>
    </w:lvl>
    <w:lvl w:ilvl="1" w:tplc="6E08B60E">
      <w:numFmt w:val="bullet"/>
      <w:lvlText w:val="•"/>
      <w:lvlJc w:val="left"/>
      <w:pPr>
        <w:ind w:left="1334" w:hanging="360"/>
      </w:pPr>
      <w:rPr>
        <w:rFonts w:hint="default"/>
      </w:rPr>
    </w:lvl>
    <w:lvl w:ilvl="2" w:tplc="C7E634AE">
      <w:numFmt w:val="bullet"/>
      <w:lvlText w:val="•"/>
      <w:lvlJc w:val="left"/>
      <w:pPr>
        <w:ind w:left="2209" w:hanging="360"/>
      </w:pPr>
      <w:rPr>
        <w:rFonts w:hint="default"/>
      </w:rPr>
    </w:lvl>
    <w:lvl w:ilvl="3" w:tplc="5BCC1060">
      <w:numFmt w:val="bullet"/>
      <w:lvlText w:val="•"/>
      <w:lvlJc w:val="left"/>
      <w:pPr>
        <w:ind w:left="3083" w:hanging="360"/>
      </w:pPr>
      <w:rPr>
        <w:rFonts w:hint="default"/>
      </w:rPr>
    </w:lvl>
    <w:lvl w:ilvl="4" w:tplc="7E70000A">
      <w:numFmt w:val="bullet"/>
      <w:lvlText w:val="•"/>
      <w:lvlJc w:val="left"/>
      <w:pPr>
        <w:ind w:left="3958" w:hanging="360"/>
      </w:pPr>
      <w:rPr>
        <w:rFonts w:hint="default"/>
      </w:rPr>
    </w:lvl>
    <w:lvl w:ilvl="5" w:tplc="D0422258">
      <w:numFmt w:val="bullet"/>
      <w:lvlText w:val="•"/>
      <w:lvlJc w:val="left"/>
      <w:pPr>
        <w:ind w:left="4833" w:hanging="360"/>
      </w:pPr>
      <w:rPr>
        <w:rFonts w:hint="default"/>
      </w:rPr>
    </w:lvl>
    <w:lvl w:ilvl="6" w:tplc="D56AE9FC">
      <w:numFmt w:val="bullet"/>
      <w:lvlText w:val="•"/>
      <w:lvlJc w:val="left"/>
      <w:pPr>
        <w:ind w:left="5707" w:hanging="360"/>
      </w:pPr>
      <w:rPr>
        <w:rFonts w:hint="default"/>
      </w:rPr>
    </w:lvl>
    <w:lvl w:ilvl="7" w:tplc="0B400BE2">
      <w:numFmt w:val="bullet"/>
      <w:lvlText w:val="•"/>
      <w:lvlJc w:val="left"/>
      <w:pPr>
        <w:ind w:left="6582" w:hanging="360"/>
      </w:pPr>
      <w:rPr>
        <w:rFonts w:hint="default"/>
      </w:rPr>
    </w:lvl>
    <w:lvl w:ilvl="8" w:tplc="4300C626">
      <w:numFmt w:val="bullet"/>
      <w:lvlText w:val="•"/>
      <w:lvlJc w:val="left"/>
      <w:pPr>
        <w:ind w:left="745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F8"/>
    <w:rsid w:val="00012DBE"/>
    <w:rsid w:val="000A1D81"/>
    <w:rsid w:val="00111ED3"/>
    <w:rsid w:val="001C190E"/>
    <w:rsid w:val="002168F4"/>
    <w:rsid w:val="002A727C"/>
    <w:rsid w:val="00367CF8"/>
    <w:rsid w:val="005D2707"/>
    <w:rsid w:val="00606255"/>
    <w:rsid w:val="006B607A"/>
    <w:rsid w:val="007D451C"/>
    <w:rsid w:val="00826224"/>
    <w:rsid w:val="00930A23"/>
    <w:rsid w:val="009A55CC"/>
    <w:rsid w:val="009C7354"/>
    <w:rsid w:val="009E6D7F"/>
    <w:rsid w:val="00A00351"/>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15CC1"/>
  <w15:docId w15:val="{5C39F357-F7AA-416A-9C22-F8C1BD0F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1"/>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1"/>
    <w:rsid w:val="00367CF8"/>
    <w:rPr>
      <w:rFonts w:ascii="Verdana" w:hAnsi="Verdana" w:cs="Arial"/>
      <w:b/>
      <w:bCs/>
      <w:i/>
      <w:iCs/>
      <w:sz w:val="28"/>
      <w:szCs w:val="28"/>
    </w:rPr>
  </w:style>
  <w:style w:type="paragraph" w:styleId="Plattetekst">
    <w:name w:val="Body Text"/>
    <w:basedOn w:val="Standaard"/>
    <w:link w:val="PlattetekstChar"/>
    <w:uiPriority w:val="1"/>
    <w:qFormat/>
    <w:rsid w:val="00367CF8"/>
    <w:pPr>
      <w:widowControl w:val="0"/>
      <w:autoSpaceDE w:val="0"/>
      <w:autoSpaceDN w:val="0"/>
    </w:pPr>
    <w:rPr>
      <w:rFonts w:eastAsia="Verdana" w:cs="Verdana"/>
      <w:sz w:val="18"/>
      <w:szCs w:val="18"/>
      <w:lang w:eastAsia="en-US"/>
    </w:rPr>
  </w:style>
  <w:style w:type="character" w:customStyle="1" w:styleId="PlattetekstChar">
    <w:name w:val="Platte tekst Char"/>
    <w:basedOn w:val="Standaardalinea-lettertype"/>
    <w:link w:val="Plattetekst"/>
    <w:uiPriority w:val="1"/>
    <w:rsid w:val="00367CF8"/>
    <w:rPr>
      <w:rFonts w:ascii="Verdana" w:eastAsia="Verdana" w:hAnsi="Verdana" w:cs="Verdana"/>
      <w:sz w:val="18"/>
      <w:szCs w:val="18"/>
      <w:lang w:eastAsia="en-US"/>
    </w:rPr>
  </w:style>
  <w:style w:type="paragraph" w:styleId="Lijstalinea">
    <w:name w:val="List Paragraph"/>
    <w:basedOn w:val="Standaard"/>
    <w:uiPriority w:val="1"/>
    <w:qFormat/>
    <w:rsid w:val="00367CF8"/>
    <w:pPr>
      <w:widowControl w:val="0"/>
      <w:autoSpaceDE w:val="0"/>
      <w:autoSpaceDN w:val="0"/>
      <w:ind w:left="460" w:hanging="360"/>
    </w:pPr>
    <w:rPr>
      <w:rFonts w:eastAsia="Verdana" w:cs="Verdana"/>
      <w:sz w:val="22"/>
      <w:szCs w:val="22"/>
      <w:lang w:eastAsia="en-US"/>
    </w:rPr>
  </w:style>
  <w:style w:type="paragraph" w:styleId="Ballontekst">
    <w:name w:val="Balloon Text"/>
    <w:basedOn w:val="Standaard"/>
    <w:link w:val="BallontekstChar"/>
    <w:semiHidden/>
    <w:unhideWhenUsed/>
    <w:rsid w:val="009A55CC"/>
    <w:rPr>
      <w:rFonts w:ascii="Segoe UI" w:hAnsi="Segoe UI" w:cs="Segoe UI"/>
      <w:sz w:val="18"/>
      <w:szCs w:val="18"/>
    </w:rPr>
  </w:style>
  <w:style w:type="character" w:customStyle="1" w:styleId="BallontekstChar">
    <w:name w:val="Ballontekst Char"/>
    <w:basedOn w:val="Standaardalinea-lettertype"/>
    <w:link w:val="Ballontekst"/>
    <w:semiHidden/>
    <w:rsid w:val="009A5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888</ap:Words>
  <ap:Characters>4984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2020-12-03T14:20:00.0000000Z</lastPrinted>
  <dcterms:created xsi:type="dcterms:W3CDTF">2020-12-03T14:23:00.0000000Z</dcterms:created>
  <dcterms:modified xsi:type="dcterms:W3CDTF">2020-12-03T14:23:00.0000000Z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