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C28EB">
              <w:rPr>
                <w:rFonts w:ascii="Times New Roman" w:hAnsi="Times New Roman"/>
              </w:rPr>
              <w:t>De Tweede Kamer der Staten-</w:t>
            </w:r>
            <w:r w:rsidRPr="00BC28EB">
              <w:rPr>
                <w:rFonts w:ascii="Times New Roman" w:hAnsi="Times New Roman"/>
              </w:rPr>
              <w:fldChar w:fldCharType="begin"/>
            </w:r>
            <w:r w:rsidRPr="00BC28EB">
              <w:rPr>
                <w:rFonts w:ascii="Times New Roman" w:hAnsi="Times New Roman"/>
              </w:rPr>
              <w:instrText xml:space="preserve">PRIVATE </w:instrText>
            </w:r>
            <w:r w:rsidRPr="00BC28EB">
              <w:rPr>
                <w:rFonts w:ascii="Times New Roman" w:hAnsi="Times New Roman"/>
              </w:rPr>
              <w:fldChar w:fldCharType="end"/>
            </w: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C28EB">
              <w:rPr>
                <w:rFonts w:ascii="Times New Roman" w:hAnsi="Times New Roman"/>
              </w:rPr>
              <w:t>Generaal zendt bijgaand door</w:t>
            </w: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C28EB">
              <w:rPr>
                <w:rFonts w:ascii="Times New Roman" w:hAnsi="Times New Roman"/>
              </w:rPr>
              <w:t>haar aangenomen wetsvoorstel</w:t>
            </w: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C28EB">
              <w:rPr>
                <w:rFonts w:ascii="Times New Roman" w:hAnsi="Times New Roman"/>
              </w:rPr>
              <w:t>aan de Eerste Kamer.</w:t>
            </w: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C28EB">
              <w:rPr>
                <w:rFonts w:ascii="Times New Roman" w:hAnsi="Times New Roman"/>
              </w:rPr>
              <w:t>De Voorzitter,</w:t>
            </w: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28EB" w:rsidR="00BC28EB" w:rsidP="000D0DF5" w:rsidRDefault="00BC28E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28EB" w:rsidR="00BC28EB" w:rsidP="000D0DF5" w:rsidRDefault="00BC28EB">
            <w:pPr>
              <w:rPr>
                <w:rFonts w:ascii="Times New Roman" w:hAnsi="Times New Roman"/>
              </w:rPr>
            </w:pPr>
          </w:p>
          <w:p w:rsidRPr="00BC28EB" w:rsidR="00CB3578" w:rsidP="00BC28EB" w:rsidRDefault="00BC28EB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16 april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C28EB" w:rsidTr="00C32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BC28EB" w:rsidP="000D5BC4" w:rsidRDefault="00BC28EB">
            <w:pPr>
              <w:rPr>
                <w:rFonts w:ascii="Times New Roman" w:hAnsi="Times New Roman"/>
                <w:b/>
                <w:sz w:val="24"/>
              </w:rPr>
            </w:pPr>
            <w:r w:rsidRPr="008E1E81">
              <w:rPr>
                <w:rFonts w:ascii="Times New Roman" w:hAnsi="Times New Roman"/>
                <w:b/>
                <w:sz w:val="24"/>
              </w:rPr>
              <w:t>Wijziging van de begrotingsstaat van het Ministerie van Financiën (IXB) voor het jaar 2020 (Tweede incidentele suppletoire begroting inzake COVID-19 crisismaatregel herverzekering leverancierskredieten)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C28EB" w:rsidTr="00040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C28EB" w:rsidRDefault="00BC28EB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E1E81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E1E81">
        <w:rPr>
          <w:rFonts w:ascii="Times New Roman" w:hAnsi="Times New Roman"/>
          <w:sz w:val="24"/>
          <w:szCs w:val="20"/>
        </w:rPr>
        <w:t xml:space="preserve">Allen, die deze zullen zien of horen lezen, saluut! doen te weten: </w:t>
      </w:r>
    </w:p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E1E81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Financiën (IX), voor het jaar 2020. </w:t>
      </w: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E1E81">
        <w:rPr>
          <w:rFonts w:ascii="Times New Roman" w:hAnsi="Times New Roman"/>
          <w:sz w:val="24"/>
          <w:szCs w:val="20"/>
        </w:rPr>
        <w:t xml:space="preserve">Zo is het, dat Wij met gemeen overleg der Staten-Generaal, hebben goedgevonden en verstaan, gelijk Wij goedvinden en verstaan bij deze: </w:t>
      </w:r>
    </w:p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8E1E81">
        <w:rPr>
          <w:rFonts w:ascii="Times New Roman" w:hAnsi="Times New Roman"/>
          <w:b/>
          <w:sz w:val="24"/>
          <w:szCs w:val="20"/>
        </w:rPr>
        <w:t>Artikel 1</w:t>
      </w:r>
    </w:p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E1E81">
        <w:rPr>
          <w:rFonts w:ascii="Times New Roman" w:hAnsi="Times New Roman"/>
          <w:sz w:val="24"/>
          <w:szCs w:val="20"/>
        </w:rPr>
        <w:t>De departementale begrotingsstaat van het Ministerie van Financiën (IXB) voor het jaar 2020 wordt gewijzigd, zoals blijkt uit de desbetreffende bij deze wet behorende staat.</w:t>
      </w:r>
    </w:p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7D558D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7D558D">
        <w:rPr>
          <w:rFonts w:ascii="Times New Roman" w:hAnsi="Times New Roman"/>
          <w:b/>
          <w:sz w:val="24"/>
          <w:szCs w:val="20"/>
        </w:rPr>
        <w:t>Artikel 2</w:t>
      </w:r>
    </w:p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E1E81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8E1E81">
        <w:rPr>
          <w:rFonts w:ascii="Times New Roman" w:hAnsi="Times New Roman"/>
          <w:b/>
          <w:sz w:val="24"/>
          <w:szCs w:val="20"/>
        </w:rPr>
        <w:t>Artikel 3</w:t>
      </w: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E1E81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januari 2020.</w:t>
      </w: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E1E81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8E1E81"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Gegeven</w:t>
      </w: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8E1E81" w:rsidR="00BC28EB" w:rsidP="008E1E81" w:rsidRDefault="00BC28EB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C28EB" w:rsidP="00BC28EB" w:rsidRDefault="008E1E8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8E1E81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  <w:r w:rsidRPr="00BC28EB" w:rsidR="00BC28EB">
        <w:rPr>
          <w:rFonts w:ascii="Times New Roman" w:hAnsi="Times New Roman"/>
          <w:sz w:val="24"/>
          <w:szCs w:val="20"/>
        </w:rPr>
        <w:t xml:space="preserve"> </w:t>
      </w:r>
    </w:p>
    <w:p w:rsidR="00BC28EB" w:rsidP="00BC28EB" w:rsidRDefault="00BC28EB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C28EB" w:rsidP="00BC28EB" w:rsidRDefault="00BC28EB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C28EB" w:rsidP="00BC28EB" w:rsidRDefault="00BC28EB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C28EB" w:rsidP="00BC28EB" w:rsidRDefault="00BC28EB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C28EB" w:rsidP="00BC28EB" w:rsidRDefault="00BC28EB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C28EB" w:rsidP="00BC28EB" w:rsidRDefault="00BC28EB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C28EB" w:rsidP="00BC28EB" w:rsidRDefault="00BC28EB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C28EB" w:rsidP="00BC28EB" w:rsidRDefault="00BC28EB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8E1E81" w:rsidR="00BC28EB" w:rsidP="00BC28EB" w:rsidRDefault="00BC28EB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8E1E81" w:rsidP="008E1E81" w:rsidRDefault="00BC28EB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  <w:sectPr w:rsidR="008E1E81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8E1E81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</w:p>
    <w:p w:rsidR="008E1E81" w:rsidP="008E1E81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8E1E81">
        <w:rPr>
          <w:rFonts w:ascii="Times New Roman" w:hAnsi="Times New Roman"/>
          <w:b/>
          <w:sz w:val="24"/>
          <w:szCs w:val="20"/>
        </w:rPr>
        <w:lastRenderedPageBreak/>
        <w:t>Wijziging van de begrotingsstaat van het Ministerie van Financiën (IXB) voor het jaar 2020 (Tweede incidentele suppletoire begroting inzake herverzekering leverancierskredieten) (Bedragen x € 1.000)</w:t>
      </w:r>
    </w:p>
    <w:p w:rsidRPr="00BC28EB" w:rsidR="00BC28EB" w:rsidP="008E1E81" w:rsidRDefault="00BC28EB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7"/>
        <w:gridCol w:w="5271"/>
        <w:gridCol w:w="1639"/>
        <w:gridCol w:w="1176"/>
        <w:gridCol w:w="1420"/>
        <w:gridCol w:w="1416"/>
        <w:gridCol w:w="1016"/>
        <w:gridCol w:w="1227"/>
      </w:tblGrid>
      <w:tr w:rsidRPr="00D41386" w:rsidR="008E1E81" w:rsidTr="00D41386">
        <w:trPr>
          <w:trHeight w:val="360"/>
        </w:trPr>
        <w:tc>
          <w:tcPr>
            <w:tcW w:w="0" w:type="auto"/>
            <w:gridSpan w:val="2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Pr="00D41386" w:rsidR="008E1E81" w:rsidP="00E53E40" w:rsidRDefault="008E1E8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Stand ontwerpbegroting 2020 (Incl. NvW en ISB</w:t>
            </w:r>
            <w:r w:rsidRPr="00D41386">
              <w:rPr>
                <w:rStyle w:val="Voetnootmarkering"/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footnoteReference w:id="1"/>
            </w: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0" w:type="auto"/>
            <w:gridSpan w:val="3"/>
            <w:hideMark/>
          </w:tcPr>
          <w:p w:rsidRPr="00D41386" w:rsidR="008E1E81" w:rsidP="00D41386" w:rsidRDefault="008E1E81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Mutatie ISB 2020</w:t>
            </w:r>
          </w:p>
        </w:tc>
      </w:tr>
      <w:tr w:rsidRPr="00D41386" w:rsidR="00BC28EB" w:rsidTr="00D41386">
        <w:trPr>
          <w:trHeight w:val="540"/>
        </w:trPr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Artikel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Omschrijving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Verplichtingen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Uitgaven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Ontvangsten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Verplichtingen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Uitgaven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Ontvangsten</w:t>
            </w:r>
          </w:p>
        </w:tc>
      </w:tr>
      <w:tr w:rsidRPr="00D41386" w:rsidR="00BC28EB" w:rsidTr="00D41386">
        <w:trPr>
          <w:trHeight w:val="300"/>
        </w:trPr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D41386" w:rsidR="00BC28EB" w:rsidTr="00D41386">
        <w:trPr>
          <w:trHeight w:val="300"/>
        </w:trPr>
        <w:tc>
          <w:tcPr>
            <w:tcW w:w="0" w:type="auto"/>
            <w:noWrap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TOTAAL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18.259.138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7.885.361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161.797.988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12.070.000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1.470.000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nl-NL"/>
              </w:rPr>
              <w:t>500.000</w:t>
            </w:r>
          </w:p>
        </w:tc>
      </w:tr>
      <w:tr w:rsidRPr="00D41386" w:rsidR="00BC28EB" w:rsidTr="00D41386">
        <w:trPr>
          <w:trHeight w:val="300"/>
        </w:trPr>
        <w:tc>
          <w:tcPr>
            <w:tcW w:w="0" w:type="auto"/>
            <w:noWrap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D41386" w:rsidR="00BC28EB" w:rsidTr="00D41386">
        <w:trPr>
          <w:trHeight w:val="360"/>
        </w:trPr>
        <w:tc>
          <w:tcPr>
            <w:tcW w:w="0" w:type="auto"/>
            <w:noWrap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Beleidsartikelen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D41386" w:rsidR="00BC28EB" w:rsidTr="00D41386">
        <w:trPr>
          <w:trHeight w:val="300"/>
        </w:trPr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Belastingen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2.846.839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2.926.639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156.204.310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noWrap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Pr="00D41386" w:rsidR="00BC28EB" w:rsidTr="00D41386">
        <w:trPr>
          <w:trHeight w:val="360"/>
        </w:trPr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Financiële markten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26.608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26.608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9.155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D41386" w:rsidR="00BC28EB" w:rsidTr="00D41386">
        <w:trPr>
          <w:trHeight w:val="360"/>
        </w:trPr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Financieringsactiviteiten publiek-private sector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143.836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442.176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1.816.656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D41386" w:rsidR="00BC28EB" w:rsidTr="00D41386">
        <w:trPr>
          <w:trHeight w:val="540"/>
        </w:trPr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Internationale financiële betrekkingen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912.681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103.694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52.804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D41386" w:rsidR="00BC28EB" w:rsidTr="00D41386">
        <w:trPr>
          <w:trHeight w:val="540"/>
        </w:trPr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Exportkredietkredietverzekeringen, -garanties en investeringsverzekeringen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10.015.244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77.244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235.954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12.070.000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1.470.000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500.000</w:t>
            </w:r>
          </w:p>
        </w:tc>
      </w:tr>
      <w:tr w:rsidRPr="00D41386" w:rsidR="00BC28EB" w:rsidTr="00D41386">
        <w:trPr>
          <w:trHeight w:val="540"/>
        </w:trPr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Btw-compensatiefonds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3.426.667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3.426.667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3.426.667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D41386" w:rsidR="00BC28EB" w:rsidTr="00D41386">
        <w:trPr>
          <w:trHeight w:val="300"/>
        </w:trPr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Douane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440.852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440.852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605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D41386" w:rsidR="00BC28EB" w:rsidTr="00D41386">
        <w:trPr>
          <w:trHeight w:val="300"/>
        </w:trPr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D41386" w:rsidR="00BC28EB" w:rsidTr="00D41386">
        <w:trPr>
          <w:trHeight w:val="540"/>
        </w:trPr>
        <w:tc>
          <w:tcPr>
            <w:tcW w:w="0" w:type="auto"/>
            <w:noWrap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Niet-beleidsartikelen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D41386" w:rsidR="00BC28EB" w:rsidTr="00D41386">
        <w:trPr>
          <w:trHeight w:val="360"/>
        </w:trPr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Centraal apparaat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266.049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266.049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51.837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D41386" w:rsidR="00BC28EB" w:rsidTr="00D41386">
        <w:trPr>
          <w:trHeight w:val="375"/>
        </w:trPr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Nominaal en onvoorzien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180.362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175.432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0" w:type="auto"/>
            <w:hideMark/>
          </w:tcPr>
          <w:p w:rsidRPr="00D41386" w:rsidR="008E1E81" w:rsidP="00E53E40" w:rsidRDefault="008E1E81"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41386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</w:tbl>
    <w:p w:rsidRPr="00BC28EB" w:rsidR="008E1E81" w:rsidP="00BC28EB" w:rsidRDefault="008E1E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sectPr w:rsidRPr="00BC28EB" w:rsidR="008E1E81" w:rsidSect="008E1E81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E81" w:rsidRDefault="008E1E81">
      <w:pPr>
        <w:spacing w:line="20" w:lineRule="exact"/>
      </w:pPr>
    </w:p>
  </w:endnote>
  <w:endnote w:type="continuationSeparator" w:id="0">
    <w:p w:rsidR="008E1E81" w:rsidRDefault="008E1E81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E1E81" w:rsidRDefault="008E1E81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D41386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E81" w:rsidRDefault="008E1E81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E1E81" w:rsidRDefault="008E1E81">
      <w:r>
        <w:continuationSeparator/>
      </w:r>
    </w:p>
  </w:footnote>
  <w:footnote w:id="1">
    <w:p w:rsidR="008E1E81" w:rsidRPr="00BC28EB" w:rsidRDefault="008E1E81" w:rsidP="008E1E81">
      <w:pPr>
        <w:pStyle w:val="Voetnoottekst"/>
        <w:rPr>
          <w:rFonts w:ascii="Times New Roman" w:hAnsi="Times New Roman"/>
          <w:szCs w:val="20"/>
        </w:rPr>
      </w:pPr>
      <w:r w:rsidRPr="00BC28EB">
        <w:rPr>
          <w:rStyle w:val="Voetnootmarkering"/>
          <w:rFonts w:ascii="Times New Roman" w:hAnsi="Times New Roman"/>
          <w:szCs w:val="20"/>
        </w:rPr>
        <w:footnoteRef/>
      </w:r>
      <w:r w:rsidRPr="00BC28EB">
        <w:rPr>
          <w:rFonts w:ascii="Times New Roman" w:hAnsi="Times New Roman"/>
          <w:szCs w:val="20"/>
        </w:rPr>
        <w:t xml:space="preserve"> Kamerstukken II 2019-2020, 35 412, nr. 1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81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7D451C"/>
    <w:rsid w:val="007D558D"/>
    <w:rsid w:val="00826224"/>
    <w:rsid w:val="008E1E81"/>
    <w:rsid w:val="00930A23"/>
    <w:rsid w:val="009C7354"/>
    <w:rsid w:val="009E6D7F"/>
    <w:rsid w:val="00A11E73"/>
    <w:rsid w:val="00A2521E"/>
    <w:rsid w:val="00AE436A"/>
    <w:rsid w:val="00BC28EB"/>
    <w:rsid w:val="00C135B1"/>
    <w:rsid w:val="00C92DF8"/>
    <w:rsid w:val="00CB3578"/>
    <w:rsid w:val="00D20AFA"/>
    <w:rsid w:val="00D41386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B4951"/>
  <w15:docId w15:val="{B7881BDD-550E-4F37-98B3-F8A2E4B0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  <w:uiPriority w:val="99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oetnootmarkering">
    <w:name w:val="footnote reference"/>
    <w:basedOn w:val="Standaardalinea-lettertype"/>
    <w:uiPriority w:val="99"/>
    <w:semiHidden/>
    <w:unhideWhenUsed/>
    <w:rsid w:val="008E1E81"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1E81"/>
    <w:rPr>
      <w:rFonts w:ascii="Verdana" w:hAnsi="Verdana"/>
      <w:szCs w:val="24"/>
    </w:rPr>
  </w:style>
  <w:style w:type="table" w:styleId="Tabelraster">
    <w:name w:val="Table Grid"/>
    <w:basedOn w:val="Standaardtabel"/>
    <w:uiPriority w:val="59"/>
    <w:rsid w:val="008E1E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mp">
    <w:name w:val="avmp"/>
    <w:rsid w:val="00BC2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345</ap:Words>
  <ap:Characters>2356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2020-04-16T10:22:00.0000000Z</dcterms:created>
  <dcterms:modified xsi:type="dcterms:W3CDTF">2020-04-16T10:22:00.0000000Z</dcterms:modified>
  <dc:description>------------------------</dc:description>
  <dc:subject/>
  <keywords/>
  <version/>
  <category/>
</coreProperties>
</file>