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EA9" w:rsidP="00217D18" w:rsidRDefault="00217D18">
      <w:pPr>
        <w:widowControl w:val="0"/>
        <w:suppressAutoHyphens/>
        <w:spacing w:after="0" w:line="240" w:lineRule="auto"/>
        <w:ind w:left="720" w:hanging="360"/>
        <w:contextualSpacing/>
        <w:jc w:val="right"/>
        <w:rPr>
          <w:rFonts w:cstheme="minorHAnsi"/>
          <w:lang w:val="en-GB"/>
        </w:rPr>
      </w:pPr>
      <w:r w:rsidRPr="009F3EA9">
        <w:rPr>
          <w:rFonts w:cstheme="minorHAnsi"/>
          <w:lang w:val="en-GB"/>
        </w:rPr>
        <w:t>Dr Clara PORTELA</w:t>
      </w:r>
    </w:p>
    <w:p w:rsidRPr="009F3EA9" w:rsidR="00217D18" w:rsidP="00217D18" w:rsidRDefault="00217D18">
      <w:pPr>
        <w:widowControl w:val="0"/>
        <w:suppressAutoHyphens/>
        <w:spacing w:after="0" w:line="240" w:lineRule="auto"/>
        <w:ind w:left="720" w:hanging="360"/>
        <w:contextualSpacing/>
        <w:jc w:val="right"/>
        <w:rPr>
          <w:rFonts w:cstheme="minorHAnsi"/>
          <w:lang w:val="en-GB"/>
        </w:rPr>
      </w:pPr>
      <w:r w:rsidRPr="009F3EA9">
        <w:rPr>
          <w:rFonts w:cstheme="minorHAnsi"/>
          <w:lang w:val="en-GB"/>
        </w:rPr>
        <w:t>EU</w:t>
      </w:r>
      <w:r w:rsidR="009F3EA9">
        <w:rPr>
          <w:rFonts w:cstheme="minorHAnsi"/>
          <w:lang w:val="en-GB"/>
        </w:rPr>
        <w:t xml:space="preserve"> </w:t>
      </w:r>
      <w:r w:rsidRPr="009F3EA9">
        <w:rPr>
          <w:rFonts w:cstheme="minorHAnsi"/>
          <w:lang w:val="en-GB"/>
        </w:rPr>
        <w:t>I</w:t>
      </w:r>
      <w:r w:rsidR="009F3EA9">
        <w:rPr>
          <w:rFonts w:cstheme="minorHAnsi"/>
          <w:lang w:val="en-GB"/>
        </w:rPr>
        <w:t xml:space="preserve">nstitute for </w:t>
      </w:r>
      <w:r w:rsidRPr="009F3EA9">
        <w:rPr>
          <w:rFonts w:cstheme="minorHAnsi"/>
          <w:lang w:val="en-GB"/>
        </w:rPr>
        <w:t>S</w:t>
      </w:r>
      <w:r w:rsidR="009F3EA9">
        <w:rPr>
          <w:rFonts w:cstheme="minorHAnsi"/>
          <w:lang w:val="en-GB"/>
        </w:rPr>
        <w:t xml:space="preserve">ecurity </w:t>
      </w:r>
      <w:r w:rsidRPr="009F3EA9">
        <w:rPr>
          <w:rFonts w:cstheme="minorHAnsi"/>
          <w:lang w:val="en-GB"/>
        </w:rPr>
        <w:t>S</w:t>
      </w:r>
      <w:r w:rsidR="009F3EA9">
        <w:rPr>
          <w:rFonts w:cstheme="minorHAnsi"/>
          <w:lang w:val="en-GB"/>
        </w:rPr>
        <w:t>tudies</w:t>
      </w:r>
    </w:p>
    <w:p w:rsidRPr="009F3EA9" w:rsidR="00217D18" w:rsidP="00217D18" w:rsidRDefault="00217D18">
      <w:pPr>
        <w:widowControl w:val="0"/>
        <w:suppressAutoHyphens/>
        <w:spacing w:after="0" w:line="240" w:lineRule="auto"/>
        <w:ind w:left="720" w:hanging="360"/>
        <w:contextualSpacing/>
        <w:jc w:val="right"/>
        <w:rPr>
          <w:rFonts w:cstheme="minorHAnsi"/>
          <w:lang w:val="en-GB"/>
        </w:rPr>
      </w:pPr>
      <w:r w:rsidRPr="009F3EA9">
        <w:rPr>
          <w:rFonts w:cstheme="minorHAnsi"/>
          <w:lang w:val="en-GB"/>
        </w:rPr>
        <w:t>October 2020</w:t>
      </w:r>
    </w:p>
    <w:p w:rsidRPr="009F3EA9" w:rsidR="00594665" w:rsidP="00217D18" w:rsidRDefault="00594665">
      <w:pPr>
        <w:widowControl w:val="0"/>
        <w:suppressAutoHyphens/>
        <w:spacing w:after="0" w:line="240" w:lineRule="auto"/>
        <w:contextualSpacing/>
        <w:jc w:val="both"/>
        <w:rPr>
          <w:rFonts w:eastAsia="Liberation Serif" w:cstheme="minorHAnsi"/>
          <w:bCs/>
          <w:kern w:val="2"/>
          <w:lang w:val="en-IE" w:eastAsia="hi-IN" w:bidi="hi-IN"/>
        </w:rPr>
      </w:pPr>
    </w:p>
    <w:p w:rsidRPr="009F3EA9" w:rsidR="00594665" w:rsidP="00431A92" w:rsidRDefault="00431A92">
      <w:pPr>
        <w:widowControl w:val="0"/>
        <w:suppressAutoHyphens/>
        <w:spacing w:after="0" w:line="240" w:lineRule="auto"/>
        <w:contextualSpacing/>
        <w:jc w:val="center"/>
        <w:rPr>
          <w:rFonts w:eastAsia="Liberation Serif" w:cstheme="minorHAnsi"/>
          <w:b/>
          <w:kern w:val="2"/>
          <w:u w:val="single"/>
          <w:lang w:val="en-IE" w:eastAsia="hi-IN" w:bidi="hi-IN"/>
        </w:rPr>
      </w:pPr>
      <w:r w:rsidRPr="009F3EA9">
        <w:rPr>
          <w:rFonts w:eastAsia="Liberation Serif" w:cstheme="minorHAnsi"/>
          <w:b/>
          <w:kern w:val="2"/>
          <w:u w:val="single"/>
          <w:lang w:val="en-IE" w:eastAsia="hi-IN" w:bidi="hi-IN"/>
        </w:rPr>
        <w:t>T</w:t>
      </w:r>
      <w:r w:rsidRPr="00594665">
        <w:rPr>
          <w:rFonts w:eastAsia="Liberation Serif" w:cstheme="minorHAnsi"/>
          <w:b/>
          <w:kern w:val="2"/>
          <w:u w:val="single"/>
          <w:lang w:val="en-IE" w:eastAsia="hi-IN" w:bidi="hi-IN"/>
        </w:rPr>
        <w:t xml:space="preserve">he EU </w:t>
      </w:r>
      <w:r w:rsidRPr="00594665">
        <w:rPr>
          <w:rFonts w:eastAsia="Liberation Serif" w:cstheme="minorHAnsi"/>
          <w:b/>
          <w:bCs/>
          <w:kern w:val="2"/>
          <w:u w:val="single"/>
          <w:lang w:val="en-IE" w:eastAsia="hi-IN" w:bidi="hi-IN"/>
        </w:rPr>
        <w:t>human rights sanctions regime</w:t>
      </w:r>
      <w:r w:rsidRPr="009F3EA9">
        <w:rPr>
          <w:rFonts w:eastAsia="Liberation Serif" w:cstheme="minorHAnsi"/>
          <w:b/>
          <w:bCs/>
          <w:kern w:val="2"/>
          <w:u w:val="single"/>
          <w:lang w:val="en-IE" w:eastAsia="hi-IN" w:bidi="hi-IN"/>
        </w:rPr>
        <w:t>: Key challenges</w:t>
      </w:r>
    </w:p>
    <w:p w:rsidRPr="009F3EA9" w:rsidR="00217D18" w:rsidP="00594665" w:rsidRDefault="00217D18">
      <w:pPr>
        <w:widowControl w:val="0"/>
        <w:suppressAutoHyphens/>
        <w:spacing w:after="0" w:line="240" w:lineRule="auto"/>
        <w:contextualSpacing/>
        <w:jc w:val="both"/>
        <w:rPr>
          <w:rFonts w:eastAsia="Liberation Serif" w:cstheme="minorHAnsi"/>
          <w:bCs/>
          <w:kern w:val="2"/>
          <w:lang w:val="en-IE" w:eastAsia="hi-IN" w:bidi="hi-IN"/>
        </w:rPr>
      </w:pPr>
    </w:p>
    <w:p w:rsidR="00594665" w:rsidP="009F3EA9" w:rsidRDefault="00594665">
      <w:pPr>
        <w:widowControl w:val="0"/>
        <w:suppressAutoHyphens/>
        <w:spacing w:after="0" w:line="240" w:lineRule="auto"/>
        <w:contextualSpacing/>
        <w:jc w:val="both"/>
        <w:rPr>
          <w:rFonts w:eastAsia="Liberation Serif" w:cstheme="minorHAnsi"/>
          <w:bCs/>
          <w:kern w:val="2"/>
          <w:lang w:val="en-IE" w:eastAsia="hi-IN" w:bidi="hi-IN"/>
        </w:rPr>
      </w:pPr>
      <w:r w:rsidRPr="00594665">
        <w:rPr>
          <w:rFonts w:eastAsia="Liberation Serif" w:cstheme="minorHAnsi"/>
          <w:bCs/>
          <w:kern w:val="2"/>
          <w:lang w:val="en-IE" w:eastAsia="hi-IN" w:bidi="hi-IN"/>
        </w:rPr>
        <w:t xml:space="preserve">The adoption of a </w:t>
      </w:r>
      <w:bookmarkStart w:name="_Hlk54817660" w:id="0"/>
      <w:r w:rsidRPr="00594665">
        <w:rPr>
          <w:rFonts w:eastAsia="Liberation Serif" w:cstheme="minorHAnsi"/>
          <w:bCs/>
          <w:kern w:val="2"/>
          <w:lang w:val="en-IE" w:eastAsia="hi-IN" w:bidi="hi-IN"/>
        </w:rPr>
        <w:t>human rights sanctions regime</w:t>
      </w:r>
      <w:bookmarkEnd w:id="0"/>
      <w:r w:rsidRPr="00594665">
        <w:rPr>
          <w:rFonts w:eastAsia="Liberation Serif" w:cstheme="minorHAnsi"/>
          <w:bCs/>
          <w:kern w:val="2"/>
          <w:lang w:val="en-IE" w:eastAsia="hi-IN" w:bidi="hi-IN"/>
        </w:rPr>
        <w:t xml:space="preserve"> in </w:t>
      </w:r>
      <w:bookmarkStart w:name="_Hlk54817623" w:id="1"/>
      <w:r w:rsidRPr="00594665">
        <w:rPr>
          <w:rFonts w:eastAsia="Liberation Serif" w:cstheme="minorHAnsi"/>
          <w:bCs/>
          <w:kern w:val="2"/>
          <w:lang w:val="en-IE" w:eastAsia="hi-IN" w:bidi="hi-IN"/>
        </w:rPr>
        <w:t>the EU faces a number of challenges</w:t>
      </w:r>
      <w:bookmarkEnd w:id="1"/>
      <w:r w:rsidRPr="009F3EA9">
        <w:rPr>
          <w:rFonts w:eastAsia="Liberation Serif" w:cstheme="minorHAnsi"/>
          <w:bCs/>
          <w:kern w:val="2"/>
          <w:lang w:val="en-IE" w:eastAsia="hi-IN" w:bidi="hi-IN"/>
        </w:rPr>
        <w:t xml:space="preserve">: </w:t>
      </w:r>
    </w:p>
    <w:p w:rsidRPr="00594665" w:rsidR="009F3EA9" w:rsidP="009F3EA9" w:rsidRDefault="009F3EA9">
      <w:pPr>
        <w:widowControl w:val="0"/>
        <w:suppressAutoHyphens/>
        <w:spacing w:after="0" w:line="240" w:lineRule="auto"/>
        <w:contextualSpacing/>
        <w:jc w:val="both"/>
        <w:rPr>
          <w:rFonts w:eastAsia="Liberation Serif" w:cstheme="minorHAnsi"/>
          <w:bCs/>
          <w:kern w:val="2"/>
          <w:lang w:val="en-IE" w:eastAsia="hi-IN" w:bidi="hi-IN"/>
        </w:rPr>
      </w:pPr>
    </w:p>
    <w:p w:rsidRPr="00594665" w:rsidR="00594665" w:rsidP="00594665" w:rsidRDefault="00594665">
      <w:pPr>
        <w:widowControl w:val="0"/>
        <w:numPr>
          <w:ilvl w:val="0"/>
          <w:numId w:val="1"/>
        </w:numPr>
        <w:suppressAutoHyphens/>
        <w:spacing w:after="0" w:line="240" w:lineRule="auto"/>
        <w:contextualSpacing/>
        <w:jc w:val="both"/>
        <w:rPr>
          <w:rFonts w:eastAsia="Liberation Serif" w:cstheme="minorHAnsi"/>
          <w:bCs/>
          <w:kern w:val="2"/>
          <w:lang w:val="en-IE" w:eastAsia="hi-IN" w:bidi="hi-IN"/>
        </w:rPr>
      </w:pPr>
      <w:r w:rsidRPr="00594665">
        <w:rPr>
          <w:rFonts w:eastAsia="Liberation Serif" w:cstheme="minorHAnsi"/>
          <w:bCs/>
          <w:kern w:val="2"/>
          <w:lang w:val="en-IE" w:eastAsia="hi-IN" w:bidi="hi-IN"/>
        </w:rPr>
        <w:t xml:space="preserve">The North American model for legislation that provides inspiration for the regime cannot be easily transplanted to the EU context </w:t>
      </w:r>
      <w:r w:rsidRPr="009F3EA9" w:rsidR="00431A92">
        <w:rPr>
          <w:rFonts w:eastAsia="Liberation Serif" w:cstheme="minorHAnsi"/>
          <w:bCs/>
          <w:kern w:val="2"/>
          <w:lang w:val="en-IE" w:eastAsia="hi-IN" w:bidi="hi-IN"/>
        </w:rPr>
        <w:t xml:space="preserve">but </w:t>
      </w:r>
      <w:r w:rsidRPr="00594665">
        <w:rPr>
          <w:rFonts w:eastAsia="Liberation Serif" w:cstheme="minorHAnsi"/>
          <w:bCs/>
          <w:kern w:val="2"/>
          <w:lang w:val="en-IE" w:eastAsia="hi-IN" w:bidi="hi-IN"/>
        </w:rPr>
        <w:t xml:space="preserve">requires careful adaptation.   </w:t>
      </w:r>
    </w:p>
    <w:p w:rsidRPr="009F3EA9" w:rsidR="00431A92" w:rsidP="00594665" w:rsidRDefault="00431A92">
      <w:pPr>
        <w:widowControl w:val="0"/>
        <w:numPr>
          <w:ilvl w:val="0"/>
          <w:numId w:val="1"/>
        </w:numPr>
        <w:suppressAutoHyphens/>
        <w:spacing w:after="0" w:line="240" w:lineRule="auto"/>
        <w:contextualSpacing/>
        <w:jc w:val="both"/>
        <w:rPr>
          <w:rFonts w:eastAsia="Liberation Serif" w:cstheme="minorHAnsi"/>
          <w:bCs/>
          <w:kern w:val="2"/>
          <w:lang w:val="en-IE" w:eastAsia="hi-IN" w:bidi="hi-IN"/>
        </w:rPr>
      </w:pPr>
      <w:r w:rsidRPr="009F3EA9">
        <w:rPr>
          <w:rFonts w:eastAsia="Liberation Serif" w:cstheme="minorHAnsi"/>
          <w:bCs/>
          <w:kern w:val="2"/>
          <w:lang w:val="en-IE" w:eastAsia="hi-IN" w:bidi="hi-IN"/>
        </w:rPr>
        <w:t>The issue to clarify is why the EU should create a horizontal sanctions regime to advance a human rights when most of its sanctions regimes address human rights breaches.</w:t>
      </w:r>
    </w:p>
    <w:p w:rsidRPr="009F3EA9" w:rsidR="00594665" w:rsidP="00594665" w:rsidRDefault="00594665">
      <w:pPr>
        <w:widowControl w:val="0"/>
        <w:numPr>
          <w:ilvl w:val="0"/>
          <w:numId w:val="1"/>
        </w:numPr>
        <w:suppressAutoHyphens/>
        <w:spacing w:after="0" w:line="240" w:lineRule="auto"/>
        <w:contextualSpacing/>
        <w:jc w:val="both"/>
        <w:rPr>
          <w:rFonts w:eastAsia="Liberation Serif" w:cstheme="minorHAnsi"/>
          <w:kern w:val="2"/>
          <w:lang w:val="en-IE" w:eastAsia="hi-IN" w:bidi="hi-IN"/>
        </w:rPr>
      </w:pPr>
      <w:r w:rsidRPr="00594665">
        <w:rPr>
          <w:rFonts w:eastAsia="Liberation Serif" w:cstheme="minorHAnsi"/>
          <w:bCs/>
          <w:kern w:val="2"/>
          <w:lang w:val="en-IE" w:eastAsia="hi-IN" w:bidi="hi-IN"/>
        </w:rPr>
        <w:t xml:space="preserve">The key challenge lies with the formulation of designation criteria: these must be compliant with due process standards to withstand judicial scrutiny while serving the purpose of the sanctions regime. </w:t>
      </w:r>
    </w:p>
    <w:p w:rsidRPr="009F3EA9" w:rsidR="00EF6A91" w:rsidP="00594665" w:rsidRDefault="00EF6A91">
      <w:pPr>
        <w:widowControl w:val="0"/>
        <w:numPr>
          <w:ilvl w:val="0"/>
          <w:numId w:val="1"/>
        </w:numPr>
        <w:suppressAutoHyphens/>
        <w:spacing w:after="0" w:line="240" w:lineRule="auto"/>
        <w:contextualSpacing/>
        <w:jc w:val="both"/>
        <w:rPr>
          <w:rFonts w:eastAsia="Liberation Serif" w:cstheme="minorHAnsi"/>
          <w:kern w:val="2"/>
          <w:lang w:val="en-IE" w:eastAsia="hi-IN" w:bidi="hi-IN"/>
        </w:rPr>
      </w:pPr>
      <w:r w:rsidRPr="009F3EA9">
        <w:rPr>
          <w:rFonts w:eastAsia="Liberation Serif" w:cstheme="minorHAnsi"/>
          <w:bCs/>
          <w:kern w:val="2"/>
          <w:lang w:val="en-IE" w:eastAsia="hi-IN" w:bidi="hi-IN"/>
        </w:rPr>
        <w:t xml:space="preserve">But what is the purpose? Is the sanctions regime meant to do? Perhaps it is time to explain to the public that the intention is not (always) to persuade the target to change behaviour but a) to protect the political opposition from repression; b) to deter further escalation or re-occurrence of the violation; c) to </w:t>
      </w:r>
      <w:r w:rsidRPr="009F3EA9" w:rsidR="004863C2">
        <w:rPr>
          <w:rFonts w:eastAsia="Liberation Serif" w:cstheme="minorHAnsi"/>
          <w:bCs/>
          <w:kern w:val="2"/>
          <w:lang w:val="en-IE" w:eastAsia="hi-IN" w:bidi="hi-IN"/>
        </w:rPr>
        <w:t xml:space="preserve">uphold norms; d) to align with international partners; e) </w:t>
      </w:r>
      <w:r w:rsidR="00B84DDD">
        <w:rPr>
          <w:rFonts w:eastAsia="Liberation Serif" w:cstheme="minorHAnsi"/>
          <w:bCs/>
          <w:kern w:val="2"/>
          <w:lang w:val="en-IE" w:eastAsia="hi-IN" w:bidi="hi-IN"/>
        </w:rPr>
        <w:t xml:space="preserve">combatting impunity, f) </w:t>
      </w:r>
      <w:r w:rsidRPr="009F3EA9" w:rsidR="004863C2">
        <w:rPr>
          <w:rFonts w:eastAsia="Liberation Serif" w:cstheme="minorHAnsi"/>
          <w:bCs/>
          <w:kern w:val="2"/>
          <w:lang w:val="en-IE" w:eastAsia="hi-IN" w:bidi="hi-IN"/>
        </w:rPr>
        <w:t>to deny the targets access to financial proceeds obtained from their actions or to assets that can be used for these actions.</w:t>
      </w:r>
    </w:p>
    <w:p w:rsidRPr="009F3EA9" w:rsidR="004863C2" w:rsidP="009F3EA9" w:rsidRDefault="004863C2">
      <w:pPr>
        <w:widowControl w:val="0"/>
        <w:numPr>
          <w:ilvl w:val="0"/>
          <w:numId w:val="1"/>
        </w:numPr>
        <w:suppressAutoHyphens/>
        <w:spacing w:after="0" w:line="240" w:lineRule="auto"/>
        <w:contextualSpacing/>
        <w:jc w:val="both"/>
        <w:rPr>
          <w:rFonts w:eastAsia="Liberation Serif" w:cstheme="minorHAnsi"/>
          <w:kern w:val="2"/>
          <w:lang w:val="en-IE" w:eastAsia="hi-IN" w:bidi="hi-IN"/>
        </w:rPr>
      </w:pPr>
      <w:r w:rsidRPr="009F3EA9">
        <w:rPr>
          <w:rFonts w:eastAsia="Liberation Serif" w:cstheme="minorHAnsi"/>
          <w:kern w:val="2"/>
          <w:lang w:val="en-IE" w:eastAsia="hi-IN" w:bidi="hi-IN"/>
        </w:rPr>
        <w:t xml:space="preserve">It is worthwhile clarifying the relationship between blacklisting and (international) criminal justice. Is blacklisting an </w:t>
      </w:r>
      <w:r w:rsidRPr="009F3EA9" w:rsidR="00837C1C">
        <w:rPr>
          <w:rFonts w:eastAsia="Liberation Serif" w:cstheme="minorHAnsi"/>
          <w:kern w:val="2"/>
          <w:lang w:val="en-IE" w:eastAsia="hi-IN" w:bidi="hi-IN"/>
        </w:rPr>
        <w:t>“antechamber”, or a substitute for prosecution?</w:t>
      </w:r>
      <w:r w:rsidRPr="009F3EA9">
        <w:rPr>
          <w:rFonts w:eastAsia="Liberation Serif" w:cstheme="minorHAnsi"/>
          <w:kern w:val="2"/>
          <w:lang w:val="en-IE" w:eastAsia="hi-IN" w:bidi="hi-IN"/>
        </w:rPr>
        <w:t xml:space="preserve"> It is not unprecedented for the EU to blacklist individuals in the interest of international prosecution. However, it listed war criminals Radovan </w:t>
      </w:r>
      <w:proofErr w:type="spellStart"/>
      <w:r w:rsidRPr="009F3EA9">
        <w:rPr>
          <w:rFonts w:eastAsia="Liberation Serif" w:cstheme="minorHAnsi"/>
          <w:kern w:val="2"/>
          <w:lang w:val="en-IE" w:eastAsia="hi-IN" w:bidi="hi-IN"/>
        </w:rPr>
        <w:t>Karadžić</w:t>
      </w:r>
      <w:proofErr w:type="spellEnd"/>
      <w:r w:rsidRPr="009F3EA9">
        <w:rPr>
          <w:rFonts w:eastAsia="Liberation Serif" w:cstheme="minorHAnsi"/>
          <w:kern w:val="2"/>
          <w:lang w:val="en-IE" w:eastAsia="hi-IN" w:bidi="hi-IN"/>
        </w:rPr>
        <w:t xml:space="preserve"> or Ratko </w:t>
      </w:r>
      <w:proofErr w:type="spellStart"/>
      <w:r w:rsidRPr="009F3EA9">
        <w:rPr>
          <w:rFonts w:eastAsia="Liberation Serif" w:cstheme="minorHAnsi"/>
          <w:kern w:val="2"/>
          <w:lang w:val="en-IE" w:eastAsia="hi-IN" w:bidi="hi-IN"/>
        </w:rPr>
        <w:t>Mladić</w:t>
      </w:r>
      <w:proofErr w:type="spellEnd"/>
      <w:r w:rsidRPr="009F3EA9">
        <w:rPr>
          <w:rFonts w:eastAsia="Liberation Serif" w:cstheme="minorHAnsi"/>
          <w:kern w:val="2"/>
          <w:lang w:val="en-IE" w:eastAsia="hi-IN" w:bidi="hi-IN"/>
        </w:rPr>
        <w:t xml:space="preserve"> after they had been indicted by the International Criminal Tribunal for the Former Yugoslavia. </w:t>
      </w:r>
      <w:r w:rsidRPr="009F3EA9" w:rsidR="009F3EA9">
        <w:rPr>
          <w:rFonts w:eastAsia="Liberation Serif" w:cstheme="minorHAnsi"/>
          <w:kern w:val="2"/>
          <w:lang w:val="en-IE" w:eastAsia="hi-IN" w:bidi="hi-IN"/>
        </w:rPr>
        <w:t xml:space="preserve">No pattern in the </w:t>
      </w:r>
      <w:r w:rsidRPr="009F3EA9" w:rsidR="00837C1C">
        <w:rPr>
          <w:rFonts w:eastAsia="Liberation Serif" w:cstheme="minorHAnsi"/>
          <w:kern w:val="2"/>
          <w:lang w:val="en-IE" w:eastAsia="hi-IN" w:bidi="hi-IN"/>
        </w:rPr>
        <w:t>US: T</w:t>
      </w:r>
      <w:r w:rsidRPr="009F3EA9">
        <w:rPr>
          <w:rFonts w:eastAsia="Liberation Serif" w:cstheme="minorHAnsi"/>
          <w:kern w:val="2"/>
          <w:lang w:val="en-IE" w:eastAsia="hi-IN" w:bidi="hi-IN"/>
        </w:rPr>
        <w:t xml:space="preserve">he first round of designations in the US Magnitsky Act featured </w:t>
      </w:r>
      <w:r w:rsidRPr="009F3EA9" w:rsidR="00837C1C">
        <w:rPr>
          <w:rFonts w:eastAsia="Liberation Serif" w:cstheme="minorHAnsi"/>
          <w:kern w:val="2"/>
          <w:lang w:val="en-IE" w:eastAsia="hi-IN" w:bidi="hi-IN"/>
        </w:rPr>
        <w:t>8</w:t>
      </w:r>
      <w:r w:rsidRPr="009F3EA9">
        <w:rPr>
          <w:rFonts w:eastAsia="Liberation Serif" w:cstheme="minorHAnsi"/>
          <w:kern w:val="2"/>
          <w:lang w:val="en-IE" w:eastAsia="hi-IN" w:bidi="hi-IN"/>
        </w:rPr>
        <w:t xml:space="preserve"> individuals designated for corruption, out of which </w:t>
      </w:r>
      <w:r w:rsidRPr="009F3EA9" w:rsidR="00837C1C">
        <w:rPr>
          <w:rFonts w:eastAsia="Liberation Serif" w:cstheme="minorHAnsi"/>
          <w:kern w:val="2"/>
          <w:lang w:val="en-IE" w:eastAsia="hi-IN" w:bidi="hi-IN"/>
        </w:rPr>
        <w:t>3</w:t>
      </w:r>
      <w:r w:rsidRPr="009F3EA9">
        <w:rPr>
          <w:rFonts w:eastAsia="Liberation Serif" w:cstheme="minorHAnsi"/>
          <w:kern w:val="2"/>
          <w:lang w:val="en-IE" w:eastAsia="hi-IN" w:bidi="hi-IN"/>
        </w:rPr>
        <w:t xml:space="preserve"> faced charges at home.  </w:t>
      </w:r>
    </w:p>
    <w:p w:rsidRPr="00594665" w:rsidR="00837C1C" w:rsidP="00837C1C" w:rsidRDefault="00837C1C">
      <w:pPr>
        <w:widowControl w:val="0"/>
        <w:numPr>
          <w:ilvl w:val="0"/>
          <w:numId w:val="1"/>
        </w:numPr>
        <w:suppressAutoHyphens/>
        <w:spacing w:after="0" w:line="240" w:lineRule="auto"/>
        <w:contextualSpacing/>
        <w:jc w:val="both"/>
        <w:rPr>
          <w:rFonts w:eastAsia="Liberation Serif" w:cstheme="minorHAnsi"/>
          <w:kern w:val="2"/>
          <w:lang w:val="en-IE" w:eastAsia="hi-IN" w:bidi="hi-IN"/>
        </w:rPr>
      </w:pPr>
      <w:r w:rsidRPr="009F3EA9">
        <w:rPr>
          <w:rFonts w:eastAsia="Liberation Serif" w:cstheme="minorHAnsi"/>
          <w:kern w:val="2"/>
          <w:lang w:val="en-IE" w:eastAsia="hi-IN" w:bidi="hi-IN"/>
        </w:rPr>
        <w:t>The formulation of conditions for de-listing is as central as the designation criteria. What actions are required for de-listing? This question is worth clarifying in case that behavioural change is desired. The US Global Magnitsky Act foresees the possibility of termination of a listing when the designee has ‘credibly demonstrated’ a ‘significant change in behaviour’ and ‘credibly committed’ not to engage in similar actions in the future. Yet, it is difficult to imagine how a designee can accomplish this in practice.</w:t>
      </w:r>
      <w:r w:rsidRPr="009F3EA9" w:rsidR="009F3EA9">
        <w:rPr>
          <w:rFonts w:eastAsia="Liberation Serif" w:cstheme="minorHAnsi"/>
          <w:kern w:val="2"/>
          <w:lang w:val="en-IE" w:eastAsia="hi-IN" w:bidi="hi-IN"/>
        </w:rPr>
        <w:t xml:space="preserve"> The Global Magnitsky Act considers the appropriate prosecution of a designee for the activity for which sanctions were imposed as a reason for delisting.</w:t>
      </w:r>
    </w:p>
    <w:p w:rsidRPr="009F3EA9" w:rsidR="00431A92" w:rsidP="00594665" w:rsidRDefault="00431A92">
      <w:pPr>
        <w:widowControl w:val="0"/>
        <w:numPr>
          <w:ilvl w:val="0"/>
          <w:numId w:val="1"/>
        </w:numPr>
        <w:suppressAutoHyphens/>
        <w:spacing w:after="0" w:line="240" w:lineRule="auto"/>
        <w:contextualSpacing/>
        <w:jc w:val="both"/>
        <w:rPr>
          <w:rFonts w:eastAsia="Liberation Serif" w:cstheme="minorHAnsi"/>
          <w:kern w:val="2"/>
          <w:lang w:val="en-IE" w:eastAsia="hi-IN" w:bidi="hi-IN"/>
        </w:rPr>
      </w:pPr>
      <w:r w:rsidRPr="009F3EA9">
        <w:rPr>
          <w:rFonts w:eastAsia="Liberation Serif" w:cstheme="minorHAnsi"/>
          <w:kern w:val="2"/>
          <w:lang w:val="en-IE" w:eastAsia="hi-IN" w:bidi="hi-IN"/>
        </w:rPr>
        <w:t xml:space="preserve">Another key challenge is to </w:t>
      </w:r>
      <w:r w:rsidRPr="009F3EA9" w:rsidR="00ED059E">
        <w:rPr>
          <w:rFonts w:eastAsia="Liberation Serif" w:cstheme="minorHAnsi"/>
          <w:kern w:val="2"/>
          <w:lang w:val="en-IE" w:eastAsia="hi-IN" w:bidi="hi-IN"/>
        </w:rPr>
        <w:t>avoid inconsistencies: one should avoid listing criteria that allow for great discrepancies in the severity of the violations addressed. This will open the door to allegations of “double-standards”, already frequent in the sanctions domain. The existence of the sanctions regimes creates pressures for designations advocated by</w:t>
      </w:r>
      <w:r w:rsidRPr="009F3EA9">
        <w:rPr>
          <w:rFonts w:eastAsia="Liberation Serif" w:cstheme="minorHAnsi"/>
          <w:kern w:val="2"/>
          <w:lang w:val="en-IE" w:eastAsia="hi-IN" w:bidi="hi-IN"/>
        </w:rPr>
        <w:t xml:space="preserve"> civil society.</w:t>
      </w:r>
    </w:p>
    <w:p w:rsidRPr="009F3EA9" w:rsidR="00ED059E" w:rsidP="00605796" w:rsidRDefault="00ED059E">
      <w:pPr>
        <w:widowControl w:val="0"/>
        <w:numPr>
          <w:ilvl w:val="0"/>
          <w:numId w:val="1"/>
        </w:numPr>
        <w:suppressAutoHyphens/>
        <w:spacing w:after="0" w:line="240" w:lineRule="auto"/>
        <w:contextualSpacing/>
        <w:jc w:val="both"/>
        <w:rPr>
          <w:rFonts w:eastAsia="Liberation Serif" w:cstheme="minorHAnsi"/>
          <w:kern w:val="2"/>
          <w:lang w:val="en-IE" w:eastAsia="hi-IN" w:bidi="hi-IN"/>
        </w:rPr>
      </w:pPr>
      <w:r w:rsidRPr="009F3EA9">
        <w:rPr>
          <w:rFonts w:eastAsia="Liberation Serif" w:cstheme="minorHAnsi"/>
          <w:kern w:val="2"/>
          <w:lang w:val="en-IE" w:eastAsia="hi-IN" w:bidi="hi-IN"/>
        </w:rPr>
        <w:t>Alternatively, or concurrently, there is a risk of proliferation of designations allowed by the broadness of the criteria.</w:t>
      </w:r>
    </w:p>
    <w:p w:rsidRPr="009F3EA9" w:rsidR="00594665" w:rsidP="00594665" w:rsidRDefault="00ED059E">
      <w:pPr>
        <w:widowControl w:val="0"/>
        <w:numPr>
          <w:ilvl w:val="0"/>
          <w:numId w:val="1"/>
        </w:numPr>
        <w:suppressAutoHyphens/>
        <w:spacing w:after="0" w:line="240" w:lineRule="auto"/>
        <w:contextualSpacing/>
        <w:jc w:val="both"/>
        <w:rPr>
          <w:rFonts w:eastAsia="Liberation Serif" w:cstheme="minorHAnsi"/>
          <w:b/>
          <w:bCs/>
          <w:kern w:val="2"/>
          <w:lang w:val="en-IE" w:eastAsia="hi-IN" w:bidi="hi-IN"/>
        </w:rPr>
      </w:pPr>
      <w:r w:rsidRPr="009F3EA9">
        <w:rPr>
          <w:rFonts w:eastAsia="Liberation Serif" w:cstheme="minorHAnsi"/>
          <w:bCs/>
          <w:kern w:val="2"/>
          <w:lang w:val="en-IE" w:eastAsia="hi-IN" w:bidi="hi-IN"/>
        </w:rPr>
        <w:t>A</w:t>
      </w:r>
      <w:r w:rsidRPr="009F3EA9" w:rsidR="00431A92">
        <w:rPr>
          <w:rFonts w:eastAsia="Liberation Serif" w:cstheme="minorHAnsi"/>
          <w:bCs/>
          <w:kern w:val="2"/>
          <w:lang w:val="en-IE" w:eastAsia="hi-IN" w:bidi="hi-IN"/>
        </w:rPr>
        <w:t xml:space="preserve"> p</w:t>
      </w:r>
      <w:r w:rsidRPr="009F3EA9" w:rsidR="009F3EA9">
        <w:rPr>
          <w:rFonts w:eastAsia="Liberation Serif" w:cstheme="minorHAnsi"/>
          <w:bCs/>
          <w:kern w:val="2"/>
          <w:lang w:val="en-IE" w:eastAsia="hi-IN" w:bidi="hi-IN"/>
        </w:rPr>
        <w:t>ossible</w:t>
      </w:r>
      <w:r w:rsidRPr="009F3EA9">
        <w:rPr>
          <w:rFonts w:eastAsia="Liberation Serif" w:cstheme="minorHAnsi"/>
          <w:bCs/>
          <w:kern w:val="2"/>
          <w:lang w:val="en-IE" w:eastAsia="hi-IN" w:bidi="hi-IN"/>
        </w:rPr>
        <w:t xml:space="preserve"> solution</w:t>
      </w:r>
      <w:r w:rsidRPr="009F3EA9" w:rsidR="00431A92">
        <w:rPr>
          <w:rFonts w:eastAsia="Liberation Serif" w:cstheme="minorHAnsi"/>
          <w:bCs/>
          <w:kern w:val="2"/>
          <w:lang w:val="en-IE" w:eastAsia="hi-IN" w:bidi="hi-IN"/>
        </w:rPr>
        <w:t>: T</w:t>
      </w:r>
      <w:r w:rsidRPr="00594665" w:rsidR="00594665">
        <w:rPr>
          <w:rFonts w:eastAsia="Liberation Serif" w:cstheme="minorHAnsi"/>
          <w:bCs/>
          <w:kern w:val="2"/>
          <w:lang w:val="en-IE" w:eastAsia="hi-IN" w:bidi="hi-IN"/>
        </w:rPr>
        <w:t xml:space="preserve">he sanctions regime could be disaggregated into two </w:t>
      </w:r>
      <w:r w:rsidRPr="009F3EA9" w:rsidR="00431A92">
        <w:rPr>
          <w:rFonts w:eastAsia="Liberation Serif" w:cstheme="minorHAnsi"/>
          <w:bCs/>
          <w:kern w:val="2"/>
          <w:lang w:val="en-IE" w:eastAsia="hi-IN" w:bidi="hi-IN"/>
        </w:rPr>
        <w:t>sections</w:t>
      </w:r>
      <w:r w:rsidRPr="00594665" w:rsidR="00594665">
        <w:rPr>
          <w:rFonts w:eastAsia="Liberation Serif" w:cstheme="minorHAnsi"/>
          <w:bCs/>
          <w:kern w:val="2"/>
          <w:lang w:val="en-IE" w:eastAsia="hi-IN" w:bidi="hi-IN"/>
        </w:rPr>
        <w:t xml:space="preserve">: one dealing with breaches of international humanitarian law and a second one addressing human rights violations linked to large-scale transnational corruption.  </w:t>
      </w:r>
    </w:p>
    <w:p w:rsidRPr="009F3EA9" w:rsidR="00857E7C" w:rsidP="009F3EA9" w:rsidRDefault="00EF6A91">
      <w:pPr>
        <w:widowControl w:val="0"/>
        <w:numPr>
          <w:ilvl w:val="0"/>
          <w:numId w:val="1"/>
        </w:numPr>
        <w:suppressAutoHyphens/>
        <w:spacing w:after="0" w:line="240" w:lineRule="auto"/>
        <w:contextualSpacing/>
        <w:jc w:val="both"/>
        <w:rPr>
          <w:rFonts w:eastAsia="Liberation Serif" w:cstheme="minorHAnsi"/>
          <w:b/>
          <w:bCs/>
          <w:kern w:val="2"/>
          <w:lang w:val="en-IE" w:eastAsia="hi-IN" w:bidi="hi-IN"/>
        </w:rPr>
      </w:pPr>
      <w:r w:rsidRPr="009F3EA9">
        <w:rPr>
          <w:rFonts w:eastAsia="Liberation Serif" w:cstheme="minorHAnsi"/>
          <w:bCs/>
          <w:kern w:val="2"/>
          <w:lang w:val="en-IE" w:eastAsia="hi-IN" w:bidi="hi-IN"/>
        </w:rPr>
        <w:t xml:space="preserve">Benefits: it would limit the scope of the regime, facilitate coherence with the US, Canada and UK sanctions regimes and recognise the interconnection between grand corruption and human rights violations. </w:t>
      </w:r>
    </w:p>
    <w:sectPr w:rsidRPr="009F3EA9" w:rsidR="00857E7C">
      <w:pgSz w:w="11906" w:h="16838"/>
      <w:pgMar w:top="1417" w:right="1701" w:bottom="1417" w:left="1701"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D37F5"/>
    <w:multiLevelType w:val="hybridMultilevel"/>
    <w:tmpl w:val="D02C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0E"/>
    <w:rsid w:val="00217D18"/>
    <w:rsid w:val="00431A92"/>
    <w:rsid w:val="004863C2"/>
    <w:rsid w:val="005811A4"/>
    <w:rsid w:val="00594665"/>
    <w:rsid w:val="00837C1C"/>
    <w:rsid w:val="00857E7C"/>
    <w:rsid w:val="009F3EA9"/>
    <w:rsid w:val="00B84DDD"/>
    <w:rsid w:val="00ED059E"/>
    <w:rsid w:val="00EF6A91"/>
    <w:rsid w:val="00FF2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A53B"/>
  <w15:chartTrackingRefBased/>
  <w15:docId w15:val="{8D71596B-8A4E-4CC6-A1B4-3F5C51CC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538</ap:Words>
  <ap:Characters>2964</ap:Characters>
  <ap:DocSecurity>0</ap:DocSecurity>
  <ap:Lines>24</ap:Lines>
  <ap:Paragraphs>6</ap:Paragraphs>
  <ap:ScaleCrop>false</ap:ScaleCrop>
  <ap:HeadingPairs>
    <vt:vector baseType="variant" size="2">
      <vt:variant>
        <vt:lpstr>Título</vt:lpstr>
      </vt:variant>
      <vt:variant>
        <vt:i4>1</vt:i4>
      </vt:variant>
    </vt:vector>
  </ap:HeadingPairs>
  <ap:TitlesOfParts>
    <vt:vector baseType="lpstr" size="1">
      <vt:lpstr/>
    </vt:vector>
  </ap:TitlesOfParts>
  <ap:LinksUpToDate>false</ap:LinksUpToDate>
  <ap:CharactersWithSpaces>3496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2020-10-28T21:37:00.0000000Z</dcterms:created>
  <dcterms:modified xsi:type="dcterms:W3CDTF">2020-10-28T22:42:00.0000000Z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0x010100E7905E9734B4AF48AFEC91038A3E5404</vt:lpwstr>
  </property>
</Properties>
</file>