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97" w:rsidP="00F50197" w:rsidRDefault="00F50197">
      <w:pPr>
        <w:rPr>
          <w:rFonts w:eastAsia="Times New Roman" w:cs="Times New Roman"/>
          <w:b/>
          <w:sz w:val="22"/>
        </w:rPr>
      </w:pPr>
      <w:r w:rsidRPr="00F50197">
        <w:rPr>
          <w:rFonts w:eastAsia="Times New Roman" w:cs="Times New Roman"/>
          <w:b/>
          <w:sz w:val="22"/>
        </w:rPr>
        <w:t xml:space="preserve">Rondvraagpunt van </w:t>
      </w:r>
      <w:r w:rsidR="004962B3">
        <w:rPr>
          <w:rFonts w:eastAsia="Times New Roman" w:cs="Times New Roman"/>
          <w:b/>
          <w:sz w:val="22"/>
        </w:rPr>
        <w:t>de leden</w:t>
      </w:r>
      <w:r w:rsidRPr="00F50197">
        <w:rPr>
          <w:rFonts w:eastAsia="Times New Roman" w:cs="Times New Roman"/>
          <w:b/>
          <w:sz w:val="22"/>
        </w:rPr>
        <w:t xml:space="preserve"> </w:t>
      </w:r>
      <w:r>
        <w:rPr>
          <w:rFonts w:eastAsia="Times New Roman" w:cs="Times New Roman"/>
          <w:b/>
          <w:sz w:val="22"/>
        </w:rPr>
        <w:t>Bergkamp</w:t>
      </w:r>
      <w:r w:rsidRPr="00F50197">
        <w:rPr>
          <w:rFonts w:eastAsia="Times New Roman" w:cs="Times New Roman"/>
          <w:b/>
          <w:sz w:val="22"/>
        </w:rPr>
        <w:t xml:space="preserve"> (D66)</w:t>
      </w:r>
      <w:r w:rsidR="004962B3">
        <w:rPr>
          <w:rFonts w:eastAsia="Times New Roman" w:cs="Times New Roman"/>
          <w:b/>
          <w:sz w:val="22"/>
        </w:rPr>
        <w:t xml:space="preserve"> en Van den Berg (CDA)</w:t>
      </w:r>
      <w:r w:rsidRPr="00F50197">
        <w:rPr>
          <w:rFonts w:eastAsia="Times New Roman" w:cs="Times New Roman"/>
          <w:b/>
          <w:sz w:val="22"/>
        </w:rPr>
        <w:t xml:space="preserve"> over</w:t>
      </w:r>
      <w:r w:rsidR="00101268">
        <w:rPr>
          <w:rFonts w:eastAsia="Times New Roman" w:cs="Times New Roman"/>
          <w:b/>
          <w:sz w:val="22"/>
        </w:rPr>
        <w:t xml:space="preserve"> juridisch en financieel</w:t>
      </w:r>
      <w:r w:rsidRPr="00F50197">
        <w:rPr>
          <w:rFonts w:eastAsia="Times New Roman" w:cs="Times New Roman"/>
          <w:b/>
          <w:sz w:val="22"/>
        </w:rPr>
        <w:t xml:space="preserve"> advies over</w:t>
      </w:r>
      <w:r>
        <w:rPr>
          <w:rFonts w:eastAsia="Times New Roman" w:cs="Times New Roman"/>
          <w:b/>
          <w:sz w:val="22"/>
        </w:rPr>
        <w:t xml:space="preserve"> de overstap van vrijgevestigde specialisten naar loondienst</w:t>
      </w:r>
    </w:p>
    <w:p w:rsidRPr="00F50197" w:rsidR="00F50197" w:rsidP="00F50197" w:rsidRDefault="00F50197">
      <w:pPr>
        <w:rPr>
          <w:rFonts w:eastAsia="Times New Roman" w:cs="Times New Roman"/>
          <w:i/>
          <w:sz w:val="22"/>
        </w:rPr>
      </w:pPr>
      <w:r w:rsidRPr="00F50197">
        <w:rPr>
          <w:rFonts w:eastAsia="Times New Roman" w:cs="Times New Roman"/>
          <w:i/>
          <w:sz w:val="22"/>
        </w:rPr>
        <w:t>Procedurevergadering VWS 16 december 2020</w:t>
      </w:r>
    </w:p>
    <w:p w:rsidR="00F50197" w:rsidP="00F50197" w:rsidRDefault="00F50197">
      <w:pPr>
        <w:jc w:val="both"/>
        <w:rPr>
          <w:sz w:val="22"/>
        </w:rPr>
      </w:pPr>
    </w:p>
    <w:p w:rsidR="00F50197" w:rsidP="00F50197" w:rsidRDefault="00F50197">
      <w:pPr>
        <w:jc w:val="both"/>
        <w:rPr>
          <w:iCs/>
          <w:sz w:val="22"/>
        </w:rPr>
      </w:pPr>
      <w:r>
        <w:rPr>
          <w:sz w:val="22"/>
        </w:rPr>
        <w:t xml:space="preserve">De afgelopen jaren </w:t>
      </w:r>
      <w:r w:rsidR="003C24E7">
        <w:rPr>
          <w:sz w:val="22"/>
        </w:rPr>
        <w:t xml:space="preserve">heeft de regering </w:t>
      </w:r>
      <w:r w:rsidR="004A0270">
        <w:rPr>
          <w:sz w:val="22"/>
        </w:rPr>
        <w:t xml:space="preserve">voor meer gelijkgerichtheid </w:t>
      </w:r>
      <w:r w:rsidR="003C24E7">
        <w:rPr>
          <w:sz w:val="22"/>
        </w:rPr>
        <w:t>door middel van</w:t>
      </w:r>
      <w:r>
        <w:rPr>
          <w:iCs/>
          <w:sz w:val="22"/>
        </w:rPr>
        <w:t xml:space="preserve"> een subsidieregeling gestimuleerd dat vrijgevestigde</w:t>
      </w:r>
      <w:r w:rsidRPr="00F50197">
        <w:rPr>
          <w:iCs/>
          <w:sz w:val="22"/>
        </w:rPr>
        <w:t xml:space="preserve"> medisch specialisten de stap maken naar loondienst</w:t>
      </w:r>
      <w:r>
        <w:rPr>
          <w:iCs/>
          <w:sz w:val="22"/>
        </w:rPr>
        <w:t xml:space="preserve">. </w:t>
      </w:r>
      <w:r w:rsidRPr="00F50197">
        <w:rPr>
          <w:iCs/>
          <w:sz w:val="22"/>
        </w:rPr>
        <w:t xml:space="preserve">Medisch specialisten krijgen op grond van de subsidieregeling 100.000 euro als zij de overstap naar loondienst maken. In 2017 heef 1 specialist gebruik gemaakt van de subsidieregeling, in 2018 ook 1, in 2019 9 en in 2020 opnieuw 1. </w:t>
      </w:r>
      <w:r>
        <w:rPr>
          <w:iCs/>
          <w:sz w:val="22"/>
        </w:rPr>
        <w:t>Sinds de start van dit kabinet</w:t>
      </w:r>
      <w:r w:rsidRPr="00F50197">
        <w:rPr>
          <w:iCs/>
          <w:sz w:val="22"/>
        </w:rPr>
        <w:t xml:space="preserve"> hebben in totaal </w:t>
      </w:r>
      <w:r w:rsidR="003C24E7">
        <w:rPr>
          <w:iCs/>
          <w:sz w:val="22"/>
        </w:rPr>
        <w:t xml:space="preserve">dus </w:t>
      </w:r>
      <w:r w:rsidRPr="00F50197">
        <w:rPr>
          <w:iCs/>
          <w:sz w:val="22"/>
        </w:rPr>
        <w:t>12 specialisten gebruikgemaakt van de regeli</w:t>
      </w:r>
      <w:bookmarkStart w:name="_GoBack" w:id="0"/>
      <w:bookmarkEnd w:id="0"/>
      <w:r w:rsidRPr="00F50197">
        <w:rPr>
          <w:iCs/>
          <w:sz w:val="22"/>
        </w:rPr>
        <w:t xml:space="preserve">ng. </w:t>
      </w:r>
      <w:r>
        <w:rPr>
          <w:iCs/>
          <w:sz w:val="22"/>
        </w:rPr>
        <w:t xml:space="preserve">Op een totaal van </w:t>
      </w:r>
      <w:r w:rsidR="003C24E7">
        <w:rPr>
          <w:iCs/>
          <w:sz w:val="22"/>
        </w:rPr>
        <w:t xml:space="preserve">zo’n </w:t>
      </w:r>
      <w:r>
        <w:rPr>
          <w:iCs/>
          <w:sz w:val="22"/>
        </w:rPr>
        <w:t xml:space="preserve">7.000 </w:t>
      </w:r>
      <w:r w:rsidR="003C24E7">
        <w:rPr>
          <w:iCs/>
          <w:sz w:val="22"/>
        </w:rPr>
        <w:t>vrijgevestigde</w:t>
      </w:r>
      <w:r>
        <w:rPr>
          <w:iCs/>
          <w:sz w:val="22"/>
        </w:rPr>
        <w:t xml:space="preserve"> specialisten </w:t>
      </w:r>
      <w:r w:rsidR="005C4973">
        <w:rPr>
          <w:iCs/>
          <w:sz w:val="22"/>
        </w:rPr>
        <w:t>minder dan</w:t>
      </w:r>
      <w:r w:rsidR="003C24E7">
        <w:rPr>
          <w:iCs/>
          <w:sz w:val="22"/>
        </w:rPr>
        <w:t xml:space="preserve"> 0,2%. Daarbij is ook niet duidelijk of de regeling redengevend is geweest.</w:t>
      </w:r>
    </w:p>
    <w:p w:rsidR="00F50197" w:rsidP="00F50197" w:rsidRDefault="00F50197">
      <w:pPr>
        <w:jc w:val="both"/>
        <w:rPr>
          <w:iCs/>
          <w:sz w:val="22"/>
        </w:rPr>
      </w:pPr>
    </w:p>
    <w:p w:rsidR="003C24E7" w:rsidP="00F50197" w:rsidRDefault="00F50197">
      <w:pPr>
        <w:jc w:val="both"/>
        <w:rPr>
          <w:iCs/>
          <w:sz w:val="22"/>
        </w:rPr>
      </w:pPr>
      <w:r>
        <w:rPr>
          <w:iCs/>
          <w:sz w:val="22"/>
        </w:rPr>
        <w:t xml:space="preserve">Verschillende politieke partijen </w:t>
      </w:r>
      <w:r w:rsidR="003C24E7">
        <w:rPr>
          <w:iCs/>
          <w:sz w:val="22"/>
        </w:rPr>
        <w:t>achten het wel wenselijk dat alle medisch</w:t>
      </w:r>
      <w:r>
        <w:rPr>
          <w:iCs/>
          <w:sz w:val="22"/>
        </w:rPr>
        <w:t xml:space="preserve"> </w:t>
      </w:r>
      <w:r w:rsidR="003C24E7">
        <w:rPr>
          <w:iCs/>
          <w:sz w:val="22"/>
        </w:rPr>
        <w:t xml:space="preserve">specialisten in loondienst komen te werken. Gelet op het voorgaande wordt daarbij een verplichte overstap overwogen. Ook het ministerie van VWS kijkt naar deze beleidsoptie, zo blijkt uit de </w:t>
      </w:r>
      <w:r w:rsidRPr="003C24E7" w:rsidR="003C24E7">
        <w:rPr>
          <w:iCs/>
          <w:sz w:val="22"/>
        </w:rPr>
        <w:t>Brede Maatschappelijke Heroverwegingen Zorg</w:t>
      </w:r>
      <w:r w:rsidR="003C24E7">
        <w:rPr>
          <w:iCs/>
          <w:sz w:val="22"/>
        </w:rPr>
        <w:t xml:space="preserve"> </w:t>
      </w:r>
      <w:r w:rsidRPr="003C24E7" w:rsidR="003C24E7">
        <w:rPr>
          <w:iCs/>
          <w:sz w:val="22"/>
        </w:rPr>
        <w:t>(april 2020)</w:t>
      </w:r>
      <w:r w:rsidR="003C24E7">
        <w:rPr>
          <w:iCs/>
          <w:sz w:val="22"/>
        </w:rPr>
        <w:t>. De precieze juridische uitvoeri</w:t>
      </w:r>
      <w:r w:rsidR="005C4973">
        <w:rPr>
          <w:iCs/>
          <w:sz w:val="22"/>
        </w:rPr>
        <w:t>ng en risico’s, zijn echter nog niet geheel</w:t>
      </w:r>
      <w:r w:rsidR="003C24E7">
        <w:rPr>
          <w:iCs/>
          <w:sz w:val="22"/>
        </w:rPr>
        <w:t xml:space="preserve"> uitgewerkt. </w:t>
      </w:r>
    </w:p>
    <w:p w:rsidR="003C24E7" w:rsidP="00F50197" w:rsidRDefault="003C24E7">
      <w:pPr>
        <w:jc w:val="both"/>
        <w:rPr>
          <w:iCs/>
          <w:sz w:val="22"/>
        </w:rPr>
      </w:pPr>
    </w:p>
    <w:p w:rsidRPr="003C24E7" w:rsidR="003C24E7" w:rsidP="003C24E7" w:rsidRDefault="003C24E7">
      <w:pPr>
        <w:jc w:val="both"/>
        <w:rPr>
          <w:iCs/>
          <w:sz w:val="22"/>
        </w:rPr>
      </w:pPr>
      <w:r>
        <w:rPr>
          <w:iCs/>
          <w:sz w:val="22"/>
        </w:rPr>
        <w:t xml:space="preserve">Zo staat in </w:t>
      </w:r>
      <w:r w:rsidRPr="003C24E7">
        <w:rPr>
          <w:iCs/>
          <w:sz w:val="22"/>
        </w:rPr>
        <w:t xml:space="preserve">de </w:t>
      </w:r>
      <w:r w:rsidRPr="003C24E7" w:rsidR="004A0270">
        <w:rPr>
          <w:iCs/>
          <w:sz w:val="22"/>
        </w:rPr>
        <w:t>Brede Maatschappelijke Heroverwegingen Zorg</w:t>
      </w:r>
      <w:r w:rsidR="004A0270">
        <w:rPr>
          <w:iCs/>
          <w:sz w:val="22"/>
        </w:rPr>
        <w:t xml:space="preserve"> </w:t>
      </w:r>
      <w:r>
        <w:rPr>
          <w:iCs/>
          <w:sz w:val="22"/>
        </w:rPr>
        <w:t>op pagina 124</w:t>
      </w:r>
      <w:r w:rsidRPr="003C24E7">
        <w:rPr>
          <w:iCs/>
          <w:sz w:val="22"/>
        </w:rPr>
        <w:t xml:space="preserve"> het volgende:</w:t>
      </w:r>
    </w:p>
    <w:p w:rsidRPr="003C24E7" w:rsidR="003C24E7" w:rsidP="003C24E7" w:rsidRDefault="003C24E7">
      <w:pPr>
        <w:jc w:val="both"/>
        <w:rPr>
          <w:i/>
          <w:iCs/>
          <w:sz w:val="22"/>
        </w:rPr>
      </w:pPr>
      <w:r w:rsidRPr="003C24E7">
        <w:rPr>
          <w:i/>
          <w:iCs/>
          <w:sz w:val="22"/>
        </w:rPr>
        <w:t xml:space="preserve">“Veel vrijgevestigd specialisten hebben goodwill opgebouwd. Door de maatregel zal de waarde van de goodwill dalen naar nihil. Er moet derhalve rekening worden gehouden met een claim rond ‘eigendomsontneming’. </w:t>
      </w:r>
      <w:r w:rsidRPr="003C24E7">
        <w:rPr>
          <w:b/>
          <w:bCs/>
          <w:i/>
          <w:iCs/>
          <w:sz w:val="22"/>
        </w:rPr>
        <w:t>Juridisch zou nader onderzocht moeten worden wat daarvan het risico is.</w:t>
      </w:r>
      <w:r w:rsidRPr="003C24E7">
        <w:rPr>
          <w:i/>
          <w:iCs/>
          <w:sz w:val="22"/>
        </w:rPr>
        <w:t xml:space="preserve"> Hoewel het hiermee gemoeide bedrag onzeker is, is de claim in het kader van </w:t>
      </w:r>
      <w:proofErr w:type="spellStart"/>
      <w:r w:rsidRPr="003C24E7">
        <w:rPr>
          <w:i/>
          <w:iCs/>
          <w:sz w:val="22"/>
        </w:rPr>
        <w:t>ZiK</w:t>
      </w:r>
      <w:proofErr w:type="spellEnd"/>
      <w:r w:rsidRPr="003C24E7">
        <w:rPr>
          <w:i/>
          <w:iCs/>
          <w:sz w:val="22"/>
        </w:rPr>
        <w:t xml:space="preserve"> geschat op €1,970 miljard.’’</w:t>
      </w:r>
    </w:p>
    <w:p w:rsidRPr="003C24E7" w:rsidR="003C24E7" w:rsidP="003C24E7" w:rsidRDefault="003C24E7">
      <w:pPr>
        <w:jc w:val="both"/>
        <w:rPr>
          <w:iCs/>
          <w:sz w:val="22"/>
        </w:rPr>
      </w:pPr>
    </w:p>
    <w:p w:rsidRPr="003C24E7" w:rsidR="003C24E7" w:rsidP="003C24E7" w:rsidRDefault="003C24E7">
      <w:pPr>
        <w:jc w:val="both"/>
        <w:rPr>
          <w:iCs/>
          <w:sz w:val="22"/>
        </w:rPr>
      </w:pPr>
      <w:r w:rsidRPr="003C24E7">
        <w:rPr>
          <w:iCs/>
          <w:sz w:val="22"/>
        </w:rPr>
        <w:t>En verderop op pagina 124</w:t>
      </w:r>
      <w:r>
        <w:rPr>
          <w:iCs/>
          <w:sz w:val="22"/>
        </w:rPr>
        <w:t xml:space="preserve"> staat</w:t>
      </w:r>
      <w:r w:rsidRPr="003C24E7">
        <w:rPr>
          <w:iCs/>
          <w:sz w:val="22"/>
        </w:rPr>
        <w:t>:</w:t>
      </w:r>
    </w:p>
    <w:p w:rsidRPr="003C24E7" w:rsidR="003C24E7" w:rsidP="003C24E7" w:rsidRDefault="003C24E7">
      <w:pPr>
        <w:jc w:val="both"/>
        <w:rPr>
          <w:i/>
          <w:iCs/>
          <w:sz w:val="22"/>
        </w:rPr>
      </w:pPr>
      <w:r w:rsidRPr="003C24E7">
        <w:rPr>
          <w:i/>
          <w:iCs/>
          <w:sz w:val="22"/>
        </w:rPr>
        <w:t xml:space="preserve">“Een juridische beperking van de mogelijkheid om in vrije vestiging te werken moet zo zijn vormgegeven dat het ook niet meer mogelijk is om via een zelfstandig behandelcentrum of een buitenlandse rechtspersoon te werken in vrije vestiging, ook niet in </w:t>
      </w:r>
      <w:proofErr w:type="spellStart"/>
      <w:r w:rsidRPr="003C24E7">
        <w:rPr>
          <w:i/>
          <w:iCs/>
          <w:sz w:val="22"/>
        </w:rPr>
        <w:t>onderaanneming</w:t>
      </w:r>
      <w:proofErr w:type="spellEnd"/>
      <w:r w:rsidRPr="003C24E7">
        <w:rPr>
          <w:i/>
          <w:iCs/>
          <w:sz w:val="22"/>
        </w:rPr>
        <w:t xml:space="preserve"> van een ziekenhuis. Zolang dat niet het geval is kan ‘weglek’ optreden. </w:t>
      </w:r>
      <w:r w:rsidRPr="003C24E7">
        <w:rPr>
          <w:b/>
          <w:bCs/>
          <w:i/>
          <w:iCs/>
          <w:sz w:val="22"/>
        </w:rPr>
        <w:t>Ook dit vergt nog nadere analyse en uitwerking.</w:t>
      </w:r>
      <w:r w:rsidRPr="003C24E7">
        <w:rPr>
          <w:i/>
          <w:iCs/>
          <w:sz w:val="22"/>
        </w:rPr>
        <w:t>”</w:t>
      </w:r>
    </w:p>
    <w:p w:rsidRPr="003C24E7" w:rsidR="003C24E7" w:rsidP="003C24E7" w:rsidRDefault="003C24E7">
      <w:pPr>
        <w:jc w:val="both"/>
        <w:rPr>
          <w:iCs/>
          <w:sz w:val="22"/>
        </w:rPr>
      </w:pPr>
    </w:p>
    <w:p w:rsidR="00C21B24" w:rsidP="00F50197" w:rsidRDefault="00C21B24">
      <w:pPr>
        <w:jc w:val="both"/>
        <w:rPr>
          <w:sz w:val="22"/>
        </w:rPr>
      </w:pPr>
      <w:r>
        <w:rPr>
          <w:iCs/>
          <w:sz w:val="22"/>
        </w:rPr>
        <w:t xml:space="preserve">Het lijkt </w:t>
      </w:r>
      <w:r w:rsidR="004962B3">
        <w:rPr>
          <w:iCs/>
          <w:sz w:val="22"/>
        </w:rPr>
        <w:t>ons</w:t>
      </w:r>
      <w:r>
        <w:rPr>
          <w:iCs/>
          <w:sz w:val="22"/>
        </w:rPr>
        <w:t xml:space="preserve"> derhalve goed als vóór de komende Tweede Kamerverkiezingen helder is, </w:t>
      </w:r>
      <w:r>
        <w:rPr>
          <w:sz w:val="22"/>
        </w:rPr>
        <w:t>hoe een overstap met verplicht karakter precies zou moeten worden vormgegeven, en welke</w:t>
      </w:r>
      <w:r w:rsidRPr="00F50197">
        <w:rPr>
          <w:sz w:val="22"/>
        </w:rPr>
        <w:t xml:space="preserve"> juridische </w:t>
      </w:r>
      <w:r w:rsidR="00F107B4">
        <w:rPr>
          <w:sz w:val="22"/>
        </w:rPr>
        <w:t xml:space="preserve">en financiële </w:t>
      </w:r>
      <w:r w:rsidRPr="00F50197">
        <w:rPr>
          <w:sz w:val="22"/>
        </w:rPr>
        <w:t>gevolgen en risico</w:t>
      </w:r>
      <w:r>
        <w:rPr>
          <w:sz w:val="22"/>
        </w:rPr>
        <w:t>’</w:t>
      </w:r>
      <w:r w:rsidRPr="00F50197">
        <w:rPr>
          <w:sz w:val="22"/>
        </w:rPr>
        <w:t xml:space="preserve">s </w:t>
      </w:r>
      <w:r>
        <w:rPr>
          <w:sz w:val="22"/>
        </w:rPr>
        <w:t>daaraan</w:t>
      </w:r>
      <w:r w:rsidR="005C4973">
        <w:rPr>
          <w:sz w:val="22"/>
        </w:rPr>
        <w:t xml:space="preserve"> realistisch gezien</w:t>
      </w:r>
      <w:r>
        <w:rPr>
          <w:sz w:val="22"/>
        </w:rPr>
        <w:t xml:space="preserve"> vastzitten. </w:t>
      </w:r>
      <w:r w:rsidR="004962B3">
        <w:rPr>
          <w:sz w:val="22"/>
        </w:rPr>
        <w:t>Ons</w:t>
      </w:r>
      <w:r>
        <w:rPr>
          <w:sz w:val="22"/>
        </w:rPr>
        <w:t xml:space="preserve"> voorstel is dat de Commissie hiervoor een advies</w:t>
      </w:r>
      <w:r w:rsidR="006D0B90">
        <w:rPr>
          <w:sz w:val="22"/>
        </w:rPr>
        <w:t xml:space="preserve"> aan</w:t>
      </w:r>
      <w:r w:rsidR="00FD43C0">
        <w:rPr>
          <w:sz w:val="22"/>
        </w:rPr>
        <w:t xml:space="preserve">vraagt </w:t>
      </w:r>
      <w:r w:rsidR="006D0B90">
        <w:rPr>
          <w:sz w:val="22"/>
        </w:rPr>
        <w:t>bij</w:t>
      </w:r>
      <w:r w:rsidR="00FD43C0">
        <w:rPr>
          <w:sz w:val="22"/>
        </w:rPr>
        <w:t xml:space="preserve"> een</w:t>
      </w:r>
      <w:r w:rsidR="003D540E">
        <w:rPr>
          <w:sz w:val="22"/>
        </w:rPr>
        <w:t xml:space="preserve"> </w:t>
      </w:r>
      <w:r w:rsidR="00FD43C0">
        <w:rPr>
          <w:sz w:val="22"/>
        </w:rPr>
        <w:t>advocatenkantoor</w:t>
      </w:r>
      <w:r w:rsidR="003D540E">
        <w:rPr>
          <w:sz w:val="22"/>
        </w:rPr>
        <w:t xml:space="preserve"> en/of adviesbureau</w:t>
      </w:r>
      <w:r w:rsidR="00FD43C0">
        <w:rPr>
          <w:sz w:val="22"/>
        </w:rPr>
        <w:t xml:space="preserve"> met expertise in het gezondheidsrecht</w:t>
      </w:r>
      <w:r w:rsidR="003D540E">
        <w:rPr>
          <w:sz w:val="22"/>
        </w:rPr>
        <w:t>. Hierover zullen we in overleg treden met de parlementair advocaat</w:t>
      </w:r>
      <w:r w:rsidR="00FD43C0">
        <w:rPr>
          <w:sz w:val="22"/>
        </w:rPr>
        <w:t xml:space="preserve">. Het voorstel is </w:t>
      </w:r>
      <w:r w:rsidR="006D0B90">
        <w:rPr>
          <w:sz w:val="22"/>
        </w:rPr>
        <w:t>de adviesaanvraag</w:t>
      </w:r>
      <w:r w:rsidR="00FD43C0">
        <w:rPr>
          <w:sz w:val="22"/>
        </w:rPr>
        <w:t xml:space="preserve"> in een voorbereidingsgroep </w:t>
      </w:r>
      <w:r w:rsidR="006D0B90">
        <w:rPr>
          <w:sz w:val="22"/>
        </w:rPr>
        <w:t xml:space="preserve">nader </w:t>
      </w:r>
      <w:r w:rsidR="00FD43C0">
        <w:rPr>
          <w:sz w:val="22"/>
        </w:rPr>
        <w:t>uit te werk</w:t>
      </w:r>
      <w:r w:rsidR="006D0B90">
        <w:rPr>
          <w:sz w:val="22"/>
        </w:rPr>
        <w:t xml:space="preserve">en, </w:t>
      </w:r>
      <w:r w:rsidR="00E952AC">
        <w:rPr>
          <w:sz w:val="22"/>
        </w:rPr>
        <w:t>waarna het definitieve voorstel in de</w:t>
      </w:r>
      <w:r w:rsidR="006D0B90">
        <w:rPr>
          <w:sz w:val="22"/>
        </w:rPr>
        <w:t xml:space="preserve"> volgende procedurevergadering </w:t>
      </w:r>
      <w:r w:rsidR="00E952AC">
        <w:rPr>
          <w:sz w:val="22"/>
        </w:rPr>
        <w:t>wordt voorgelegd</w:t>
      </w:r>
      <w:r w:rsidR="006D0B90">
        <w:rPr>
          <w:sz w:val="22"/>
        </w:rPr>
        <w:t xml:space="preserve">. </w:t>
      </w:r>
      <w:r w:rsidR="00957953">
        <w:rPr>
          <w:sz w:val="22"/>
        </w:rPr>
        <w:t xml:space="preserve">De aanvraag (schatting max. </w:t>
      </w:r>
      <w:r w:rsidR="00104237">
        <w:rPr>
          <w:rFonts w:ascii="Calibri" w:hAnsi="Calibri" w:cs="Calibri"/>
          <w:color w:val="002060"/>
          <w:sz w:val="22"/>
          <w:szCs w:val="22"/>
        </w:rPr>
        <w:t>€</w:t>
      </w:r>
      <w:r w:rsidR="00952289">
        <w:rPr>
          <w:rFonts w:ascii="Calibri" w:hAnsi="Calibri" w:cs="Calibri"/>
          <w:color w:val="002060"/>
          <w:sz w:val="22"/>
          <w:szCs w:val="22"/>
        </w:rPr>
        <w:t>15-</w:t>
      </w:r>
      <w:r w:rsidR="00957953">
        <w:rPr>
          <w:sz w:val="22"/>
        </w:rPr>
        <w:t>20.000)</w:t>
      </w:r>
      <w:r w:rsidR="00FC34C9">
        <w:rPr>
          <w:sz w:val="22"/>
        </w:rPr>
        <w:t xml:space="preserve"> kan worden bekostigd uit</w:t>
      </w:r>
      <w:r w:rsidR="004962B3">
        <w:rPr>
          <w:sz w:val="22"/>
        </w:rPr>
        <w:t xml:space="preserve"> het kennisbudget van de Commissie </w:t>
      </w:r>
      <w:r w:rsidR="00FC34C9">
        <w:rPr>
          <w:sz w:val="22"/>
        </w:rPr>
        <w:t xml:space="preserve">voor komend </w:t>
      </w:r>
      <w:r w:rsidR="004962B3">
        <w:rPr>
          <w:sz w:val="22"/>
        </w:rPr>
        <w:t>jaar (</w:t>
      </w:r>
      <w:r w:rsidR="004962B3">
        <w:rPr>
          <w:rFonts w:ascii="Calibri" w:hAnsi="Calibri" w:cs="Calibri"/>
          <w:color w:val="002060"/>
          <w:sz w:val="22"/>
          <w:szCs w:val="22"/>
        </w:rPr>
        <w:t>€110.000)</w:t>
      </w:r>
      <w:r w:rsidR="004962B3">
        <w:rPr>
          <w:sz w:val="22"/>
        </w:rPr>
        <w:t xml:space="preserve">. De voorbije jaren was </w:t>
      </w:r>
      <w:r w:rsidR="002E5EB5">
        <w:rPr>
          <w:sz w:val="22"/>
        </w:rPr>
        <w:t xml:space="preserve">er </w:t>
      </w:r>
      <w:r w:rsidR="004962B3">
        <w:rPr>
          <w:sz w:val="22"/>
        </w:rPr>
        <w:t>sprake van structurele onderuitputting</w:t>
      </w:r>
      <w:r w:rsidR="00FC34C9">
        <w:rPr>
          <w:sz w:val="22"/>
        </w:rPr>
        <w:t xml:space="preserve"> op dit budget</w:t>
      </w:r>
      <w:r w:rsidR="004962B3">
        <w:rPr>
          <w:sz w:val="22"/>
        </w:rPr>
        <w:t>.</w:t>
      </w:r>
      <w:r w:rsidR="00104237">
        <w:rPr>
          <w:sz w:val="22"/>
        </w:rPr>
        <w:t xml:space="preserve"> </w:t>
      </w:r>
    </w:p>
    <w:p w:rsidR="00C21B24" w:rsidP="00F50197" w:rsidRDefault="00C21B24">
      <w:pPr>
        <w:jc w:val="both"/>
        <w:rPr>
          <w:sz w:val="22"/>
        </w:rPr>
      </w:pPr>
    </w:p>
    <w:p w:rsidR="003C24E7" w:rsidP="00F50197" w:rsidRDefault="002E5EB5">
      <w:pPr>
        <w:jc w:val="both"/>
        <w:rPr>
          <w:sz w:val="22"/>
        </w:rPr>
      </w:pPr>
      <w:r>
        <w:rPr>
          <w:sz w:val="22"/>
        </w:rPr>
        <w:t>Daarbij</w:t>
      </w:r>
      <w:r w:rsidR="00C21B24">
        <w:rPr>
          <w:sz w:val="22"/>
        </w:rPr>
        <w:t xml:space="preserve"> lijkt het </w:t>
      </w:r>
      <w:r w:rsidR="004962B3">
        <w:rPr>
          <w:sz w:val="22"/>
        </w:rPr>
        <w:t>ons</w:t>
      </w:r>
      <w:r w:rsidR="00C21B24">
        <w:rPr>
          <w:sz w:val="22"/>
        </w:rPr>
        <w:t xml:space="preserve"> goed als </w:t>
      </w:r>
      <w:r w:rsidR="006D0B90">
        <w:rPr>
          <w:sz w:val="22"/>
        </w:rPr>
        <w:t>in</w:t>
      </w:r>
      <w:r>
        <w:rPr>
          <w:sz w:val="22"/>
        </w:rPr>
        <w:t xml:space="preserve"> het advies in</w:t>
      </w:r>
      <w:r w:rsidR="006D0B90">
        <w:rPr>
          <w:sz w:val="22"/>
        </w:rPr>
        <w:t xml:space="preserve"> ieder geval</w:t>
      </w:r>
      <w:r w:rsidR="00C21B24">
        <w:rPr>
          <w:sz w:val="22"/>
        </w:rPr>
        <w:t xml:space="preserve"> de volgende elementen</w:t>
      </w:r>
      <w:r w:rsidR="006D0B90">
        <w:rPr>
          <w:sz w:val="22"/>
        </w:rPr>
        <w:t xml:space="preserve"> aan bod komen</w:t>
      </w:r>
      <w:r w:rsidR="00C21B24">
        <w:rPr>
          <w:sz w:val="22"/>
        </w:rPr>
        <w:t>:</w:t>
      </w:r>
    </w:p>
    <w:p w:rsidRPr="00C21B24" w:rsidR="00C21B24" w:rsidP="00C21B24" w:rsidRDefault="00C21B24">
      <w:pPr>
        <w:pStyle w:val="Lijstalinea"/>
        <w:numPr>
          <w:ilvl w:val="0"/>
          <w:numId w:val="1"/>
        </w:numPr>
        <w:jc w:val="both"/>
        <w:rPr>
          <w:iCs/>
          <w:sz w:val="22"/>
        </w:rPr>
      </w:pPr>
      <w:r>
        <w:rPr>
          <w:iCs/>
          <w:sz w:val="22"/>
        </w:rPr>
        <w:t xml:space="preserve">Op welke wijze kan </w:t>
      </w:r>
      <w:r w:rsidRPr="00103111">
        <w:rPr>
          <w:sz w:val="22"/>
        </w:rPr>
        <w:t>een verplichte overstap van vrijgevestigde specialisten naar loondienst</w:t>
      </w:r>
      <w:r>
        <w:rPr>
          <w:sz w:val="22"/>
        </w:rPr>
        <w:t xml:space="preserve"> juridisch het beste worden vormgegeven, zonder weglekeffect?</w:t>
      </w:r>
    </w:p>
    <w:p w:rsidRPr="002A6BBF" w:rsidR="004A0270" w:rsidP="004A0270" w:rsidRDefault="004A0270">
      <w:pPr>
        <w:pStyle w:val="Lijstalinea"/>
        <w:numPr>
          <w:ilvl w:val="0"/>
          <w:numId w:val="1"/>
        </w:numPr>
        <w:jc w:val="both"/>
        <w:rPr>
          <w:iCs/>
          <w:sz w:val="22"/>
        </w:rPr>
      </w:pPr>
      <w:r>
        <w:rPr>
          <w:iCs/>
          <w:sz w:val="22"/>
        </w:rPr>
        <w:t>Zijn er tussenvarianten denkbaar, en zo ja, hoe zouden die juridisch het beste kunnen worden vormgegeven?</w:t>
      </w:r>
    </w:p>
    <w:p w:rsidRPr="002A6BBF" w:rsidR="002A6BBF" w:rsidP="00C21B24" w:rsidRDefault="00C21B24">
      <w:pPr>
        <w:pStyle w:val="Lijstalinea"/>
        <w:numPr>
          <w:ilvl w:val="0"/>
          <w:numId w:val="1"/>
        </w:numPr>
        <w:jc w:val="both"/>
        <w:rPr>
          <w:iCs/>
          <w:sz w:val="22"/>
        </w:rPr>
      </w:pPr>
      <w:r>
        <w:rPr>
          <w:sz w:val="22"/>
        </w:rPr>
        <w:t>Welk juridisch risico loopt de overheid op een</w:t>
      </w:r>
      <w:r w:rsidR="002A6BBF">
        <w:rPr>
          <w:sz w:val="22"/>
        </w:rPr>
        <w:t xml:space="preserve"> hoge,</w:t>
      </w:r>
      <w:r>
        <w:rPr>
          <w:sz w:val="22"/>
        </w:rPr>
        <w:t xml:space="preserve"> incidentele kostenpost</w:t>
      </w:r>
      <w:r w:rsidR="002A6BBF">
        <w:rPr>
          <w:sz w:val="22"/>
        </w:rPr>
        <w:t xml:space="preserve"> voor eigendomsontneming? Kan daarbij worden ingegaan op de juridische waardebepaling van </w:t>
      </w:r>
      <w:r w:rsidR="004A0270">
        <w:rPr>
          <w:sz w:val="22"/>
        </w:rPr>
        <w:t xml:space="preserve">de </w:t>
      </w:r>
      <w:r w:rsidR="002A6BBF">
        <w:rPr>
          <w:sz w:val="22"/>
        </w:rPr>
        <w:t>goodwill, en een vergelijking worden getrokken met andere wetgevingstrajecten waarin wel of niet is aangenomen dat sprake is van eigendomsontneming?</w:t>
      </w:r>
    </w:p>
    <w:p w:rsidRPr="00957953" w:rsidR="00F50197" w:rsidP="00957953" w:rsidRDefault="00F50197">
      <w:pPr>
        <w:jc w:val="both"/>
        <w:rPr>
          <w:sz w:val="22"/>
          <w:szCs w:val="22"/>
        </w:rPr>
      </w:pPr>
    </w:p>
    <w:sectPr w:rsidRPr="00957953" w:rsidR="00F50197" w:rsidSect="009D119A">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5BE"/>
    <w:multiLevelType w:val="hybridMultilevel"/>
    <w:tmpl w:val="F8E88D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197"/>
    <w:rsid w:val="000A363D"/>
    <w:rsid w:val="00101268"/>
    <w:rsid w:val="00104237"/>
    <w:rsid w:val="00204D89"/>
    <w:rsid w:val="002A6BBF"/>
    <w:rsid w:val="002E5EB5"/>
    <w:rsid w:val="003C24E7"/>
    <w:rsid w:val="003D540E"/>
    <w:rsid w:val="004962B3"/>
    <w:rsid w:val="004A0270"/>
    <w:rsid w:val="005C4973"/>
    <w:rsid w:val="00640A51"/>
    <w:rsid w:val="006A62C3"/>
    <w:rsid w:val="006D0B90"/>
    <w:rsid w:val="00952289"/>
    <w:rsid w:val="00957953"/>
    <w:rsid w:val="009D119A"/>
    <w:rsid w:val="00A163F1"/>
    <w:rsid w:val="00C21B24"/>
    <w:rsid w:val="00C34B05"/>
    <w:rsid w:val="00E945A5"/>
    <w:rsid w:val="00E952AC"/>
    <w:rsid w:val="00F107B4"/>
    <w:rsid w:val="00F50197"/>
    <w:rsid w:val="00FC34C9"/>
    <w:rsid w:val="00FD4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8706E-1D49-8543-86E4-E871B090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501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1B24"/>
    <w:pPr>
      <w:ind w:left="720"/>
      <w:contextualSpacing/>
    </w:pPr>
  </w:style>
  <w:style w:type="character" w:styleId="Verwijzingopmerking">
    <w:name w:val="annotation reference"/>
    <w:basedOn w:val="Standaardalinea-lettertype"/>
    <w:uiPriority w:val="99"/>
    <w:semiHidden/>
    <w:unhideWhenUsed/>
    <w:rsid w:val="00C21B24"/>
    <w:rPr>
      <w:sz w:val="16"/>
      <w:szCs w:val="16"/>
    </w:rPr>
  </w:style>
  <w:style w:type="paragraph" w:styleId="Tekstopmerking">
    <w:name w:val="annotation text"/>
    <w:basedOn w:val="Standaard"/>
    <w:link w:val="TekstopmerkingChar"/>
    <w:uiPriority w:val="99"/>
    <w:semiHidden/>
    <w:unhideWhenUsed/>
    <w:rsid w:val="00C21B24"/>
    <w:rPr>
      <w:sz w:val="20"/>
      <w:szCs w:val="20"/>
    </w:rPr>
  </w:style>
  <w:style w:type="character" w:customStyle="1" w:styleId="TekstopmerkingChar">
    <w:name w:val="Tekst opmerking Char"/>
    <w:basedOn w:val="Standaardalinea-lettertype"/>
    <w:link w:val="Tekstopmerking"/>
    <w:uiPriority w:val="99"/>
    <w:semiHidden/>
    <w:rsid w:val="00C21B24"/>
    <w:rPr>
      <w:sz w:val="20"/>
      <w:szCs w:val="20"/>
    </w:rPr>
  </w:style>
  <w:style w:type="paragraph" w:styleId="Onderwerpvanopmerking">
    <w:name w:val="annotation subject"/>
    <w:basedOn w:val="Tekstopmerking"/>
    <w:next w:val="Tekstopmerking"/>
    <w:link w:val="OnderwerpvanopmerkingChar"/>
    <w:uiPriority w:val="99"/>
    <w:semiHidden/>
    <w:unhideWhenUsed/>
    <w:rsid w:val="00C21B24"/>
    <w:rPr>
      <w:b/>
      <w:bCs/>
    </w:rPr>
  </w:style>
  <w:style w:type="character" w:customStyle="1" w:styleId="OnderwerpvanopmerkingChar">
    <w:name w:val="Onderwerp van opmerking Char"/>
    <w:basedOn w:val="TekstopmerkingChar"/>
    <w:link w:val="Onderwerpvanopmerking"/>
    <w:uiPriority w:val="99"/>
    <w:semiHidden/>
    <w:rsid w:val="00C21B24"/>
    <w:rPr>
      <w:b/>
      <w:bCs/>
      <w:sz w:val="20"/>
      <w:szCs w:val="20"/>
    </w:rPr>
  </w:style>
  <w:style w:type="paragraph" w:styleId="Ballontekst">
    <w:name w:val="Balloon Text"/>
    <w:basedOn w:val="Standaard"/>
    <w:link w:val="BallontekstChar"/>
    <w:uiPriority w:val="99"/>
    <w:semiHidden/>
    <w:unhideWhenUsed/>
    <w:rsid w:val="00C21B24"/>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21B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569</ap:Words>
  <ap:Characters>3134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2020-12-15T16:53:00.0000000Z</dcterms:created>
  <dcterms:modified xsi:type="dcterms:W3CDTF">2020-12-15T16:53:00.0000000Z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0x010100A4A6E961F9F80648BD065E832288566B</vt:lpwstr>
  </property>
</Properties>
</file>