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F3" w:rsidP="00645DE2" w:rsidRDefault="00282EF3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FD73A3">
        <w:rPr>
          <w:rFonts w:ascii="Verdana" w:hAnsi="Verdana"/>
          <w:b/>
          <w:iCs/>
          <w:color w:val="000000"/>
          <w:sz w:val="20"/>
          <w:szCs w:val="20"/>
          <w:u w:val="single"/>
          <w:lang w:eastAsia="en-GB"/>
        </w:rPr>
        <w:t>De Raad van Europa en de rechtsstaat in Europa</w:t>
      </w:r>
    </w:p>
    <w:p w:rsidR="00FD73A3" w:rsidP="00645DE2" w:rsidRDefault="00FD73A3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Pr="00A26B65" w:rsidR="00A26B65" w:rsidP="00645DE2" w:rsidRDefault="00A26B65">
      <w:pPr>
        <w:spacing w:line="360" w:lineRule="auto"/>
        <w:rPr>
          <w:rFonts w:ascii="Verdana" w:hAnsi="Verdana"/>
          <w:i/>
          <w:iCs/>
          <w:color w:val="000000"/>
          <w:sz w:val="18"/>
          <w:szCs w:val="18"/>
          <w:lang w:eastAsia="en-GB"/>
        </w:rPr>
      </w:pPr>
      <w:r w:rsidRPr="00A26B65">
        <w:rPr>
          <w:rFonts w:ascii="Verdana" w:hAnsi="Verdana"/>
          <w:i/>
          <w:iCs/>
          <w:color w:val="000000"/>
          <w:sz w:val="18"/>
          <w:szCs w:val="18"/>
          <w:lang w:eastAsia="en-GB"/>
        </w:rPr>
        <w:t>Roeland Böcker, Permanent Vertegenwoordiger bij de Raad van Europa</w:t>
      </w:r>
    </w:p>
    <w:p w:rsidR="00A26B65" w:rsidP="00645DE2" w:rsidRDefault="00A26B65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Pr="00FD73A3" w:rsidR="00FD73A3" w:rsidP="00645DE2" w:rsidRDefault="00FD73A3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 w:rsidRPr="00FD73A3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Algemeen</w:t>
      </w:r>
    </w:p>
    <w:p w:rsidR="00282EF3" w:rsidP="00645DE2" w:rsidRDefault="00282EF3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="00282EF3" w:rsidP="00645DE2" w:rsidRDefault="00282EF3">
      <w:pPr>
        <w:pStyle w:val="ListParagraph"/>
        <w:numPr>
          <w:ilvl w:val="0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Opgericht 1949, thans 47 lidstaten</w:t>
      </w:r>
    </w:p>
    <w:p w:rsidR="00282EF3" w:rsidP="00645DE2" w:rsidRDefault="00282EF3">
      <w:pPr>
        <w:pStyle w:val="ListParagraph"/>
        <w:numPr>
          <w:ilvl w:val="0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Statutaire organen:</w:t>
      </w:r>
    </w:p>
    <w:p w:rsidR="00282EF3" w:rsidP="00645DE2" w:rsidRDefault="00282EF3">
      <w:pPr>
        <w:pStyle w:val="ListParagraph"/>
        <w:numPr>
          <w:ilvl w:val="1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Comité van Ministers, beslisbevoegdheid</w:t>
      </w:r>
    </w:p>
    <w:p w:rsidR="00282EF3" w:rsidP="00645DE2" w:rsidRDefault="00282EF3">
      <w:pPr>
        <w:pStyle w:val="ListParagraph"/>
        <w:numPr>
          <w:ilvl w:val="1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Parlementaire Assemblee, adviesbevoegdheid + beslisbevoegdheid in enkele kwesties </w:t>
      </w:r>
    </w:p>
    <w:p w:rsidR="00282EF3" w:rsidP="00645DE2" w:rsidRDefault="00282EF3">
      <w:pPr>
        <w:pStyle w:val="ListParagraph"/>
        <w:numPr>
          <w:ilvl w:val="0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Doel: bevordering van mensenrechten, rechtsstaat, democratie</w:t>
      </w:r>
    </w:p>
    <w:p w:rsidR="00282EF3" w:rsidP="00645DE2" w:rsidRDefault="00282EF3">
      <w:pPr>
        <w:pStyle w:val="ListParagraph"/>
        <w:numPr>
          <w:ilvl w:val="0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Middelen om doel te bereiken: normstelling, monitoring, samenwerking</w:t>
      </w:r>
      <w:r w:rsidR="00C84FC1">
        <w:rPr>
          <w:rFonts w:ascii="Verdana" w:hAnsi="Verdana"/>
          <w:iCs/>
          <w:color w:val="000000"/>
          <w:sz w:val="20"/>
          <w:szCs w:val="20"/>
          <w:lang w:eastAsia="en-GB"/>
        </w:rPr>
        <w:t>/advisering</w:t>
      </w:r>
    </w:p>
    <w:p w:rsidR="00282EF3" w:rsidP="00645DE2" w:rsidRDefault="00282EF3">
      <w:pPr>
        <w:pStyle w:val="ListParagraph"/>
        <w:numPr>
          <w:ilvl w:val="0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Focus van deze </w:t>
      </w:r>
      <w:r w:rsidR="0017187D">
        <w:rPr>
          <w:rFonts w:ascii="Verdana" w:hAnsi="Verdana"/>
          <w:iCs/>
          <w:color w:val="000000"/>
          <w:sz w:val="20"/>
          <w:szCs w:val="20"/>
          <w:lang w:eastAsia="en-GB"/>
        </w:rPr>
        <w:t>presentatie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ligt op </w:t>
      </w:r>
    </w:p>
    <w:p w:rsidR="00FD73A3" w:rsidP="00645DE2" w:rsidRDefault="00282EF3">
      <w:pPr>
        <w:pStyle w:val="ListParagraph"/>
        <w:numPr>
          <w:ilvl w:val="1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het doel </w:t>
      </w:r>
      <w:r w:rsidR="0017187D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bevordering 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rechtsstaat en </w:t>
      </w:r>
    </w:p>
    <w:p w:rsidRPr="0075724F" w:rsidR="00FD73A3" w:rsidP="00645DE2" w:rsidRDefault="00FD73A3">
      <w:pPr>
        <w:pStyle w:val="ListParagraph"/>
        <w:numPr>
          <w:ilvl w:val="1"/>
          <w:numId w:val="1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75724F">
        <w:rPr>
          <w:rFonts w:ascii="Verdana" w:hAnsi="Verdana"/>
          <w:iCs/>
          <w:color w:val="000000"/>
          <w:sz w:val="20"/>
          <w:szCs w:val="20"/>
          <w:lang w:eastAsia="en-GB"/>
        </w:rPr>
        <w:t>het middel monitoring</w:t>
      </w:r>
    </w:p>
    <w:p w:rsidRPr="00FD73A3" w:rsidR="00FD73A3" w:rsidP="00645DE2" w:rsidRDefault="00FD73A3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Pr="00FD73A3" w:rsidR="00282EF3" w:rsidP="00645DE2" w:rsidRDefault="00FD73A3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 w:rsidRPr="00FD73A3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 xml:space="preserve">Monitoring door </w:t>
      </w:r>
      <w:r w:rsidR="004E0719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de politieke organen</w:t>
      </w:r>
    </w:p>
    <w:p w:rsidR="00FD73A3" w:rsidP="00645DE2" w:rsidRDefault="00FD73A3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="004E3E0B" w:rsidP="00645DE2" w:rsidRDefault="004E0719">
      <w:pPr>
        <w:pStyle w:val="ListParagraph"/>
        <w:numPr>
          <w:ilvl w:val="0"/>
          <w:numId w:val="3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4E0719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Comité van Ministers: </w:t>
      </w:r>
    </w:p>
    <w:p w:rsidR="004E3E0B" w:rsidP="00645DE2" w:rsidRDefault="004E3E0B">
      <w:pPr>
        <w:pStyle w:val="ListParagraph"/>
        <w:numPr>
          <w:ilvl w:val="1"/>
          <w:numId w:val="3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toezicht op de naleving van uitspraken van het Europees Hof voor de Rechten van de Mens </w:t>
      </w:r>
    </w:p>
    <w:p w:rsidR="004E3E0B" w:rsidP="00645DE2" w:rsidRDefault="004E0719">
      <w:pPr>
        <w:pStyle w:val="ListParagraph"/>
        <w:numPr>
          <w:ilvl w:val="1"/>
          <w:numId w:val="3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4E0719">
        <w:rPr>
          <w:rFonts w:ascii="Verdana" w:hAnsi="Verdana"/>
          <w:iCs/>
          <w:color w:val="000000"/>
          <w:sz w:val="20"/>
          <w:szCs w:val="20"/>
          <w:lang w:eastAsia="en-GB"/>
        </w:rPr>
        <w:t>post-toetreding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</w:t>
      </w:r>
      <w:r w:rsidR="00761C12">
        <w:rPr>
          <w:rFonts w:ascii="Verdana" w:hAnsi="Verdana"/>
          <w:iCs/>
          <w:color w:val="000000"/>
          <w:sz w:val="20"/>
          <w:szCs w:val="20"/>
          <w:lang w:eastAsia="en-GB"/>
        </w:rPr>
        <w:t>landen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monitoring </w:t>
      </w:r>
    </w:p>
    <w:p w:rsidR="004E0719" w:rsidP="00645DE2" w:rsidRDefault="004E3E0B">
      <w:pPr>
        <w:pStyle w:val="ListParagraph"/>
        <w:numPr>
          <w:ilvl w:val="1"/>
          <w:numId w:val="3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thematische monitoring</w:t>
      </w:r>
      <w:r w:rsidRPr="004E0719" w:rsidR="00FD73A3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</w:t>
      </w:r>
    </w:p>
    <w:p w:rsidR="004E3E0B" w:rsidP="00645DE2" w:rsidRDefault="004E0719">
      <w:pPr>
        <w:pStyle w:val="ListParagraph"/>
        <w:numPr>
          <w:ilvl w:val="0"/>
          <w:numId w:val="5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4E0719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Parlementaire Assemblee: </w:t>
      </w:r>
    </w:p>
    <w:p w:rsidR="004E0719" w:rsidP="00645DE2" w:rsidRDefault="00761C12">
      <w:pPr>
        <w:pStyle w:val="ListParagraph"/>
        <w:numPr>
          <w:ilvl w:val="1"/>
          <w:numId w:val="5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landenmonitoring</w:t>
      </w:r>
    </w:p>
    <w:p w:rsidR="004E3E0B" w:rsidP="00645DE2" w:rsidRDefault="004E3E0B">
      <w:pPr>
        <w:pStyle w:val="ListParagraph"/>
        <w:numPr>
          <w:ilvl w:val="1"/>
          <w:numId w:val="5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thematische monitoring</w:t>
      </w:r>
    </w:p>
    <w:p w:rsidRPr="00D05A46" w:rsidR="004E3E0B" w:rsidP="00645DE2" w:rsidRDefault="00DA697C">
      <w:pPr>
        <w:pStyle w:val="ListParagraph"/>
        <w:numPr>
          <w:ilvl w:val="0"/>
          <w:numId w:val="12"/>
        </w:numPr>
        <w:rPr>
          <w:rFonts w:ascii="Verdana" w:hAnsi="Verdana"/>
          <w:b/>
          <w:i/>
          <w:iCs/>
          <w:color w:val="000000"/>
          <w:sz w:val="20"/>
          <w:szCs w:val="20"/>
          <w:lang w:val="fr-FR" w:eastAsia="en-GB"/>
        </w:rPr>
      </w:pPr>
      <w:r w:rsidRPr="00D05A46">
        <w:rPr>
          <w:rFonts w:ascii="Verdana" w:hAnsi="Verdana"/>
          <w:iCs/>
          <w:color w:val="000000"/>
          <w:sz w:val="20"/>
          <w:szCs w:val="20"/>
          <w:lang w:val="fr-FR" w:eastAsia="en-GB"/>
        </w:rPr>
        <w:t xml:space="preserve">Comité van </w:t>
      </w:r>
      <w:proofErr w:type="spellStart"/>
      <w:r w:rsidRPr="00D05A46">
        <w:rPr>
          <w:rFonts w:ascii="Verdana" w:hAnsi="Verdana"/>
          <w:iCs/>
          <w:color w:val="000000"/>
          <w:sz w:val="20"/>
          <w:szCs w:val="20"/>
          <w:lang w:val="fr-FR" w:eastAsia="en-GB"/>
        </w:rPr>
        <w:t>Ministers</w:t>
      </w:r>
      <w:proofErr w:type="spellEnd"/>
      <w:r w:rsidRPr="00D05A46">
        <w:rPr>
          <w:rFonts w:ascii="Verdana" w:hAnsi="Verdana"/>
          <w:iCs/>
          <w:color w:val="000000"/>
          <w:sz w:val="20"/>
          <w:szCs w:val="20"/>
          <w:lang w:val="fr-FR" w:eastAsia="en-GB"/>
        </w:rPr>
        <w:t xml:space="preserve">/Parlementaire </w:t>
      </w:r>
      <w:proofErr w:type="spellStart"/>
      <w:r w:rsidRPr="00D05A46">
        <w:rPr>
          <w:rFonts w:ascii="Verdana" w:hAnsi="Verdana"/>
          <w:iCs/>
          <w:color w:val="000000"/>
          <w:sz w:val="20"/>
          <w:szCs w:val="20"/>
          <w:lang w:val="fr-FR" w:eastAsia="en-GB"/>
        </w:rPr>
        <w:t>Assemblee</w:t>
      </w:r>
      <w:proofErr w:type="spellEnd"/>
      <w:r w:rsidRPr="00D05A46" w:rsidR="00B11CE3">
        <w:rPr>
          <w:rFonts w:ascii="Verdana" w:hAnsi="Verdana"/>
          <w:iCs/>
          <w:color w:val="000000"/>
          <w:sz w:val="20"/>
          <w:szCs w:val="20"/>
          <w:lang w:val="fr-FR" w:eastAsia="en-GB"/>
        </w:rPr>
        <w:t xml:space="preserve"> (+ </w:t>
      </w:r>
      <w:proofErr w:type="spellStart"/>
      <w:r w:rsidRPr="00D05A46">
        <w:rPr>
          <w:rFonts w:ascii="Verdana" w:hAnsi="Verdana"/>
          <w:iCs/>
          <w:color w:val="000000"/>
          <w:sz w:val="20"/>
          <w:szCs w:val="20"/>
          <w:lang w:val="fr-FR" w:eastAsia="en-GB"/>
        </w:rPr>
        <w:t>Secretaris-Generaal</w:t>
      </w:r>
      <w:proofErr w:type="spellEnd"/>
      <w:r w:rsidRPr="00D05A46" w:rsidR="00B11CE3">
        <w:rPr>
          <w:rFonts w:ascii="Verdana" w:hAnsi="Verdana"/>
          <w:iCs/>
          <w:color w:val="000000"/>
          <w:sz w:val="20"/>
          <w:szCs w:val="20"/>
          <w:lang w:val="fr-FR" w:eastAsia="en-GB"/>
        </w:rPr>
        <w:t>)</w:t>
      </w:r>
      <w:r w:rsidRPr="00D05A46" w:rsidR="004E0719">
        <w:rPr>
          <w:rFonts w:ascii="Verdana" w:hAnsi="Verdana"/>
          <w:iCs/>
          <w:color w:val="000000"/>
          <w:sz w:val="20"/>
          <w:szCs w:val="20"/>
          <w:lang w:val="fr-FR" w:eastAsia="en-GB"/>
        </w:rPr>
        <w:t>:</w:t>
      </w:r>
    </w:p>
    <w:p w:rsidRPr="004E0719" w:rsidR="004E0719" w:rsidP="00645DE2" w:rsidRDefault="004E0719">
      <w:pPr>
        <w:pStyle w:val="ListParagraph"/>
        <w:numPr>
          <w:ilvl w:val="1"/>
          <w:numId w:val="12"/>
        </w:numPr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 w:rsidRPr="004E0719">
        <w:rPr>
          <w:rFonts w:ascii="Verdana" w:hAnsi="Verdana"/>
          <w:iCs/>
          <w:color w:val="000000"/>
          <w:sz w:val="20"/>
          <w:szCs w:val="20"/>
          <w:lang w:eastAsia="en-GB"/>
        </w:rPr>
        <w:t>complementaire procedure</w:t>
      </w:r>
      <w:r w:rsidR="004E3E0B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onder art. 8 Statuut</w:t>
      </w:r>
    </w:p>
    <w:p w:rsidR="004E3E0B" w:rsidP="00645DE2" w:rsidRDefault="00C84FC1">
      <w:pPr>
        <w:pStyle w:val="ListParagraph"/>
        <w:numPr>
          <w:ilvl w:val="0"/>
          <w:numId w:val="10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4E0719">
        <w:rPr>
          <w:rFonts w:ascii="Verdana" w:hAnsi="Verdana"/>
          <w:iCs/>
          <w:color w:val="000000"/>
          <w:sz w:val="20"/>
          <w:szCs w:val="20"/>
          <w:lang w:eastAsia="en-GB"/>
        </w:rPr>
        <w:t>Congres van Lokale en Regionale Autoriteiten</w:t>
      </w:r>
      <w:r w:rsidRPr="004E0719" w:rsidR="004E0719">
        <w:rPr>
          <w:rFonts w:ascii="Verdana" w:hAnsi="Verdana"/>
          <w:iCs/>
          <w:color w:val="000000"/>
          <w:sz w:val="20"/>
          <w:szCs w:val="20"/>
          <w:lang w:eastAsia="en-GB"/>
        </w:rPr>
        <w:t>:</w:t>
      </w:r>
      <w:r w:rsidR="004E0719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</w:t>
      </w:r>
    </w:p>
    <w:p w:rsidRPr="004E0719" w:rsidR="00C84FC1" w:rsidP="00645DE2" w:rsidRDefault="004E0719">
      <w:pPr>
        <w:pStyle w:val="ListParagraph"/>
        <w:numPr>
          <w:ilvl w:val="1"/>
          <w:numId w:val="10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e</w:t>
      </w:r>
      <w:r w:rsidRPr="004E0719" w:rsidR="00C84FC1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valueert de toepassing van het Europees Handvest inzake Lokale Autonomie </w:t>
      </w:r>
    </w:p>
    <w:p w:rsidR="00C84FC1" w:rsidP="00645DE2" w:rsidRDefault="00C84FC1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="009E6F0D" w:rsidP="00645DE2" w:rsidRDefault="009E6F0D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proofErr w:type="spellStart"/>
      <w:r w:rsidRPr="009E6F0D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Venice</w:t>
      </w:r>
      <w:proofErr w:type="spellEnd"/>
      <w:r w:rsidRPr="009E6F0D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9E6F0D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Commission</w:t>
      </w:r>
      <w:proofErr w:type="spellEnd"/>
    </w:p>
    <w:p w:rsidRPr="009E6F0D" w:rsidR="009E6F0D" w:rsidP="00645DE2" w:rsidRDefault="009E6F0D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</w:p>
    <w:p w:rsidRPr="00A577E7" w:rsidR="0075724F" w:rsidP="00645DE2" w:rsidRDefault="009E6F0D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9E6F0D">
        <w:rPr>
          <w:rFonts w:ascii="Verdana" w:hAnsi="Verdana"/>
          <w:iCs/>
          <w:color w:val="000000"/>
          <w:sz w:val="20"/>
          <w:szCs w:val="20"/>
          <w:lang w:eastAsia="en-GB"/>
        </w:rPr>
        <w:t>Juridische advisering op constitutioneel gebied.</w:t>
      </w:r>
      <w:r w:rsidR="00D05A46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</w:t>
      </w:r>
      <w:r w:rsidRPr="00A577E7" w:rsidR="00D05A46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Hanteert </w:t>
      </w:r>
      <w:proofErr w:type="spellStart"/>
      <w:r w:rsidRPr="00A577E7" w:rsidR="00D05A46">
        <w:rPr>
          <w:rFonts w:ascii="Verdana" w:hAnsi="Verdana"/>
          <w:i/>
          <w:iCs/>
          <w:color w:val="000000"/>
          <w:sz w:val="20"/>
          <w:szCs w:val="20"/>
          <w:lang w:eastAsia="en-GB"/>
        </w:rPr>
        <w:t>rule</w:t>
      </w:r>
      <w:proofErr w:type="spellEnd"/>
      <w:r w:rsidRPr="00A577E7" w:rsidR="00D05A46">
        <w:rPr>
          <w:rFonts w:ascii="Verdana" w:hAnsi="Verdana"/>
          <w:i/>
          <w:iCs/>
          <w:color w:val="000000"/>
          <w:sz w:val="20"/>
          <w:szCs w:val="20"/>
          <w:lang w:eastAsia="en-GB"/>
        </w:rPr>
        <w:t xml:space="preserve"> of </w:t>
      </w:r>
      <w:proofErr w:type="spellStart"/>
      <w:r w:rsidRPr="00A577E7" w:rsidR="00D05A46">
        <w:rPr>
          <w:rFonts w:ascii="Verdana" w:hAnsi="Verdana"/>
          <w:i/>
          <w:iCs/>
          <w:color w:val="000000"/>
          <w:sz w:val="20"/>
          <w:szCs w:val="20"/>
          <w:lang w:eastAsia="en-GB"/>
        </w:rPr>
        <w:t>law</w:t>
      </w:r>
      <w:proofErr w:type="spellEnd"/>
      <w:r w:rsidRPr="00A577E7" w:rsidR="00D05A46">
        <w:rPr>
          <w:rFonts w:ascii="Verdana" w:hAnsi="Verdana"/>
          <w:i/>
          <w:iCs/>
          <w:color w:val="000000"/>
          <w:sz w:val="20"/>
          <w:szCs w:val="20"/>
          <w:lang w:eastAsia="en-GB"/>
        </w:rPr>
        <w:t xml:space="preserve"> checklist</w:t>
      </w:r>
      <w:r w:rsidRPr="00A577E7" w:rsidR="00A577E7">
        <w:rPr>
          <w:rFonts w:ascii="Verdana" w:hAnsi="Verdana"/>
          <w:iCs/>
          <w:color w:val="000000"/>
          <w:sz w:val="20"/>
          <w:szCs w:val="20"/>
          <w:lang w:eastAsia="en-GB"/>
        </w:rPr>
        <w:t>, die is overgenomen door Comité van Ministers, Parlementaire Assemblee en Congres van Lokale en Regionale Autoriteiten</w:t>
      </w:r>
      <w:r w:rsidR="00A577E7">
        <w:rPr>
          <w:rFonts w:ascii="Verdana" w:hAnsi="Verdana"/>
          <w:iCs/>
          <w:color w:val="000000"/>
          <w:sz w:val="20"/>
          <w:szCs w:val="20"/>
          <w:lang w:eastAsia="en-GB"/>
        </w:rPr>
        <w:t>.</w:t>
      </w:r>
    </w:p>
    <w:p w:rsidRPr="00A577E7" w:rsidR="00A577E7" w:rsidP="00645DE2" w:rsidRDefault="00A577E7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</w:p>
    <w:p w:rsidR="00B85499" w:rsidP="00645DE2" w:rsidRDefault="00B85499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bookmarkStart w:name="_GoBack" w:id="0"/>
      <w:bookmarkEnd w:id="0"/>
      <w:r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lastRenderedPageBreak/>
        <w:t>GRECO</w:t>
      </w:r>
    </w:p>
    <w:p w:rsidR="00645DE2" w:rsidP="00645DE2" w:rsidRDefault="00645DE2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Pr="00B85499" w:rsidR="00B85499" w:rsidP="00645DE2" w:rsidRDefault="00B85499">
      <w:pPr>
        <w:pStyle w:val="ListParagraph"/>
        <w:numPr>
          <w:ilvl w:val="0"/>
          <w:numId w:val="8"/>
        </w:numPr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 w:rsidRPr="00B85499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Monitort de bestrijding van corruptie in de lidstaten op basis van de </w:t>
      </w:r>
      <w:proofErr w:type="spellStart"/>
      <w:r w:rsidRPr="00B85499">
        <w:rPr>
          <w:rFonts w:ascii="Verdana" w:hAnsi="Verdana"/>
          <w:iCs/>
          <w:color w:val="000000"/>
          <w:sz w:val="20"/>
          <w:szCs w:val="20"/>
          <w:lang w:eastAsia="en-GB"/>
        </w:rPr>
        <w:t>anticorruptieverdragen</w:t>
      </w:r>
      <w:proofErr w:type="spellEnd"/>
      <w:r w:rsidRPr="00B85499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van de Raad van Europa.</w:t>
      </w:r>
    </w:p>
    <w:p w:rsidR="00B85499" w:rsidP="00645DE2" w:rsidRDefault="00B85499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</w:p>
    <w:p w:rsidR="00B85499" w:rsidP="00645DE2" w:rsidRDefault="00B85499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Overige organen met primaire relevantie voor het thema</w:t>
      </w:r>
      <w:r w:rsidR="00645DE2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 xml:space="preserve"> rechtsstaat</w:t>
      </w:r>
    </w:p>
    <w:p w:rsidR="00645DE2" w:rsidP="00645DE2" w:rsidRDefault="00645DE2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</w:p>
    <w:p w:rsidR="00B85499" w:rsidP="00645DE2" w:rsidRDefault="00B85499">
      <w:pPr>
        <w:pStyle w:val="ListParagraph"/>
        <w:numPr>
          <w:ilvl w:val="0"/>
          <w:numId w:val="9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CEPEJ: doelmatigheid van justitie</w:t>
      </w:r>
    </w:p>
    <w:p w:rsidR="00B85499" w:rsidP="00645DE2" w:rsidRDefault="00B85499">
      <w:pPr>
        <w:pStyle w:val="ListParagraph"/>
        <w:numPr>
          <w:ilvl w:val="0"/>
          <w:numId w:val="9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CC</w:t>
      </w:r>
      <w:r w:rsidR="00761C12">
        <w:rPr>
          <w:rFonts w:ascii="Verdana" w:hAnsi="Verdana"/>
          <w:iCs/>
          <w:color w:val="000000"/>
          <w:sz w:val="20"/>
          <w:szCs w:val="20"/>
          <w:lang w:eastAsia="en-GB"/>
        </w:rPr>
        <w:t>JE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>/CC</w:t>
      </w:r>
      <w:r w:rsidR="00761C12">
        <w:rPr>
          <w:rFonts w:ascii="Verdana" w:hAnsi="Verdana"/>
          <w:iCs/>
          <w:color w:val="000000"/>
          <w:sz w:val="20"/>
          <w:szCs w:val="20"/>
          <w:lang w:eastAsia="en-GB"/>
        </w:rPr>
        <w:t>PE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>: raadgevende comités van rechters respectievelijk openbaar aanklagers</w:t>
      </w:r>
    </w:p>
    <w:p w:rsidR="00B85499" w:rsidP="00645DE2" w:rsidRDefault="00B85499">
      <w:pPr>
        <w:pStyle w:val="ListParagraph"/>
        <w:numPr>
          <w:ilvl w:val="0"/>
          <w:numId w:val="9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M</w:t>
      </w:r>
      <w:r w:rsidR="00761C12">
        <w:rPr>
          <w:rFonts w:ascii="Verdana" w:hAnsi="Verdana"/>
          <w:iCs/>
          <w:color w:val="000000"/>
          <w:sz w:val="20"/>
          <w:szCs w:val="20"/>
          <w:lang w:eastAsia="en-GB"/>
        </w:rPr>
        <w:t>ONEYVAL</w:t>
      </w:r>
      <w:r>
        <w:rPr>
          <w:rFonts w:ascii="Verdana" w:hAnsi="Verdana"/>
          <w:iCs/>
          <w:color w:val="000000"/>
          <w:sz w:val="20"/>
          <w:szCs w:val="20"/>
          <w:lang w:eastAsia="en-GB"/>
        </w:rPr>
        <w:t>: witwassen</w:t>
      </w:r>
    </w:p>
    <w:p w:rsidRPr="00651863" w:rsidR="00B85499" w:rsidP="00645DE2" w:rsidRDefault="00B85499">
      <w:pPr>
        <w:pStyle w:val="ListParagraph"/>
        <w:numPr>
          <w:ilvl w:val="0"/>
          <w:numId w:val="9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Platform voor de bescherming van journalistiek en veiligheid van journalisten</w:t>
      </w:r>
    </w:p>
    <w:p w:rsidRPr="00B85499" w:rsidR="00B85499" w:rsidP="00645DE2" w:rsidRDefault="00B85499">
      <w:pPr>
        <w:spacing w:line="360" w:lineRule="auto"/>
        <w:rPr>
          <w:rFonts w:ascii="Verdana" w:hAnsi="Verdana"/>
          <w:b/>
          <w:iCs/>
          <w:color w:val="000000"/>
          <w:sz w:val="20"/>
          <w:szCs w:val="20"/>
          <w:lang w:eastAsia="en-GB"/>
        </w:rPr>
      </w:pPr>
    </w:p>
    <w:p w:rsidR="00A577E7" w:rsidP="00645DE2" w:rsidRDefault="00A577E7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Europees Verdrag en Hof voor de Rechten van de Mens</w:t>
      </w:r>
    </w:p>
    <w:p w:rsidR="00A577E7" w:rsidP="00645DE2" w:rsidRDefault="00A577E7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="003911F7" w:rsidP="00645DE2" w:rsidRDefault="003911F7">
      <w:pPr>
        <w:pStyle w:val="ListParagraph"/>
        <w:numPr>
          <w:ilvl w:val="0"/>
          <w:numId w:val="7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Preambule EVRM: “heerschappij van het recht” als vertaling van </w:t>
      </w:r>
      <w:proofErr w:type="spellStart"/>
      <w:r>
        <w:rPr>
          <w:rFonts w:ascii="Verdana" w:hAnsi="Verdana"/>
          <w:iCs/>
          <w:color w:val="000000"/>
          <w:sz w:val="20"/>
          <w:szCs w:val="20"/>
          <w:lang w:eastAsia="en-GB"/>
        </w:rPr>
        <w:t>rule</w:t>
      </w:r>
      <w:proofErr w:type="spellEnd"/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of </w:t>
      </w:r>
      <w:proofErr w:type="spellStart"/>
      <w:r>
        <w:rPr>
          <w:rFonts w:ascii="Verdana" w:hAnsi="Verdana"/>
          <w:iCs/>
          <w:color w:val="000000"/>
          <w:sz w:val="20"/>
          <w:szCs w:val="20"/>
          <w:lang w:eastAsia="en-GB"/>
        </w:rPr>
        <w:t>law</w:t>
      </w:r>
      <w:proofErr w:type="spellEnd"/>
    </w:p>
    <w:p w:rsidR="00A577E7" w:rsidP="00645DE2" w:rsidRDefault="00A577E7">
      <w:pPr>
        <w:pStyle w:val="ListParagraph"/>
        <w:numPr>
          <w:ilvl w:val="0"/>
          <w:numId w:val="7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Individuele verzoekschriften</w:t>
      </w:r>
    </w:p>
    <w:p w:rsidR="00A577E7" w:rsidP="00645DE2" w:rsidRDefault="00A577E7">
      <w:pPr>
        <w:pStyle w:val="ListParagraph"/>
        <w:numPr>
          <w:ilvl w:val="0"/>
          <w:numId w:val="7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Interstatelijke klachten </w:t>
      </w:r>
    </w:p>
    <w:p w:rsidR="00645DE2" w:rsidP="00645DE2" w:rsidRDefault="00645DE2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</w:p>
    <w:p w:rsidRPr="00A577E7" w:rsidR="00A577E7" w:rsidP="00645DE2" w:rsidRDefault="00A577E7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  <w:r w:rsidRPr="00A577E7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Mensenrechtencommissaris</w:t>
      </w:r>
    </w:p>
    <w:p w:rsidRPr="00A577E7" w:rsidR="00A577E7" w:rsidP="00645DE2" w:rsidRDefault="00A577E7">
      <w:pPr>
        <w:pStyle w:val="ListParagraph"/>
        <w:ind w:left="360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Pr="00A577E7" w:rsidR="009E6F0D" w:rsidP="00645DE2" w:rsidRDefault="00A577E7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“Vliegende keep” van de Raad van Europa: breed mandaat om (patronen van) mensenrechtenschendingen te onderzoeken, hierover te rapporteren en in dialoog te treden met lidstaten.</w:t>
      </w:r>
    </w:p>
    <w:p w:rsidR="00B85499" w:rsidP="00645DE2" w:rsidRDefault="00B85499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</w:p>
    <w:p w:rsidRPr="0075724F" w:rsidR="0075724F" w:rsidP="00645DE2" w:rsidRDefault="0075724F">
      <w:pPr>
        <w:spacing w:line="360" w:lineRule="auto"/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</w:pPr>
      <w:r w:rsidRPr="0075724F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Verdrags</w:t>
      </w:r>
      <w:r w:rsidR="00645DE2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 xml:space="preserve">- en andere </w:t>
      </w:r>
      <w:r w:rsidRPr="0075724F">
        <w:rPr>
          <w:rFonts w:ascii="Verdana" w:hAnsi="Verdana"/>
          <w:b/>
          <w:i/>
          <w:iCs/>
          <w:color w:val="000000"/>
          <w:sz w:val="20"/>
          <w:szCs w:val="20"/>
          <w:lang w:eastAsia="en-GB"/>
        </w:rPr>
        <w:t>comités</w:t>
      </w:r>
    </w:p>
    <w:p w:rsidR="0075724F" w:rsidP="00645DE2" w:rsidRDefault="0075724F">
      <w:pPr>
        <w:spacing w:line="360" w:lineRule="auto"/>
        <w:rPr>
          <w:rFonts w:ascii="Verdana" w:hAnsi="Verdana"/>
          <w:iCs/>
          <w:color w:val="000000"/>
          <w:sz w:val="20"/>
          <w:szCs w:val="20"/>
          <w:lang w:eastAsia="en-GB"/>
        </w:rPr>
      </w:pPr>
    </w:p>
    <w:p w:rsidR="00651863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ECSR: s</w:t>
      </w:r>
      <w:r w:rsidR="00651863">
        <w:rPr>
          <w:rFonts w:ascii="Verdana" w:hAnsi="Verdana"/>
          <w:iCs/>
          <w:color w:val="000000"/>
          <w:sz w:val="20"/>
          <w:szCs w:val="20"/>
          <w:lang w:eastAsia="en-GB"/>
        </w:rPr>
        <w:t>ociale rechten</w:t>
      </w:r>
      <w:r w:rsidR="0091423D">
        <w:rPr>
          <w:rFonts w:ascii="Verdana" w:hAnsi="Verdana"/>
          <w:iCs/>
          <w:color w:val="000000"/>
          <w:sz w:val="20"/>
          <w:szCs w:val="20"/>
          <w:lang w:eastAsia="en-GB"/>
        </w:rPr>
        <w:t xml:space="preserve"> </w:t>
      </w:r>
    </w:p>
    <w:p w:rsidRPr="00B85499" w:rsidR="00B85499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ECRI: r</w:t>
      </w:r>
      <w:r w:rsidR="00B85499">
        <w:rPr>
          <w:rFonts w:ascii="Verdana" w:hAnsi="Verdana"/>
          <w:iCs/>
          <w:color w:val="000000"/>
          <w:sz w:val="20"/>
          <w:szCs w:val="20"/>
          <w:lang w:eastAsia="en-GB"/>
        </w:rPr>
        <w:t>acisme en intolerantie</w:t>
      </w:r>
    </w:p>
    <w:p w:rsidR="0075724F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CPT: f</w:t>
      </w:r>
      <w:r w:rsidR="0075724F">
        <w:rPr>
          <w:rFonts w:ascii="Verdana" w:hAnsi="Verdana"/>
          <w:iCs/>
          <w:color w:val="000000"/>
          <w:sz w:val="20"/>
          <w:szCs w:val="20"/>
          <w:lang w:eastAsia="en-GB"/>
        </w:rPr>
        <w:t>oltering en onmenselijke en vernederende behandeling en bestraffing</w:t>
      </w:r>
    </w:p>
    <w:p w:rsidR="0075724F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GREVIO: g</w:t>
      </w:r>
      <w:r w:rsidR="0075724F">
        <w:rPr>
          <w:rFonts w:ascii="Verdana" w:hAnsi="Verdana"/>
          <w:iCs/>
          <w:color w:val="000000"/>
          <w:sz w:val="20"/>
          <w:szCs w:val="20"/>
          <w:lang w:eastAsia="en-GB"/>
        </w:rPr>
        <w:t>eweld tegen vrouwen en huiselijk geweld</w:t>
      </w:r>
    </w:p>
    <w:p w:rsidR="0075724F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GRETA: m</w:t>
      </w:r>
      <w:r w:rsidR="00651863">
        <w:rPr>
          <w:rFonts w:ascii="Verdana" w:hAnsi="Verdana"/>
          <w:iCs/>
          <w:color w:val="000000"/>
          <w:sz w:val="20"/>
          <w:szCs w:val="20"/>
          <w:lang w:eastAsia="en-GB"/>
        </w:rPr>
        <w:t>ensenhandel</w:t>
      </w:r>
    </w:p>
    <w:p w:rsidR="00651863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Lanzarote-comité: s</w:t>
      </w:r>
      <w:r w:rsidR="00651863">
        <w:rPr>
          <w:rFonts w:ascii="Verdana" w:hAnsi="Verdana"/>
          <w:iCs/>
          <w:color w:val="000000"/>
          <w:sz w:val="20"/>
          <w:szCs w:val="20"/>
          <w:lang w:eastAsia="en-GB"/>
        </w:rPr>
        <w:t>eksuele uitbuiting en seksueel misbruik van kinderen</w:t>
      </w:r>
    </w:p>
    <w:p w:rsidR="00651863" w:rsidP="00645DE2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ACNM: n</w:t>
      </w:r>
      <w:r w:rsidRPr="00651863" w:rsidR="00651863">
        <w:rPr>
          <w:rFonts w:ascii="Verdana" w:hAnsi="Verdana"/>
          <w:iCs/>
          <w:color w:val="000000"/>
          <w:sz w:val="20"/>
          <w:szCs w:val="20"/>
          <w:lang w:eastAsia="en-GB"/>
        </w:rPr>
        <w:t>ationale minderheden</w:t>
      </w:r>
    </w:p>
    <w:p w:rsidRPr="00645DE2" w:rsidR="00651863" w:rsidP="00590D34" w:rsidRDefault="00761C12">
      <w:pPr>
        <w:pStyle w:val="ListParagraph"/>
        <w:numPr>
          <w:ilvl w:val="0"/>
          <w:numId w:val="8"/>
        </w:numPr>
        <w:rPr>
          <w:rFonts w:ascii="Verdana" w:hAnsi="Verdana"/>
          <w:iCs/>
          <w:color w:val="000000"/>
          <w:sz w:val="20"/>
          <w:szCs w:val="20"/>
          <w:lang w:eastAsia="en-GB"/>
        </w:rPr>
      </w:pPr>
      <w:r>
        <w:rPr>
          <w:rFonts w:ascii="Verdana" w:hAnsi="Verdana"/>
          <w:iCs/>
          <w:color w:val="000000"/>
          <w:sz w:val="20"/>
          <w:szCs w:val="20"/>
          <w:lang w:eastAsia="en-GB"/>
        </w:rPr>
        <w:t>ECRML: r</w:t>
      </w:r>
      <w:r w:rsidRPr="00645DE2" w:rsidR="00651863">
        <w:rPr>
          <w:rFonts w:ascii="Verdana" w:hAnsi="Verdana"/>
          <w:iCs/>
          <w:color w:val="000000"/>
          <w:sz w:val="20"/>
          <w:szCs w:val="20"/>
          <w:lang w:eastAsia="en-GB"/>
        </w:rPr>
        <w:t>egionale en minderheidstalen</w:t>
      </w:r>
    </w:p>
    <w:sectPr w:rsidRPr="00645DE2" w:rsidR="00651863" w:rsidSect="00735109">
      <w:pgSz w:w="11906" w:h="16838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1123"/>
    <w:multiLevelType w:val="hybridMultilevel"/>
    <w:tmpl w:val="25A0F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9E7"/>
    <w:multiLevelType w:val="hybridMultilevel"/>
    <w:tmpl w:val="84DC8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DE3"/>
    <w:multiLevelType w:val="hybridMultilevel"/>
    <w:tmpl w:val="8D86F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63B4"/>
    <w:multiLevelType w:val="hybridMultilevel"/>
    <w:tmpl w:val="52AADB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44B81"/>
    <w:multiLevelType w:val="hybridMultilevel"/>
    <w:tmpl w:val="AA923D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AA51FC"/>
    <w:multiLevelType w:val="hybridMultilevel"/>
    <w:tmpl w:val="D95ADA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294"/>
    <w:multiLevelType w:val="hybridMultilevel"/>
    <w:tmpl w:val="C9F0B5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10356F"/>
    <w:multiLevelType w:val="hybridMultilevel"/>
    <w:tmpl w:val="613471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33967"/>
    <w:multiLevelType w:val="hybridMultilevel"/>
    <w:tmpl w:val="D0F25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337F2"/>
    <w:multiLevelType w:val="hybridMultilevel"/>
    <w:tmpl w:val="D04C99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8D2D84"/>
    <w:multiLevelType w:val="hybridMultilevel"/>
    <w:tmpl w:val="DA4657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8C3737"/>
    <w:multiLevelType w:val="hybridMultilevel"/>
    <w:tmpl w:val="FB384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5D"/>
    <w:rsid w:val="0017187D"/>
    <w:rsid w:val="00282EF3"/>
    <w:rsid w:val="003911F7"/>
    <w:rsid w:val="00487B08"/>
    <w:rsid w:val="004E0719"/>
    <w:rsid w:val="004E3E0B"/>
    <w:rsid w:val="00645DE2"/>
    <w:rsid w:val="00651863"/>
    <w:rsid w:val="006C03EF"/>
    <w:rsid w:val="00735109"/>
    <w:rsid w:val="0075724F"/>
    <w:rsid w:val="00761C12"/>
    <w:rsid w:val="00895661"/>
    <w:rsid w:val="008A625D"/>
    <w:rsid w:val="0091423D"/>
    <w:rsid w:val="009148C5"/>
    <w:rsid w:val="009E6F0D"/>
    <w:rsid w:val="00A26B65"/>
    <w:rsid w:val="00A577E7"/>
    <w:rsid w:val="00A95D00"/>
    <w:rsid w:val="00B11CE3"/>
    <w:rsid w:val="00B85499"/>
    <w:rsid w:val="00B902C5"/>
    <w:rsid w:val="00C84FC1"/>
    <w:rsid w:val="00D05A46"/>
    <w:rsid w:val="00D371FE"/>
    <w:rsid w:val="00DA697C"/>
    <w:rsid w:val="00E150B8"/>
    <w:rsid w:val="00E62505"/>
    <w:rsid w:val="00EA25C8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463A"/>
  <w15:chartTrackingRefBased/>
  <w15:docId w15:val="{9081051F-8F78-4BCE-93C4-24B0BD04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5D"/>
    <w:pPr>
      <w:spacing w:after="0" w:line="240" w:lineRule="auto"/>
    </w:pPr>
    <w:rPr>
      <w:rFonts w:ascii="Times New Roman" w:hAnsi="Times New Roman" w:cs="Times New Roman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2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D00"/>
    <w:pPr>
      <w:spacing w:line="360" w:lineRule="auto"/>
      <w:ind w:left="720"/>
    </w:pPr>
    <w:rPr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63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373</ap:Words>
  <ap:Characters>2057</ap:Characters>
  <ap:DocSecurity>0</ap:DocSecurity>
  <ap:Lines>17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2020-12-04T11:06:00.0000000Z</lastPrinted>
  <dcterms:created xsi:type="dcterms:W3CDTF">2020-11-30T08:21:00.0000000Z</dcterms:created>
  <dcterms:modified xsi:type="dcterms:W3CDTF">2020-12-08T12:31:00.0000000Z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0x01010001927942ED1CA74CB95806BB880E366F</vt:lpwstr>
  </property>
</Properties>
</file>