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87" w:rsidRDefault="003B25B0">
      <w:pPr>
        <w:rPr>
          <w:sz w:val="32"/>
          <w:szCs w:val="32"/>
        </w:rPr>
      </w:pPr>
      <w:r w:rsidRPr="003B25B0">
        <w:rPr>
          <w:sz w:val="32"/>
          <w:szCs w:val="32"/>
        </w:rPr>
        <w:t xml:space="preserve">Tweede Kamer </w:t>
      </w:r>
      <w:r w:rsidR="00256E87">
        <w:rPr>
          <w:sz w:val="32"/>
          <w:szCs w:val="32"/>
        </w:rPr>
        <w:t>der Staten Generaal</w:t>
      </w:r>
    </w:p>
    <w:p w:rsidR="0088489C" w:rsidRDefault="0088489C">
      <w:pPr>
        <w:rPr>
          <w:sz w:val="32"/>
          <w:szCs w:val="32"/>
        </w:rPr>
      </w:pPr>
      <w:r>
        <w:rPr>
          <w:sz w:val="32"/>
          <w:szCs w:val="32"/>
        </w:rPr>
        <w:t>Vast</w:t>
      </w:r>
      <w:r w:rsidR="00E02EC0">
        <w:rPr>
          <w:sz w:val="32"/>
          <w:szCs w:val="32"/>
        </w:rPr>
        <w:t>e</w:t>
      </w:r>
      <w:r>
        <w:rPr>
          <w:sz w:val="32"/>
          <w:szCs w:val="32"/>
        </w:rPr>
        <w:t xml:space="preserve"> Kamercommissie </w:t>
      </w:r>
      <w:r w:rsidR="00E02EC0">
        <w:rPr>
          <w:sz w:val="32"/>
          <w:szCs w:val="32"/>
        </w:rPr>
        <w:t xml:space="preserve">voor </w:t>
      </w:r>
      <w:r>
        <w:rPr>
          <w:sz w:val="32"/>
          <w:szCs w:val="32"/>
        </w:rPr>
        <w:t>Justitie en Veiligheid</w:t>
      </w:r>
    </w:p>
    <w:p w:rsidR="00B870CB" w:rsidRDefault="003B25B0">
      <w:pPr>
        <w:rPr>
          <w:sz w:val="32"/>
          <w:szCs w:val="32"/>
        </w:rPr>
      </w:pPr>
      <w:r w:rsidRPr="003B25B0">
        <w:rPr>
          <w:sz w:val="32"/>
          <w:szCs w:val="32"/>
        </w:rPr>
        <w:t xml:space="preserve">Ronde Tafel van </w:t>
      </w:r>
      <w:r>
        <w:rPr>
          <w:sz w:val="32"/>
          <w:szCs w:val="32"/>
        </w:rPr>
        <w:t>10 december 2020</w:t>
      </w:r>
    </w:p>
    <w:p w:rsidR="003B25B0" w:rsidRDefault="00E02EC0">
      <w:pPr>
        <w:rPr>
          <w:sz w:val="32"/>
          <w:szCs w:val="32"/>
        </w:rPr>
      </w:pPr>
      <w:r>
        <w:rPr>
          <w:sz w:val="32"/>
          <w:szCs w:val="32"/>
        </w:rPr>
        <w:t xml:space="preserve">Onderwerp: </w:t>
      </w:r>
      <w:r w:rsidR="003B25B0">
        <w:rPr>
          <w:sz w:val="32"/>
          <w:szCs w:val="32"/>
        </w:rPr>
        <w:t>Gevolgen van het (dis)functioneren van de rechtsstaat in enkele EU-lidstaten voor de rechtspraktijk in Nederland.</w:t>
      </w:r>
    </w:p>
    <w:p w:rsidR="003B25B0" w:rsidRDefault="003B25B0">
      <w:pPr>
        <w:rPr>
          <w:sz w:val="32"/>
          <w:szCs w:val="32"/>
        </w:rPr>
      </w:pPr>
    </w:p>
    <w:p w:rsidRPr="00A16E81" w:rsidR="003B25B0" w:rsidRDefault="003B25B0">
      <w:pPr>
        <w:rPr>
          <w:sz w:val="32"/>
          <w:szCs w:val="32"/>
          <w:lang w:val="en-US"/>
        </w:rPr>
      </w:pPr>
      <w:r w:rsidRPr="00A16E81">
        <w:rPr>
          <w:sz w:val="32"/>
          <w:szCs w:val="32"/>
          <w:lang w:val="en-US"/>
        </w:rPr>
        <w:t>Kees Sterk</w:t>
      </w:r>
    </w:p>
    <w:p w:rsidRPr="006B0459" w:rsidR="008D6309" w:rsidRDefault="00A36C34">
      <w:pPr>
        <w:rPr>
          <w:sz w:val="32"/>
          <w:szCs w:val="32"/>
          <w:lang w:val="en-US"/>
        </w:rPr>
      </w:pPr>
      <w:r w:rsidRPr="006B0459">
        <w:rPr>
          <w:sz w:val="32"/>
          <w:szCs w:val="32"/>
          <w:lang w:val="en-US"/>
        </w:rPr>
        <w:t xml:space="preserve">Senior </w:t>
      </w:r>
      <w:proofErr w:type="spellStart"/>
      <w:r w:rsidR="00E02EC0">
        <w:rPr>
          <w:sz w:val="32"/>
          <w:szCs w:val="32"/>
          <w:lang w:val="en-US"/>
        </w:rPr>
        <w:t>r</w:t>
      </w:r>
      <w:r w:rsidRPr="006B0459" w:rsidR="003B25B0">
        <w:rPr>
          <w:sz w:val="32"/>
          <w:szCs w:val="32"/>
          <w:lang w:val="en-US"/>
        </w:rPr>
        <w:t>echter</w:t>
      </w:r>
      <w:proofErr w:type="spellEnd"/>
      <w:r w:rsidRPr="006B0459">
        <w:rPr>
          <w:sz w:val="32"/>
          <w:szCs w:val="32"/>
          <w:lang w:val="en-US"/>
        </w:rPr>
        <w:t xml:space="preserve"> A</w:t>
      </w:r>
      <w:r w:rsidRPr="006B0459" w:rsidR="008D6309">
        <w:rPr>
          <w:sz w:val="32"/>
          <w:szCs w:val="32"/>
          <w:lang w:val="en-US"/>
        </w:rPr>
        <w:t xml:space="preserve">, </w:t>
      </w:r>
      <w:proofErr w:type="spellStart"/>
      <w:r w:rsidRPr="006B0459">
        <w:rPr>
          <w:sz w:val="32"/>
          <w:szCs w:val="32"/>
          <w:lang w:val="en-US"/>
        </w:rPr>
        <w:t>rechtbank</w:t>
      </w:r>
      <w:proofErr w:type="spellEnd"/>
      <w:r w:rsidRPr="006B0459">
        <w:rPr>
          <w:sz w:val="32"/>
          <w:szCs w:val="32"/>
          <w:lang w:val="en-US"/>
        </w:rPr>
        <w:t xml:space="preserve"> Z</w:t>
      </w:r>
      <w:r w:rsidRPr="006B0459" w:rsidR="00D9001A">
        <w:rPr>
          <w:sz w:val="32"/>
          <w:szCs w:val="32"/>
          <w:lang w:val="en-US"/>
        </w:rPr>
        <w:t>eeland West-Brabant</w:t>
      </w:r>
    </w:p>
    <w:p w:rsidR="003B25B0" w:rsidRDefault="003B25B0">
      <w:pPr>
        <w:rPr>
          <w:sz w:val="32"/>
          <w:szCs w:val="32"/>
        </w:rPr>
      </w:pPr>
      <w:r>
        <w:rPr>
          <w:sz w:val="32"/>
          <w:szCs w:val="32"/>
        </w:rPr>
        <w:t xml:space="preserve">Bijzonder hoogleraar Administration of European Justice, </w:t>
      </w:r>
    </w:p>
    <w:p w:rsidR="00A22DC7" w:rsidRDefault="00A22DC7">
      <w:pPr>
        <w:rPr>
          <w:sz w:val="32"/>
          <w:szCs w:val="32"/>
        </w:rPr>
      </w:pPr>
      <w:r>
        <w:rPr>
          <w:sz w:val="32"/>
          <w:szCs w:val="32"/>
        </w:rPr>
        <w:t>Universiteit Maastricht</w:t>
      </w:r>
    </w:p>
    <w:p w:rsidRPr="008D6309" w:rsidR="00E02EC0" w:rsidP="00E02EC0" w:rsidRDefault="00E02EC0">
      <w:pPr>
        <w:rPr>
          <w:sz w:val="32"/>
          <w:szCs w:val="32"/>
          <w:lang w:val="en-US"/>
        </w:rPr>
      </w:pPr>
      <w:r>
        <w:rPr>
          <w:sz w:val="32"/>
          <w:szCs w:val="32"/>
          <w:lang w:val="en-US"/>
        </w:rPr>
        <w:t xml:space="preserve">Oud </w:t>
      </w:r>
      <w:r w:rsidRPr="008D6309">
        <w:rPr>
          <w:sz w:val="32"/>
          <w:szCs w:val="32"/>
          <w:lang w:val="en-US"/>
        </w:rPr>
        <w:t xml:space="preserve">president </w:t>
      </w:r>
      <w:r>
        <w:rPr>
          <w:sz w:val="32"/>
          <w:szCs w:val="32"/>
          <w:lang w:val="en-US"/>
        </w:rPr>
        <w:t xml:space="preserve">van het </w:t>
      </w:r>
      <w:r w:rsidRPr="008D6309">
        <w:rPr>
          <w:sz w:val="32"/>
          <w:szCs w:val="32"/>
          <w:lang w:val="en-US"/>
        </w:rPr>
        <w:t>European Network of Councils</w:t>
      </w:r>
      <w:r>
        <w:rPr>
          <w:sz w:val="32"/>
          <w:szCs w:val="32"/>
          <w:lang w:val="en-US"/>
        </w:rPr>
        <w:t xml:space="preserve"> for the Judiciary</w:t>
      </w:r>
    </w:p>
    <w:p w:rsidRPr="00E02EC0" w:rsidR="003B25B0" w:rsidRDefault="003B25B0">
      <w:pPr>
        <w:rPr>
          <w:sz w:val="32"/>
          <w:szCs w:val="32"/>
          <w:lang w:val="en-US"/>
        </w:rPr>
      </w:pPr>
    </w:p>
    <w:p w:rsidRPr="00E02EC0" w:rsidR="00256E87" w:rsidRDefault="00256E87">
      <w:pPr>
        <w:rPr>
          <w:sz w:val="32"/>
          <w:szCs w:val="32"/>
          <w:lang w:val="en-US"/>
        </w:rPr>
      </w:pPr>
    </w:p>
    <w:p w:rsidR="003B25B0" w:rsidRDefault="003B25B0">
      <w:pPr>
        <w:rPr>
          <w:sz w:val="32"/>
          <w:szCs w:val="32"/>
        </w:rPr>
      </w:pPr>
      <w:r>
        <w:rPr>
          <w:sz w:val="32"/>
          <w:szCs w:val="32"/>
        </w:rPr>
        <w:t xml:space="preserve">Geachte leden van de Vaste Kamercommissie </w:t>
      </w:r>
      <w:r w:rsidR="00E02EC0">
        <w:rPr>
          <w:sz w:val="32"/>
          <w:szCs w:val="32"/>
        </w:rPr>
        <w:t>voor Justitie en Veiligheid</w:t>
      </w:r>
      <w:r>
        <w:rPr>
          <w:sz w:val="32"/>
          <w:szCs w:val="32"/>
        </w:rPr>
        <w:t>,</w:t>
      </w:r>
    </w:p>
    <w:p w:rsidR="003B25B0" w:rsidRDefault="003B25B0">
      <w:pPr>
        <w:rPr>
          <w:sz w:val="32"/>
          <w:szCs w:val="32"/>
        </w:rPr>
      </w:pPr>
    </w:p>
    <w:p w:rsidR="003B25B0" w:rsidRDefault="003B25B0">
      <w:pPr>
        <w:rPr>
          <w:sz w:val="32"/>
          <w:szCs w:val="32"/>
        </w:rPr>
      </w:pPr>
      <w:r>
        <w:rPr>
          <w:sz w:val="32"/>
          <w:szCs w:val="32"/>
        </w:rPr>
        <w:t xml:space="preserve">Allereerst wil ik </w:t>
      </w:r>
      <w:r w:rsidR="00A36C34">
        <w:rPr>
          <w:sz w:val="32"/>
          <w:szCs w:val="32"/>
        </w:rPr>
        <w:t xml:space="preserve">U </w:t>
      </w:r>
      <w:r>
        <w:rPr>
          <w:sz w:val="32"/>
          <w:szCs w:val="32"/>
        </w:rPr>
        <w:t xml:space="preserve">danken voor </w:t>
      </w:r>
      <w:r w:rsidR="00A16E81">
        <w:rPr>
          <w:sz w:val="32"/>
          <w:szCs w:val="32"/>
        </w:rPr>
        <w:t>het organiseren van een Ronde Tafel over dit belangrijke thema</w:t>
      </w:r>
      <w:r w:rsidR="006B0459">
        <w:rPr>
          <w:sz w:val="32"/>
          <w:szCs w:val="32"/>
        </w:rPr>
        <w:t>.</w:t>
      </w:r>
      <w:r w:rsidR="00A16E81">
        <w:rPr>
          <w:sz w:val="32"/>
          <w:szCs w:val="32"/>
        </w:rPr>
        <w:t xml:space="preserve"> De rechtsstaat is </w:t>
      </w:r>
      <w:r w:rsidR="006B0459">
        <w:rPr>
          <w:sz w:val="32"/>
          <w:szCs w:val="32"/>
        </w:rPr>
        <w:t xml:space="preserve">namelijk </w:t>
      </w:r>
      <w:r w:rsidR="00A16E81">
        <w:rPr>
          <w:sz w:val="32"/>
          <w:szCs w:val="32"/>
        </w:rPr>
        <w:t xml:space="preserve">essentieel voor het voortbestaan van </w:t>
      </w:r>
      <w:r w:rsidR="003F01DE">
        <w:rPr>
          <w:sz w:val="32"/>
          <w:szCs w:val="32"/>
        </w:rPr>
        <w:t xml:space="preserve">de </w:t>
      </w:r>
      <w:r w:rsidR="00A16E81">
        <w:rPr>
          <w:sz w:val="32"/>
          <w:szCs w:val="32"/>
        </w:rPr>
        <w:t xml:space="preserve">Unie. Voorts wil ik </w:t>
      </w:r>
      <w:r w:rsidR="00E02EC0">
        <w:rPr>
          <w:sz w:val="32"/>
          <w:szCs w:val="32"/>
        </w:rPr>
        <w:t xml:space="preserve">U </w:t>
      </w:r>
      <w:r w:rsidR="00A16E81">
        <w:rPr>
          <w:sz w:val="32"/>
          <w:szCs w:val="32"/>
        </w:rPr>
        <w:t xml:space="preserve">dank zeggen voor </w:t>
      </w:r>
      <w:r>
        <w:rPr>
          <w:sz w:val="32"/>
          <w:szCs w:val="32"/>
        </w:rPr>
        <w:t xml:space="preserve">de uitnodiging vandaag te mogen spreken </w:t>
      </w:r>
      <w:r w:rsidR="00A16E81">
        <w:rPr>
          <w:sz w:val="32"/>
          <w:szCs w:val="32"/>
        </w:rPr>
        <w:t xml:space="preserve">en vragen te </w:t>
      </w:r>
      <w:r w:rsidR="00A36C34">
        <w:rPr>
          <w:sz w:val="32"/>
          <w:szCs w:val="32"/>
        </w:rPr>
        <w:t xml:space="preserve">mogen </w:t>
      </w:r>
      <w:r w:rsidR="00A16E81">
        <w:rPr>
          <w:sz w:val="32"/>
          <w:szCs w:val="32"/>
        </w:rPr>
        <w:t>beantwoorden</w:t>
      </w:r>
      <w:r>
        <w:rPr>
          <w:sz w:val="32"/>
          <w:szCs w:val="32"/>
        </w:rPr>
        <w:t>.</w:t>
      </w:r>
    </w:p>
    <w:p w:rsidR="003B25B0" w:rsidRDefault="003B25B0">
      <w:pPr>
        <w:rPr>
          <w:sz w:val="32"/>
          <w:szCs w:val="32"/>
        </w:rPr>
      </w:pPr>
    </w:p>
    <w:p w:rsidR="003B25B0" w:rsidRDefault="003B25B0">
      <w:pPr>
        <w:rPr>
          <w:sz w:val="32"/>
          <w:szCs w:val="32"/>
        </w:rPr>
      </w:pPr>
      <w:r>
        <w:rPr>
          <w:sz w:val="32"/>
          <w:szCs w:val="32"/>
        </w:rPr>
        <w:t xml:space="preserve">Ik zou graag een paar korte punten onder </w:t>
      </w:r>
      <w:r w:rsidR="00E02EC0">
        <w:rPr>
          <w:sz w:val="32"/>
          <w:szCs w:val="32"/>
        </w:rPr>
        <w:t>U</w:t>
      </w:r>
      <w:r>
        <w:rPr>
          <w:sz w:val="32"/>
          <w:szCs w:val="32"/>
        </w:rPr>
        <w:t>w aandacht willen brengen.</w:t>
      </w:r>
    </w:p>
    <w:p w:rsidR="003B25B0" w:rsidRDefault="003B25B0">
      <w:pPr>
        <w:rPr>
          <w:sz w:val="32"/>
          <w:szCs w:val="32"/>
        </w:rPr>
      </w:pPr>
    </w:p>
    <w:p w:rsidRPr="00CC407B" w:rsidR="00145AC3" w:rsidP="00CC407B" w:rsidRDefault="00145AC3">
      <w:pPr>
        <w:pStyle w:val="Lijstalinea"/>
        <w:numPr>
          <w:ilvl w:val="0"/>
          <w:numId w:val="3"/>
        </w:numPr>
        <w:rPr>
          <w:sz w:val="32"/>
          <w:szCs w:val="32"/>
        </w:rPr>
      </w:pPr>
      <w:r w:rsidRPr="00CC407B">
        <w:rPr>
          <w:sz w:val="32"/>
          <w:szCs w:val="32"/>
        </w:rPr>
        <w:t>Wederzijds vertrouwen is de kern van de Unie</w:t>
      </w:r>
    </w:p>
    <w:p w:rsidR="00CC407B" w:rsidP="00145AC3" w:rsidRDefault="00CC407B">
      <w:pPr>
        <w:rPr>
          <w:sz w:val="32"/>
          <w:szCs w:val="32"/>
        </w:rPr>
      </w:pPr>
    </w:p>
    <w:p w:rsidR="003B25B0" w:rsidP="00145AC3" w:rsidRDefault="003B25B0">
      <w:pPr>
        <w:rPr>
          <w:sz w:val="32"/>
          <w:szCs w:val="32"/>
        </w:rPr>
      </w:pPr>
      <w:r w:rsidRPr="00145AC3">
        <w:rPr>
          <w:sz w:val="32"/>
          <w:szCs w:val="32"/>
        </w:rPr>
        <w:t xml:space="preserve">De Europese Unie is gebaseerd op wederzijds vertrouwen van de lidstaten dat zij de </w:t>
      </w:r>
      <w:r w:rsidRPr="00145AC3" w:rsidR="00145AC3">
        <w:rPr>
          <w:sz w:val="32"/>
          <w:szCs w:val="32"/>
        </w:rPr>
        <w:t>verdrags</w:t>
      </w:r>
      <w:r w:rsidRPr="00145AC3">
        <w:rPr>
          <w:sz w:val="32"/>
          <w:szCs w:val="32"/>
        </w:rPr>
        <w:t>verp</w:t>
      </w:r>
      <w:r w:rsidRPr="00145AC3" w:rsidR="00145AC3">
        <w:rPr>
          <w:sz w:val="32"/>
          <w:szCs w:val="32"/>
        </w:rPr>
        <w:t>l</w:t>
      </w:r>
      <w:r w:rsidRPr="00145AC3">
        <w:rPr>
          <w:sz w:val="32"/>
          <w:szCs w:val="32"/>
        </w:rPr>
        <w:t>ichtingen loyaal uitvoeren</w:t>
      </w:r>
      <w:r w:rsidRPr="00145AC3" w:rsidR="00145AC3">
        <w:rPr>
          <w:sz w:val="32"/>
          <w:szCs w:val="32"/>
        </w:rPr>
        <w:t>. Het gaat in het kader van het (dis)functioneren van de rechtsstaat dan vooral om de verplichting het Unierecht uniform toe te passen voor alle burgers en bedrijven in de U</w:t>
      </w:r>
      <w:r w:rsidR="00FD4C23">
        <w:rPr>
          <w:sz w:val="32"/>
          <w:szCs w:val="32"/>
        </w:rPr>
        <w:t>nie</w:t>
      </w:r>
      <w:r w:rsidRPr="00145AC3" w:rsidR="00145AC3">
        <w:rPr>
          <w:sz w:val="32"/>
          <w:szCs w:val="32"/>
        </w:rPr>
        <w:t xml:space="preserve">, en de verplichting een onafhankelijke </w:t>
      </w:r>
      <w:r w:rsidR="00A36C34">
        <w:rPr>
          <w:sz w:val="32"/>
          <w:szCs w:val="32"/>
        </w:rPr>
        <w:t xml:space="preserve">nationale </w:t>
      </w:r>
      <w:r w:rsidRPr="00145AC3" w:rsidR="00145AC3">
        <w:rPr>
          <w:sz w:val="32"/>
          <w:szCs w:val="32"/>
        </w:rPr>
        <w:t xml:space="preserve">rechtsspraak te hebben als noodzakelijke voorwaarde om het Unierecht uniform toe te passen.  </w:t>
      </w:r>
    </w:p>
    <w:p w:rsidR="00145AC3" w:rsidP="00145AC3" w:rsidRDefault="00145AC3">
      <w:pPr>
        <w:rPr>
          <w:sz w:val="32"/>
          <w:szCs w:val="32"/>
        </w:rPr>
      </w:pPr>
    </w:p>
    <w:p w:rsidR="00FC5F62" w:rsidP="00FC5F62" w:rsidRDefault="00145AC3">
      <w:pPr>
        <w:rPr>
          <w:sz w:val="32"/>
          <w:szCs w:val="32"/>
        </w:rPr>
      </w:pPr>
      <w:r>
        <w:rPr>
          <w:sz w:val="32"/>
          <w:szCs w:val="32"/>
        </w:rPr>
        <w:t xml:space="preserve">Beide verplichtingen zijn verdragsverplichtingen waaraan een lidstaat zich niet eenzijdig kan onttrekken: cherry picking is niet mogelijk. </w:t>
      </w:r>
      <w:r w:rsidR="00A16E81">
        <w:rPr>
          <w:sz w:val="32"/>
          <w:szCs w:val="32"/>
        </w:rPr>
        <w:t xml:space="preserve">Toch onttrekken </w:t>
      </w:r>
      <w:r w:rsidR="00E80FD5">
        <w:rPr>
          <w:sz w:val="32"/>
          <w:szCs w:val="32"/>
        </w:rPr>
        <w:t xml:space="preserve">Polen </w:t>
      </w:r>
      <w:r w:rsidR="00256E87">
        <w:rPr>
          <w:sz w:val="32"/>
          <w:szCs w:val="32"/>
        </w:rPr>
        <w:t xml:space="preserve">en Hongarije </w:t>
      </w:r>
      <w:r w:rsidR="00E80FD5">
        <w:rPr>
          <w:sz w:val="32"/>
          <w:szCs w:val="32"/>
        </w:rPr>
        <w:t xml:space="preserve">zich </w:t>
      </w:r>
      <w:r w:rsidR="00A16E81">
        <w:rPr>
          <w:sz w:val="32"/>
          <w:szCs w:val="32"/>
        </w:rPr>
        <w:t xml:space="preserve">steeds meer </w:t>
      </w:r>
      <w:r w:rsidR="00E80FD5">
        <w:rPr>
          <w:sz w:val="32"/>
          <w:szCs w:val="32"/>
        </w:rPr>
        <w:t>eenzijdig aan de</w:t>
      </w:r>
      <w:r w:rsidR="00FC5F62">
        <w:rPr>
          <w:sz w:val="32"/>
          <w:szCs w:val="32"/>
        </w:rPr>
        <w:t>ze verplichtingen</w:t>
      </w:r>
      <w:r w:rsidR="00A16E81">
        <w:rPr>
          <w:sz w:val="32"/>
          <w:szCs w:val="32"/>
        </w:rPr>
        <w:t xml:space="preserve"> met een beroep op </w:t>
      </w:r>
      <w:r w:rsidR="003F01DE">
        <w:rPr>
          <w:sz w:val="32"/>
          <w:szCs w:val="32"/>
        </w:rPr>
        <w:t xml:space="preserve">hun </w:t>
      </w:r>
      <w:r w:rsidR="00A16E81">
        <w:rPr>
          <w:sz w:val="32"/>
          <w:szCs w:val="32"/>
        </w:rPr>
        <w:t>soevereiniteit:</w:t>
      </w:r>
    </w:p>
    <w:p w:rsidR="00FC5F62" w:rsidP="00FC5F62" w:rsidRDefault="00256E87">
      <w:pPr>
        <w:pStyle w:val="Lijstalinea"/>
        <w:numPr>
          <w:ilvl w:val="0"/>
          <w:numId w:val="5"/>
        </w:numPr>
        <w:rPr>
          <w:sz w:val="32"/>
          <w:szCs w:val="32"/>
        </w:rPr>
      </w:pPr>
      <w:r w:rsidRPr="00FC5F62">
        <w:rPr>
          <w:sz w:val="32"/>
          <w:szCs w:val="32"/>
        </w:rPr>
        <w:t>Door</w:t>
      </w:r>
      <w:r w:rsidRPr="00FC5F62" w:rsidR="00145AC3">
        <w:rPr>
          <w:sz w:val="32"/>
          <w:szCs w:val="32"/>
        </w:rPr>
        <w:t xml:space="preserve"> besluit</w:t>
      </w:r>
      <w:r w:rsidRPr="00FC5F62" w:rsidR="00FC5F62">
        <w:rPr>
          <w:sz w:val="32"/>
          <w:szCs w:val="32"/>
        </w:rPr>
        <w:t>en</w:t>
      </w:r>
      <w:r w:rsidRPr="00FC5F62" w:rsidR="00145AC3">
        <w:rPr>
          <w:sz w:val="32"/>
          <w:szCs w:val="32"/>
        </w:rPr>
        <w:t xml:space="preserve"> van </w:t>
      </w:r>
      <w:r w:rsidR="00E65BD7">
        <w:rPr>
          <w:sz w:val="32"/>
          <w:szCs w:val="32"/>
        </w:rPr>
        <w:t>hun</w:t>
      </w:r>
      <w:r w:rsidRPr="00FC5F62" w:rsidR="00145AC3">
        <w:rPr>
          <w:sz w:val="32"/>
          <w:szCs w:val="32"/>
        </w:rPr>
        <w:t xml:space="preserve"> regering</w:t>
      </w:r>
      <w:r w:rsidRPr="00FC5F62" w:rsidR="00FC5F62">
        <w:rPr>
          <w:sz w:val="32"/>
          <w:szCs w:val="32"/>
        </w:rPr>
        <w:t>en</w:t>
      </w:r>
      <w:r w:rsidRPr="00FC5F62" w:rsidR="00CC407B">
        <w:rPr>
          <w:sz w:val="32"/>
          <w:szCs w:val="32"/>
        </w:rPr>
        <w:t xml:space="preserve"> om bepaalde uitspraken van het </w:t>
      </w:r>
      <w:r w:rsidRPr="00FC5F62" w:rsidR="00FC5F62">
        <w:rPr>
          <w:sz w:val="32"/>
          <w:szCs w:val="32"/>
        </w:rPr>
        <w:t>H</w:t>
      </w:r>
      <w:r w:rsidRPr="00FC5F62" w:rsidR="00CC407B">
        <w:rPr>
          <w:sz w:val="32"/>
          <w:szCs w:val="32"/>
        </w:rPr>
        <w:t>of in Luxemburg niet uit te voeren</w:t>
      </w:r>
      <w:r w:rsidRPr="00FC5F62" w:rsidR="00FC5F62">
        <w:rPr>
          <w:sz w:val="32"/>
          <w:szCs w:val="32"/>
        </w:rPr>
        <w:t xml:space="preserve"> (</w:t>
      </w:r>
      <w:r w:rsidR="00E65BD7">
        <w:rPr>
          <w:sz w:val="32"/>
          <w:szCs w:val="32"/>
        </w:rPr>
        <w:t xml:space="preserve">Polen: </w:t>
      </w:r>
      <w:r w:rsidRPr="00FC5F62" w:rsidR="00FC5F62">
        <w:rPr>
          <w:sz w:val="32"/>
          <w:szCs w:val="32"/>
        </w:rPr>
        <w:t xml:space="preserve">verbod op werkzaamheden van de Tuchtkamer), </w:t>
      </w:r>
    </w:p>
    <w:p w:rsidR="00FC5F62" w:rsidP="00FC5F62" w:rsidRDefault="00256E87">
      <w:pPr>
        <w:pStyle w:val="Lijstalinea"/>
        <w:numPr>
          <w:ilvl w:val="0"/>
          <w:numId w:val="5"/>
        </w:numPr>
        <w:rPr>
          <w:sz w:val="32"/>
          <w:szCs w:val="32"/>
        </w:rPr>
      </w:pPr>
      <w:r w:rsidRPr="00FC5F62">
        <w:rPr>
          <w:sz w:val="32"/>
          <w:szCs w:val="32"/>
        </w:rPr>
        <w:t>Door</w:t>
      </w:r>
      <w:r w:rsidRPr="00FC5F62" w:rsidR="00145AC3">
        <w:rPr>
          <w:sz w:val="32"/>
          <w:szCs w:val="32"/>
        </w:rPr>
        <w:t xml:space="preserve"> wetgeving van </w:t>
      </w:r>
      <w:r w:rsidR="00E65BD7">
        <w:rPr>
          <w:sz w:val="32"/>
          <w:szCs w:val="32"/>
        </w:rPr>
        <w:t xml:space="preserve">hun </w:t>
      </w:r>
      <w:r w:rsidRPr="00FC5F62" w:rsidR="00145AC3">
        <w:rPr>
          <w:sz w:val="32"/>
          <w:szCs w:val="32"/>
        </w:rPr>
        <w:t>nationale parlementen</w:t>
      </w:r>
      <w:r w:rsidRPr="00FC5F62" w:rsidR="00FC5F62">
        <w:rPr>
          <w:sz w:val="32"/>
          <w:szCs w:val="32"/>
        </w:rPr>
        <w:t xml:space="preserve"> </w:t>
      </w:r>
      <w:r w:rsidR="00E65BD7">
        <w:rPr>
          <w:sz w:val="32"/>
          <w:szCs w:val="32"/>
        </w:rPr>
        <w:t xml:space="preserve">met betrekking tot de </w:t>
      </w:r>
      <w:r w:rsidR="00A36C34">
        <w:rPr>
          <w:sz w:val="32"/>
          <w:szCs w:val="32"/>
        </w:rPr>
        <w:t xml:space="preserve">onderwerping </w:t>
      </w:r>
      <w:r w:rsidRPr="00FC5F62" w:rsidR="00FC5F62">
        <w:rPr>
          <w:sz w:val="32"/>
          <w:szCs w:val="32"/>
        </w:rPr>
        <w:t xml:space="preserve">van de </w:t>
      </w:r>
      <w:r w:rsidR="00A36C34">
        <w:rPr>
          <w:sz w:val="32"/>
          <w:szCs w:val="32"/>
        </w:rPr>
        <w:t xml:space="preserve">nationale </w:t>
      </w:r>
      <w:r w:rsidRPr="00FC5F62" w:rsidR="00FC5F62">
        <w:rPr>
          <w:sz w:val="32"/>
          <w:szCs w:val="32"/>
        </w:rPr>
        <w:t xml:space="preserve">rechterlijke macht aan de regering, </w:t>
      </w:r>
    </w:p>
    <w:p w:rsidR="00FC5F62" w:rsidP="00FC5F62" w:rsidRDefault="00256E87">
      <w:pPr>
        <w:pStyle w:val="Lijstalinea"/>
        <w:numPr>
          <w:ilvl w:val="0"/>
          <w:numId w:val="5"/>
        </w:numPr>
        <w:rPr>
          <w:sz w:val="32"/>
          <w:szCs w:val="32"/>
        </w:rPr>
      </w:pPr>
      <w:r w:rsidRPr="00FC5F62">
        <w:rPr>
          <w:sz w:val="32"/>
          <w:szCs w:val="32"/>
        </w:rPr>
        <w:t>Door</w:t>
      </w:r>
      <w:r w:rsidRPr="00FC5F62" w:rsidR="00FC5F62">
        <w:rPr>
          <w:sz w:val="32"/>
          <w:szCs w:val="32"/>
        </w:rPr>
        <w:t xml:space="preserve"> Grondwetswijzigingen </w:t>
      </w:r>
      <w:r w:rsidRPr="00FC5F62" w:rsidR="00145AC3">
        <w:rPr>
          <w:sz w:val="32"/>
          <w:szCs w:val="32"/>
        </w:rPr>
        <w:t>(i</w:t>
      </w:r>
      <w:r w:rsidRPr="00FC5F62" w:rsidR="00FC5F62">
        <w:rPr>
          <w:sz w:val="32"/>
          <w:szCs w:val="32"/>
        </w:rPr>
        <w:t>dentiteits-clausule)</w:t>
      </w:r>
      <w:r w:rsidR="00FC5F62">
        <w:rPr>
          <w:sz w:val="32"/>
          <w:szCs w:val="32"/>
        </w:rPr>
        <w:t>,</w:t>
      </w:r>
    </w:p>
    <w:p w:rsidRPr="00FC5F62" w:rsidR="00FC5F62" w:rsidP="00FC5F62" w:rsidRDefault="00256E87">
      <w:pPr>
        <w:pStyle w:val="Lijstalinea"/>
        <w:numPr>
          <w:ilvl w:val="0"/>
          <w:numId w:val="5"/>
        </w:numPr>
        <w:rPr>
          <w:sz w:val="32"/>
          <w:szCs w:val="32"/>
        </w:rPr>
      </w:pPr>
      <w:r w:rsidRPr="00FC5F62">
        <w:rPr>
          <w:sz w:val="32"/>
          <w:szCs w:val="32"/>
        </w:rPr>
        <w:t>Door</w:t>
      </w:r>
      <w:r w:rsidRPr="00FC5F62" w:rsidR="00FC5F62">
        <w:rPr>
          <w:sz w:val="32"/>
          <w:szCs w:val="32"/>
        </w:rPr>
        <w:t xml:space="preserve"> uitspraken van </w:t>
      </w:r>
      <w:r w:rsidRPr="00FC5F62" w:rsidR="0050182A">
        <w:rPr>
          <w:sz w:val="32"/>
          <w:szCs w:val="32"/>
        </w:rPr>
        <w:t xml:space="preserve">nationale Hoogste Gerechten </w:t>
      </w:r>
      <w:r w:rsidRPr="00FC5F62" w:rsidR="00FC5F62">
        <w:rPr>
          <w:sz w:val="32"/>
          <w:szCs w:val="32"/>
        </w:rPr>
        <w:t>(</w:t>
      </w:r>
      <w:r w:rsidR="00E65BD7">
        <w:rPr>
          <w:sz w:val="32"/>
          <w:szCs w:val="32"/>
        </w:rPr>
        <w:t xml:space="preserve">Polen: </w:t>
      </w:r>
      <w:r w:rsidRPr="00FC5F62" w:rsidR="00FC5F62">
        <w:rPr>
          <w:sz w:val="32"/>
          <w:szCs w:val="32"/>
        </w:rPr>
        <w:t xml:space="preserve">Constitutioneel Hof  </w:t>
      </w:r>
      <w:r w:rsidR="00A16E81">
        <w:rPr>
          <w:sz w:val="32"/>
          <w:szCs w:val="32"/>
        </w:rPr>
        <w:t>‘</w:t>
      </w:r>
      <w:r w:rsidRPr="00FC5F62" w:rsidR="00FC5F62">
        <w:rPr>
          <w:sz w:val="32"/>
          <w:szCs w:val="32"/>
        </w:rPr>
        <w:t>vernietigt</w:t>
      </w:r>
      <w:r w:rsidR="00A16E81">
        <w:rPr>
          <w:sz w:val="32"/>
          <w:szCs w:val="32"/>
        </w:rPr>
        <w:t>’</w:t>
      </w:r>
      <w:r w:rsidRPr="00FC5F62" w:rsidR="00FC5F62">
        <w:rPr>
          <w:sz w:val="32"/>
          <w:szCs w:val="32"/>
        </w:rPr>
        <w:t xml:space="preserve"> de uitspraak van het Hof in Luxemburg over de Tuchtkamer) </w:t>
      </w:r>
    </w:p>
    <w:p w:rsidR="00FC5F62" w:rsidP="00FC5F62" w:rsidRDefault="00FC5F62">
      <w:pPr>
        <w:rPr>
          <w:sz w:val="32"/>
          <w:szCs w:val="32"/>
        </w:rPr>
      </w:pPr>
    </w:p>
    <w:p w:rsidRPr="00FC5F62" w:rsidR="00CC407B" w:rsidP="00FC5F62" w:rsidRDefault="00CC407B">
      <w:pPr>
        <w:pStyle w:val="Lijstalinea"/>
        <w:numPr>
          <w:ilvl w:val="0"/>
          <w:numId w:val="3"/>
        </w:numPr>
        <w:rPr>
          <w:sz w:val="32"/>
          <w:szCs w:val="32"/>
        </w:rPr>
      </w:pPr>
      <w:r w:rsidRPr="00FC5F62">
        <w:rPr>
          <w:sz w:val="32"/>
          <w:szCs w:val="32"/>
        </w:rPr>
        <w:t>Onafhankelijke rechtspraak is een rechts</w:t>
      </w:r>
      <w:r w:rsidRPr="00FC5F62" w:rsidR="00E80FD5">
        <w:rPr>
          <w:sz w:val="32"/>
          <w:szCs w:val="32"/>
        </w:rPr>
        <w:t>concept</w:t>
      </w:r>
      <w:r w:rsidRPr="00FC5F62">
        <w:rPr>
          <w:sz w:val="32"/>
          <w:szCs w:val="32"/>
        </w:rPr>
        <w:t xml:space="preserve">, geen politiek </w:t>
      </w:r>
      <w:r w:rsidRPr="00FC5F62" w:rsidR="00E80FD5">
        <w:rPr>
          <w:sz w:val="32"/>
          <w:szCs w:val="32"/>
        </w:rPr>
        <w:t>concept</w:t>
      </w:r>
      <w:r w:rsidR="00256E87">
        <w:rPr>
          <w:sz w:val="32"/>
          <w:szCs w:val="32"/>
        </w:rPr>
        <w:t xml:space="preserve">: </w:t>
      </w:r>
      <w:r w:rsidR="00B92237">
        <w:rPr>
          <w:sz w:val="32"/>
          <w:szCs w:val="32"/>
        </w:rPr>
        <w:t>e</w:t>
      </w:r>
      <w:r w:rsidR="002F4FEF">
        <w:rPr>
          <w:sz w:val="32"/>
          <w:szCs w:val="32"/>
        </w:rPr>
        <w:t>r valt niet over te onderhandelen</w:t>
      </w:r>
      <w:r w:rsidR="00B92237">
        <w:rPr>
          <w:sz w:val="32"/>
          <w:szCs w:val="32"/>
        </w:rPr>
        <w:t>.</w:t>
      </w:r>
    </w:p>
    <w:p w:rsidR="00CC407B" w:rsidP="00CC407B" w:rsidRDefault="00CC407B">
      <w:pPr>
        <w:rPr>
          <w:sz w:val="32"/>
          <w:szCs w:val="32"/>
        </w:rPr>
      </w:pPr>
    </w:p>
    <w:p w:rsidR="00CC407B" w:rsidP="00CC407B" w:rsidRDefault="00CC407B">
      <w:pPr>
        <w:rPr>
          <w:sz w:val="32"/>
          <w:szCs w:val="32"/>
        </w:rPr>
      </w:pPr>
      <w:r>
        <w:rPr>
          <w:sz w:val="32"/>
          <w:szCs w:val="32"/>
        </w:rPr>
        <w:t>De Poolse en Hongaarse regeringen</w:t>
      </w:r>
      <w:r w:rsidR="00A16E81">
        <w:rPr>
          <w:sz w:val="32"/>
          <w:szCs w:val="32"/>
        </w:rPr>
        <w:t xml:space="preserve"> </w:t>
      </w:r>
      <w:r>
        <w:rPr>
          <w:sz w:val="32"/>
          <w:szCs w:val="32"/>
        </w:rPr>
        <w:t xml:space="preserve">stellen zich </w:t>
      </w:r>
      <w:r w:rsidR="00A16E81">
        <w:rPr>
          <w:sz w:val="32"/>
          <w:szCs w:val="32"/>
        </w:rPr>
        <w:t xml:space="preserve">al langere tijd </w:t>
      </w:r>
      <w:r>
        <w:rPr>
          <w:sz w:val="32"/>
          <w:szCs w:val="32"/>
        </w:rPr>
        <w:t xml:space="preserve">op het standpunt dat </w:t>
      </w:r>
      <w:r w:rsidR="00256E87">
        <w:rPr>
          <w:sz w:val="32"/>
          <w:szCs w:val="32"/>
        </w:rPr>
        <w:t xml:space="preserve">de </w:t>
      </w:r>
      <w:proofErr w:type="spellStart"/>
      <w:r w:rsidR="00256E87">
        <w:rPr>
          <w:sz w:val="32"/>
          <w:szCs w:val="32"/>
        </w:rPr>
        <w:t>Rule</w:t>
      </w:r>
      <w:proofErr w:type="spellEnd"/>
      <w:r w:rsidR="00256E87">
        <w:rPr>
          <w:sz w:val="32"/>
          <w:szCs w:val="32"/>
        </w:rPr>
        <w:t xml:space="preserve"> of </w:t>
      </w:r>
      <w:proofErr w:type="spellStart"/>
      <w:r w:rsidR="00256E87">
        <w:rPr>
          <w:sz w:val="32"/>
          <w:szCs w:val="32"/>
        </w:rPr>
        <w:t>Law</w:t>
      </w:r>
      <w:proofErr w:type="spellEnd"/>
      <w:r w:rsidR="00A16E81">
        <w:rPr>
          <w:sz w:val="32"/>
          <w:szCs w:val="32"/>
        </w:rPr>
        <w:t xml:space="preserve"> (rechtsstaat)</w:t>
      </w:r>
      <w:r w:rsidR="00256E87">
        <w:rPr>
          <w:sz w:val="32"/>
          <w:szCs w:val="32"/>
        </w:rPr>
        <w:t xml:space="preserve">, waaronder </w:t>
      </w:r>
      <w:r>
        <w:rPr>
          <w:sz w:val="32"/>
          <w:szCs w:val="32"/>
        </w:rPr>
        <w:t>‘onafhankelijke rechtspraak’</w:t>
      </w:r>
      <w:r w:rsidR="00256E87">
        <w:rPr>
          <w:sz w:val="32"/>
          <w:szCs w:val="32"/>
        </w:rPr>
        <w:t>,</w:t>
      </w:r>
      <w:r>
        <w:rPr>
          <w:sz w:val="32"/>
          <w:szCs w:val="32"/>
        </w:rPr>
        <w:t xml:space="preserve"> een vaag en arbitrair begrip is: het is een soort toverstokje waar je alles uit kunt laten komen</w:t>
      </w:r>
      <w:r w:rsidR="002A5A45">
        <w:rPr>
          <w:rStyle w:val="Voetnootmarkering"/>
          <w:sz w:val="32"/>
          <w:szCs w:val="32"/>
        </w:rPr>
        <w:footnoteReference w:id="1"/>
      </w:r>
      <w:r w:rsidR="002F4FEF">
        <w:rPr>
          <w:sz w:val="32"/>
          <w:szCs w:val="32"/>
        </w:rPr>
        <w:t xml:space="preserve">. </w:t>
      </w:r>
      <w:r w:rsidR="00A16E81">
        <w:rPr>
          <w:sz w:val="32"/>
          <w:szCs w:val="32"/>
        </w:rPr>
        <w:t xml:space="preserve">Zie bijvoorbeeld </w:t>
      </w:r>
      <w:r w:rsidR="00A16E81">
        <w:rPr>
          <w:sz w:val="32"/>
          <w:szCs w:val="32"/>
        </w:rPr>
        <w:t xml:space="preserve">de Joint </w:t>
      </w:r>
      <w:proofErr w:type="spellStart"/>
      <w:r w:rsidR="00A16E81">
        <w:rPr>
          <w:sz w:val="32"/>
          <w:szCs w:val="32"/>
        </w:rPr>
        <w:t>Declaration</w:t>
      </w:r>
      <w:proofErr w:type="spellEnd"/>
      <w:r w:rsidR="00A16E81">
        <w:rPr>
          <w:sz w:val="32"/>
          <w:szCs w:val="32"/>
        </w:rPr>
        <w:t xml:space="preserve"> van hun beider Eerste Ministers van 26 november 2020</w:t>
      </w:r>
      <w:r w:rsidR="00A16E81">
        <w:rPr>
          <w:sz w:val="32"/>
          <w:szCs w:val="32"/>
        </w:rPr>
        <w:t xml:space="preserve">. </w:t>
      </w:r>
      <w:r w:rsidR="00E80FD5">
        <w:rPr>
          <w:sz w:val="32"/>
          <w:szCs w:val="32"/>
        </w:rPr>
        <w:t xml:space="preserve">Daarom, zo voeren ze aan, is het een politiek begrip en geen rechtsbegrip. </w:t>
      </w:r>
      <w:r>
        <w:rPr>
          <w:sz w:val="32"/>
          <w:szCs w:val="32"/>
        </w:rPr>
        <w:t xml:space="preserve"> </w:t>
      </w:r>
      <w:r w:rsidR="008364DD">
        <w:rPr>
          <w:sz w:val="32"/>
          <w:szCs w:val="32"/>
        </w:rPr>
        <w:t xml:space="preserve">Dat betekent in hun ogen </w:t>
      </w:r>
      <w:r w:rsidR="00EF479F">
        <w:rPr>
          <w:sz w:val="32"/>
          <w:szCs w:val="32"/>
        </w:rPr>
        <w:t xml:space="preserve">dat </w:t>
      </w:r>
      <w:r w:rsidR="00A36C34">
        <w:rPr>
          <w:sz w:val="32"/>
          <w:szCs w:val="32"/>
        </w:rPr>
        <w:t xml:space="preserve">alleen </w:t>
      </w:r>
      <w:r w:rsidR="008364DD">
        <w:rPr>
          <w:sz w:val="32"/>
          <w:szCs w:val="32"/>
        </w:rPr>
        <w:t>de meerderheid van hun parlementen bepa</w:t>
      </w:r>
      <w:r w:rsidR="002F4FEF">
        <w:rPr>
          <w:sz w:val="32"/>
          <w:szCs w:val="32"/>
        </w:rPr>
        <w:t>alt</w:t>
      </w:r>
      <w:r w:rsidR="008364DD">
        <w:rPr>
          <w:sz w:val="32"/>
          <w:szCs w:val="32"/>
        </w:rPr>
        <w:t xml:space="preserve"> wat dit begrip </w:t>
      </w:r>
      <w:r w:rsidR="001239DB">
        <w:rPr>
          <w:sz w:val="32"/>
          <w:szCs w:val="32"/>
        </w:rPr>
        <w:t xml:space="preserve">voor hun landen </w:t>
      </w:r>
      <w:r w:rsidR="008364DD">
        <w:rPr>
          <w:sz w:val="32"/>
          <w:szCs w:val="32"/>
        </w:rPr>
        <w:t xml:space="preserve">inhoudt, en niet </w:t>
      </w:r>
      <w:r w:rsidR="003F01DE">
        <w:rPr>
          <w:sz w:val="32"/>
          <w:szCs w:val="32"/>
        </w:rPr>
        <w:t xml:space="preserve">OOK </w:t>
      </w:r>
      <w:r w:rsidR="008364DD">
        <w:rPr>
          <w:sz w:val="32"/>
          <w:szCs w:val="32"/>
        </w:rPr>
        <w:t>het U</w:t>
      </w:r>
      <w:r w:rsidR="006174C9">
        <w:rPr>
          <w:sz w:val="32"/>
          <w:szCs w:val="32"/>
        </w:rPr>
        <w:t>nie</w:t>
      </w:r>
      <w:r w:rsidR="008364DD">
        <w:rPr>
          <w:sz w:val="32"/>
          <w:szCs w:val="32"/>
        </w:rPr>
        <w:t>-recht.</w:t>
      </w:r>
    </w:p>
    <w:p w:rsidR="00E80FD5" w:rsidP="00CC407B" w:rsidRDefault="00E80FD5">
      <w:pPr>
        <w:rPr>
          <w:sz w:val="32"/>
          <w:szCs w:val="32"/>
        </w:rPr>
      </w:pPr>
    </w:p>
    <w:p w:rsidR="00E80FD5" w:rsidP="00CC407B" w:rsidRDefault="00E80FD5">
      <w:pPr>
        <w:rPr>
          <w:sz w:val="32"/>
          <w:szCs w:val="32"/>
        </w:rPr>
      </w:pPr>
      <w:r>
        <w:rPr>
          <w:sz w:val="32"/>
          <w:szCs w:val="32"/>
        </w:rPr>
        <w:t xml:space="preserve">Deze opvatting is onjuist. </w:t>
      </w:r>
      <w:r w:rsidR="001239DB">
        <w:rPr>
          <w:sz w:val="32"/>
          <w:szCs w:val="32"/>
        </w:rPr>
        <w:t xml:space="preserve">Op basis van de EU-verdragen </w:t>
      </w:r>
      <w:r w:rsidR="003F01DE">
        <w:rPr>
          <w:sz w:val="32"/>
          <w:szCs w:val="32"/>
        </w:rPr>
        <w:t xml:space="preserve">en </w:t>
      </w:r>
      <w:r w:rsidR="001239DB">
        <w:rPr>
          <w:sz w:val="32"/>
          <w:szCs w:val="32"/>
        </w:rPr>
        <w:t xml:space="preserve">het Europees Verdrag van de Rechten van de Mens, de rechtspraak van de Hoven in Luxemburg en Straatsburg, alsmede het werk van de </w:t>
      </w:r>
      <w:proofErr w:type="spellStart"/>
      <w:r w:rsidR="001239DB">
        <w:rPr>
          <w:sz w:val="32"/>
          <w:szCs w:val="32"/>
        </w:rPr>
        <w:t>Consultative</w:t>
      </w:r>
      <w:proofErr w:type="spellEnd"/>
      <w:r w:rsidR="001239DB">
        <w:rPr>
          <w:sz w:val="32"/>
          <w:szCs w:val="32"/>
        </w:rPr>
        <w:t xml:space="preserve"> Council of </w:t>
      </w:r>
      <w:proofErr w:type="spellStart"/>
      <w:r w:rsidR="001239DB">
        <w:rPr>
          <w:sz w:val="32"/>
          <w:szCs w:val="32"/>
        </w:rPr>
        <w:t>Judges</w:t>
      </w:r>
      <w:proofErr w:type="spellEnd"/>
      <w:r w:rsidR="001239DB">
        <w:rPr>
          <w:sz w:val="32"/>
          <w:szCs w:val="32"/>
        </w:rPr>
        <w:t xml:space="preserve">, de </w:t>
      </w:r>
      <w:proofErr w:type="spellStart"/>
      <w:r w:rsidR="001239DB">
        <w:rPr>
          <w:sz w:val="32"/>
          <w:szCs w:val="32"/>
        </w:rPr>
        <w:t>Venice</w:t>
      </w:r>
      <w:proofErr w:type="spellEnd"/>
      <w:r w:rsidR="001239DB">
        <w:rPr>
          <w:sz w:val="32"/>
          <w:szCs w:val="32"/>
        </w:rPr>
        <w:t xml:space="preserve"> </w:t>
      </w:r>
      <w:proofErr w:type="spellStart"/>
      <w:r w:rsidR="001239DB">
        <w:rPr>
          <w:sz w:val="32"/>
          <w:szCs w:val="32"/>
        </w:rPr>
        <w:t>Commission</w:t>
      </w:r>
      <w:proofErr w:type="spellEnd"/>
      <w:r w:rsidR="001239DB">
        <w:rPr>
          <w:sz w:val="32"/>
          <w:szCs w:val="32"/>
        </w:rPr>
        <w:t xml:space="preserve"> en het </w:t>
      </w:r>
      <w:r w:rsidR="001239DB">
        <w:rPr>
          <w:sz w:val="32"/>
          <w:szCs w:val="32"/>
        </w:rPr>
        <w:lastRenderedPageBreak/>
        <w:t xml:space="preserve">European Network of </w:t>
      </w:r>
      <w:proofErr w:type="spellStart"/>
      <w:r w:rsidR="001239DB">
        <w:rPr>
          <w:sz w:val="32"/>
          <w:szCs w:val="32"/>
        </w:rPr>
        <w:t>Councils</w:t>
      </w:r>
      <w:proofErr w:type="spellEnd"/>
      <w:r w:rsidR="001239DB">
        <w:rPr>
          <w:sz w:val="32"/>
          <w:szCs w:val="32"/>
        </w:rPr>
        <w:t xml:space="preserve"> </w:t>
      </w:r>
      <w:proofErr w:type="spellStart"/>
      <w:r w:rsidR="001239DB">
        <w:rPr>
          <w:sz w:val="32"/>
          <w:szCs w:val="32"/>
        </w:rPr>
        <w:t>for</w:t>
      </w:r>
      <w:proofErr w:type="spellEnd"/>
      <w:r w:rsidR="001239DB">
        <w:rPr>
          <w:sz w:val="32"/>
          <w:szCs w:val="32"/>
        </w:rPr>
        <w:t xml:space="preserve"> </w:t>
      </w:r>
      <w:proofErr w:type="spellStart"/>
      <w:r w:rsidR="001239DB">
        <w:rPr>
          <w:sz w:val="32"/>
          <w:szCs w:val="32"/>
        </w:rPr>
        <w:t>the</w:t>
      </w:r>
      <w:proofErr w:type="spellEnd"/>
      <w:r w:rsidR="001239DB">
        <w:rPr>
          <w:sz w:val="32"/>
          <w:szCs w:val="32"/>
        </w:rPr>
        <w:t xml:space="preserve"> </w:t>
      </w:r>
      <w:proofErr w:type="spellStart"/>
      <w:r w:rsidR="001239DB">
        <w:rPr>
          <w:sz w:val="32"/>
          <w:szCs w:val="32"/>
        </w:rPr>
        <w:t>Judiciary</w:t>
      </w:r>
      <w:proofErr w:type="spellEnd"/>
      <w:r w:rsidR="001239DB">
        <w:rPr>
          <w:sz w:val="32"/>
          <w:szCs w:val="32"/>
        </w:rPr>
        <w:t xml:space="preserve"> is er </w:t>
      </w:r>
      <w:r w:rsidR="006174C9">
        <w:rPr>
          <w:sz w:val="32"/>
          <w:szCs w:val="32"/>
        </w:rPr>
        <w:t xml:space="preserve">bijvoorbeeld </w:t>
      </w:r>
      <w:r w:rsidR="001239DB">
        <w:rPr>
          <w:sz w:val="32"/>
          <w:szCs w:val="32"/>
        </w:rPr>
        <w:t xml:space="preserve">geen enkele twijfel </w:t>
      </w:r>
      <w:r w:rsidR="00E65BD7">
        <w:rPr>
          <w:sz w:val="32"/>
          <w:szCs w:val="32"/>
        </w:rPr>
        <w:t xml:space="preserve">over </w:t>
      </w:r>
      <w:r w:rsidR="001239DB">
        <w:rPr>
          <w:sz w:val="32"/>
          <w:szCs w:val="32"/>
        </w:rPr>
        <w:t>dat h</w:t>
      </w:r>
      <w:r>
        <w:rPr>
          <w:sz w:val="32"/>
          <w:szCs w:val="32"/>
        </w:rPr>
        <w:t xml:space="preserve">et begrip ‘onafhankelijke rechtspraak’ een rechtsbegrip </w:t>
      </w:r>
      <w:r w:rsidR="001239DB">
        <w:rPr>
          <w:sz w:val="32"/>
          <w:szCs w:val="32"/>
        </w:rPr>
        <w:t xml:space="preserve">is </w:t>
      </w:r>
      <w:r>
        <w:rPr>
          <w:sz w:val="32"/>
          <w:szCs w:val="32"/>
        </w:rPr>
        <w:t>dat voldoende precies is</w:t>
      </w:r>
      <w:r w:rsidR="008364DD">
        <w:rPr>
          <w:sz w:val="32"/>
          <w:szCs w:val="32"/>
        </w:rPr>
        <w:t xml:space="preserve"> in het U</w:t>
      </w:r>
      <w:r w:rsidR="006174C9">
        <w:rPr>
          <w:sz w:val="32"/>
          <w:szCs w:val="32"/>
        </w:rPr>
        <w:t>nie</w:t>
      </w:r>
      <w:r w:rsidR="008364DD">
        <w:rPr>
          <w:sz w:val="32"/>
          <w:szCs w:val="32"/>
        </w:rPr>
        <w:t>-recht (waaronder het EVRM-recht)</w:t>
      </w:r>
      <w:r>
        <w:rPr>
          <w:sz w:val="32"/>
          <w:szCs w:val="32"/>
        </w:rPr>
        <w:t>. Het bestaat onder meer uit de volgende verplichtingen:</w:t>
      </w:r>
    </w:p>
    <w:p w:rsidR="00E80FD5" w:rsidP="00E80FD5" w:rsidRDefault="00E80FD5">
      <w:pPr>
        <w:pStyle w:val="Lijstalinea"/>
        <w:numPr>
          <w:ilvl w:val="0"/>
          <w:numId w:val="4"/>
        </w:numPr>
        <w:rPr>
          <w:sz w:val="32"/>
          <w:szCs w:val="32"/>
        </w:rPr>
      </w:pPr>
      <w:r>
        <w:rPr>
          <w:sz w:val="32"/>
          <w:szCs w:val="32"/>
        </w:rPr>
        <w:t>Rechters moeten zaken beslissen in loyaliteit aan</w:t>
      </w:r>
      <w:r w:rsidR="001239DB">
        <w:rPr>
          <w:sz w:val="32"/>
          <w:szCs w:val="32"/>
        </w:rPr>
        <w:t xml:space="preserve"> het recht</w:t>
      </w:r>
      <w:r>
        <w:rPr>
          <w:sz w:val="32"/>
          <w:szCs w:val="32"/>
        </w:rPr>
        <w:t xml:space="preserve">, en loyaliteit aan </w:t>
      </w:r>
      <w:r w:rsidR="001239DB">
        <w:rPr>
          <w:sz w:val="32"/>
          <w:szCs w:val="32"/>
        </w:rPr>
        <w:t>het recht</w:t>
      </w:r>
      <w:r>
        <w:rPr>
          <w:sz w:val="32"/>
          <w:szCs w:val="32"/>
        </w:rPr>
        <w:t xml:space="preserve"> alleen</w:t>
      </w:r>
      <w:r w:rsidR="006431CA">
        <w:rPr>
          <w:sz w:val="32"/>
          <w:szCs w:val="32"/>
        </w:rPr>
        <w:t xml:space="preserve"> (geen </w:t>
      </w:r>
      <w:r w:rsidR="001239DB">
        <w:rPr>
          <w:sz w:val="32"/>
          <w:szCs w:val="32"/>
        </w:rPr>
        <w:t>onderworpenheid van rechters aan (</w:t>
      </w:r>
      <w:r w:rsidR="006431CA">
        <w:rPr>
          <w:sz w:val="32"/>
          <w:szCs w:val="32"/>
        </w:rPr>
        <w:t>instructies</w:t>
      </w:r>
      <w:r w:rsidR="001239DB">
        <w:rPr>
          <w:rStyle w:val="Voetnootmarkering"/>
          <w:sz w:val="32"/>
          <w:szCs w:val="32"/>
        </w:rPr>
        <w:footnoteReference w:id="2"/>
      </w:r>
      <w:r w:rsidR="006431CA">
        <w:rPr>
          <w:sz w:val="32"/>
          <w:szCs w:val="32"/>
        </w:rPr>
        <w:t xml:space="preserve"> van</w:t>
      </w:r>
      <w:r w:rsidR="001239DB">
        <w:rPr>
          <w:sz w:val="32"/>
          <w:szCs w:val="32"/>
        </w:rPr>
        <w:t>)</w:t>
      </w:r>
      <w:r w:rsidR="006431CA">
        <w:rPr>
          <w:sz w:val="32"/>
          <w:szCs w:val="32"/>
        </w:rPr>
        <w:t xml:space="preserve"> regering</w:t>
      </w:r>
      <w:r w:rsidR="00256E87">
        <w:rPr>
          <w:sz w:val="32"/>
          <w:szCs w:val="32"/>
        </w:rPr>
        <w:t>en</w:t>
      </w:r>
      <w:r w:rsidR="006431CA">
        <w:rPr>
          <w:sz w:val="32"/>
          <w:szCs w:val="32"/>
        </w:rPr>
        <w:t xml:space="preserve"> dus)</w:t>
      </w:r>
      <w:r>
        <w:rPr>
          <w:sz w:val="32"/>
          <w:szCs w:val="32"/>
        </w:rPr>
        <w:t>;</w:t>
      </w:r>
    </w:p>
    <w:p w:rsidR="00E80FD5" w:rsidP="00E80FD5" w:rsidRDefault="00E80FD5">
      <w:pPr>
        <w:pStyle w:val="Lijstalinea"/>
        <w:numPr>
          <w:ilvl w:val="0"/>
          <w:numId w:val="4"/>
        </w:numPr>
        <w:rPr>
          <w:sz w:val="32"/>
          <w:szCs w:val="32"/>
        </w:rPr>
      </w:pPr>
      <w:r>
        <w:rPr>
          <w:sz w:val="32"/>
          <w:szCs w:val="32"/>
        </w:rPr>
        <w:t>Rechters moeten daartoe organisatorisch en anderszins in de gelegenheid worden gesteld;</w:t>
      </w:r>
    </w:p>
    <w:p w:rsidR="00E80FD5" w:rsidP="00E80FD5" w:rsidRDefault="00E80FD5">
      <w:pPr>
        <w:rPr>
          <w:sz w:val="32"/>
          <w:szCs w:val="32"/>
        </w:rPr>
      </w:pPr>
    </w:p>
    <w:p w:rsidRPr="00E80FD5" w:rsidR="00E80FD5" w:rsidP="00E80FD5" w:rsidRDefault="00E80FD5">
      <w:pPr>
        <w:rPr>
          <w:sz w:val="32"/>
          <w:szCs w:val="32"/>
        </w:rPr>
      </w:pPr>
      <w:r>
        <w:rPr>
          <w:sz w:val="32"/>
          <w:szCs w:val="32"/>
        </w:rPr>
        <w:t>Dit betekent onder meer het volgende:</w:t>
      </w:r>
    </w:p>
    <w:p w:rsidRPr="006431CA" w:rsidR="00FC5F62" w:rsidP="00FC5F62" w:rsidRDefault="00FC5F62">
      <w:pPr>
        <w:ind w:left="720"/>
        <w:rPr>
          <w:sz w:val="32"/>
          <w:szCs w:val="32"/>
        </w:rPr>
      </w:pPr>
      <w:r w:rsidRPr="006431CA">
        <w:rPr>
          <w:sz w:val="32"/>
          <w:szCs w:val="32"/>
        </w:rPr>
        <w:t xml:space="preserve">-  </w:t>
      </w:r>
      <w:r w:rsidRPr="006431CA" w:rsidR="006431CA">
        <w:rPr>
          <w:sz w:val="32"/>
          <w:szCs w:val="32"/>
        </w:rPr>
        <w:t xml:space="preserve">selectie, benoeming en promotie van rechters </w:t>
      </w:r>
      <w:r w:rsidR="00256E87">
        <w:rPr>
          <w:sz w:val="32"/>
          <w:szCs w:val="32"/>
        </w:rPr>
        <w:t xml:space="preserve">moeten </w:t>
      </w:r>
      <w:r w:rsidRPr="006431CA" w:rsidR="006431CA">
        <w:rPr>
          <w:sz w:val="32"/>
          <w:szCs w:val="32"/>
        </w:rPr>
        <w:t xml:space="preserve">op </w:t>
      </w:r>
      <w:r w:rsidR="00C23DFC">
        <w:rPr>
          <w:sz w:val="32"/>
          <w:szCs w:val="32"/>
        </w:rPr>
        <w:t xml:space="preserve">grond van </w:t>
      </w:r>
      <w:r w:rsidRPr="006431CA" w:rsidR="006431CA">
        <w:rPr>
          <w:sz w:val="32"/>
          <w:szCs w:val="32"/>
        </w:rPr>
        <w:t xml:space="preserve">objectieve criteria </w:t>
      </w:r>
      <w:r w:rsidR="00C23DFC">
        <w:rPr>
          <w:sz w:val="32"/>
          <w:szCs w:val="32"/>
        </w:rPr>
        <w:t xml:space="preserve">geschieden </w:t>
      </w:r>
      <w:r w:rsidRPr="006431CA" w:rsidR="006431CA">
        <w:rPr>
          <w:sz w:val="32"/>
          <w:szCs w:val="32"/>
        </w:rPr>
        <w:t>met betrekking tot kennis en ku</w:t>
      </w:r>
      <w:r w:rsidR="006431CA">
        <w:rPr>
          <w:sz w:val="32"/>
          <w:szCs w:val="32"/>
        </w:rPr>
        <w:t>nde</w:t>
      </w:r>
      <w:r w:rsidR="008364DD">
        <w:rPr>
          <w:sz w:val="32"/>
          <w:szCs w:val="32"/>
        </w:rPr>
        <w:t>.</w:t>
      </w:r>
      <w:r w:rsidR="00C23DFC">
        <w:rPr>
          <w:rStyle w:val="Voetnootmarkering"/>
          <w:sz w:val="32"/>
          <w:szCs w:val="32"/>
        </w:rPr>
        <w:footnoteReference w:id="3"/>
      </w:r>
      <w:r w:rsidR="00C23DFC">
        <w:rPr>
          <w:sz w:val="32"/>
          <w:szCs w:val="32"/>
        </w:rPr>
        <w:t xml:space="preserve"> </w:t>
      </w:r>
      <w:r w:rsidR="006431CA">
        <w:rPr>
          <w:sz w:val="32"/>
          <w:szCs w:val="32"/>
        </w:rPr>
        <w:t>(anders: Polen en Hongarije</w:t>
      </w:r>
      <w:r w:rsidR="00465D1A">
        <w:rPr>
          <w:rStyle w:val="Voetnootmarkering"/>
          <w:sz w:val="32"/>
          <w:szCs w:val="32"/>
        </w:rPr>
        <w:footnoteReference w:id="4"/>
      </w:r>
      <w:r w:rsidR="006431CA">
        <w:rPr>
          <w:sz w:val="32"/>
          <w:szCs w:val="32"/>
        </w:rPr>
        <w:t xml:space="preserve">), </w:t>
      </w:r>
    </w:p>
    <w:p w:rsidR="006431CA" w:rsidP="006431CA" w:rsidRDefault="00FC5F62">
      <w:pPr>
        <w:ind w:left="720"/>
        <w:rPr>
          <w:sz w:val="32"/>
          <w:szCs w:val="32"/>
        </w:rPr>
      </w:pPr>
      <w:r w:rsidRPr="006431CA">
        <w:rPr>
          <w:sz w:val="32"/>
          <w:szCs w:val="32"/>
        </w:rPr>
        <w:t xml:space="preserve">-  </w:t>
      </w:r>
      <w:r w:rsidRPr="006431CA" w:rsidR="006431CA">
        <w:rPr>
          <w:sz w:val="32"/>
          <w:szCs w:val="32"/>
        </w:rPr>
        <w:t>geen disciplinering van rechter</w:t>
      </w:r>
      <w:r w:rsidR="00256E87">
        <w:rPr>
          <w:sz w:val="32"/>
          <w:szCs w:val="32"/>
        </w:rPr>
        <w:t>s</w:t>
      </w:r>
      <w:r w:rsidRPr="006431CA" w:rsidR="006431CA">
        <w:rPr>
          <w:sz w:val="32"/>
          <w:szCs w:val="32"/>
        </w:rPr>
        <w:t xml:space="preserve"> voor de inhoud van</w:t>
      </w:r>
      <w:r w:rsidR="006431CA">
        <w:rPr>
          <w:sz w:val="32"/>
          <w:szCs w:val="32"/>
        </w:rPr>
        <w:t xml:space="preserve"> hun vonnissen (anders: </w:t>
      </w:r>
      <w:r w:rsidR="00204E4A">
        <w:rPr>
          <w:sz w:val="32"/>
          <w:szCs w:val="32"/>
        </w:rPr>
        <w:t xml:space="preserve">Polen, bijvoorbeeld </w:t>
      </w:r>
      <w:r w:rsidR="006431CA">
        <w:rPr>
          <w:sz w:val="32"/>
          <w:szCs w:val="32"/>
        </w:rPr>
        <w:t>rechter</w:t>
      </w:r>
      <w:r w:rsidRPr="006431CA">
        <w:rPr>
          <w:sz w:val="32"/>
          <w:szCs w:val="32"/>
        </w:rPr>
        <w:t xml:space="preserve"> </w:t>
      </w:r>
      <w:proofErr w:type="spellStart"/>
      <w:r w:rsidRPr="006431CA">
        <w:rPr>
          <w:sz w:val="32"/>
          <w:szCs w:val="32"/>
        </w:rPr>
        <w:t>Tuleja</w:t>
      </w:r>
      <w:proofErr w:type="spellEnd"/>
      <w:r w:rsidRPr="006431CA">
        <w:rPr>
          <w:sz w:val="32"/>
          <w:szCs w:val="32"/>
        </w:rPr>
        <w:t>)</w:t>
      </w:r>
      <w:r w:rsidR="006431CA">
        <w:rPr>
          <w:sz w:val="32"/>
          <w:szCs w:val="32"/>
        </w:rPr>
        <w:t>,</w:t>
      </w:r>
    </w:p>
    <w:p w:rsidR="00C23DFC" w:rsidP="006431CA" w:rsidRDefault="00C23DFC">
      <w:pPr>
        <w:ind w:left="720"/>
        <w:rPr>
          <w:sz w:val="32"/>
          <w:szCs w:val="32"/>
        </w:rPr>
      </w:pPr>
      <w:r>
        <w:rPr>
          <w:sz w:val="32"/>
          <w:szCs w:val="32"/>
        </w:rPr>
        <w:t>- geen disciplinering van rechters omdat zij de rechtsstaat verdedigen</w:t>
      </w:r>
      <w:r w:rsidR="003F01DE">
        <w:rPr>
          <w:sz w:val="32"/>
          <w:szCs w:val="32"/>
        </w:rPr>
        <w:t xml:space="preserve"> </w:t>
      </w:r>
      <w:r>
        <w:rPr>
          <w:sz w:val="32"/>
          <w:szCs w:val="32"/>
        </w:rPr>
        <w:t xml:space="preserve">(anders: Polen, vele rechters bijvoorbeeld rechter </w:t>
      </w:r>
      <w:proofErr w:type="spellStart"/>
      <w:r>
        <w:rPr>
          <w:sz w:val="32"/>
          <w:szCs w:val="32"/>
        </w:rPr>
        <w:t>Zurek</w:t>
      </w:r>
      <w:proofErr w:type="spellEnd"/>
      <w:r>
        <w:rPr>
          <w:sz w:val="32"/>
          <w:szCs w:val="32"/>
        </w:rPr>
        <w:t>)</w:t>
      </w:r>
      <w:r w:rsidR="00204E4A">
        <w:rPr>
          <w:sz w:val="32"/>
          <w:szCs w:val="32"/>
        </w:rPr>
        <w:t>,</w:t>
      </w:r>
    </w:p>
    <w:p w:rsidRPr="006431CA" w:rsidR="00FC5F62" w:rsidP="006431CA" w:rsidRDefault="00FC5F62">
      <w:pPr>
        <w:ind w:left="708"/>
        <w:rPr>
          <w:sz w:val="32"/>
          <w:szCs w:val="32"/>
        </w:rPr>
      </w:pPr>
      <w:r w:rsidRPr="006431CA">
        <w:rPr>
          <w:sz w:val="32"/>
          <w:szCs w:val="32"/>
        </w:rPr>
        <w:t xml:space="preserve">-  </w:t>
      </w:r>
      <w:r w:rsidRPr="006431CA" w:rsidR="006431CA">
        <w:rPr>
          <w:sz w:val="32"/>
          <w:szCs w:val="32"/>
        </w:rPr>
        <w:t>vaste aanstelling</w:t>
      </w:r>
      <w:r w:rsidR="006B3D15">
        <w:rPr>
          <w:sz w:val="32"/>
          <w:szCs w:val="32"/>
        </w:rPr>
        <w:t xml:space="preserve"> van rechters</w:t>
      </w:r>
      <w:r w:rsidRPr="006431CA" w:rsidR="006431CA">
        <w:rPr>
          <w:sz w:val="32"/>
          <w:szCs w:val="32"/>
        </w:rPr>
        <w:t xml:space="preserve">: geen wetgeving om </w:t>
      </w:r>
      <w:r w:rsidR="00256E87">
        <w:rPr>
          <w:sz w:val="32"/>
          <w:szCs w:val="32"/>
        </w:rPr>
        <w:t xml:space="preserve">onwelgevallige </w:t>
      </w:r>
      <w:r w:rsidRPr="006431CA" w:rsidR="006431CA">
        <w:rPr>
          <w:sz w:val="32"/>
          <w:szCs w:val="32"/>
        </w:rPr>
        <w:t>rechters te ontslaan (</w:t>
      </w:r>
      <w:r w:rsidR="00C23DFC">
        <w:rPr>
          <w:sz w:val="32"/>
          <w:szCs w:val="32"/>
        </w:rPr>
        <w:t xml:space="preserve">anders: </w:t>
      </w:r>
      <w:r w:rsidR="008364DD">
        <w:rPr>
          <w:sz w:val="32"/>
          <w:szCs w:val="32"/>
        </w:rPr>
        <w:t xml:space="preserve">Polen en Hongarije: </w:t>
      </w:r>
      <w:r w:rsidRPr="006431CA" w:rsidR="006431CA">
        <w:rPr>
          <w:sz w:val="32"/>
          <w:szCs w:val="32"/>
        </w:rPr>
        <w:t>vervroegd pensioen</w:t>
      </w:r>
      <w:r w:rsidR="00204E4A">
        <w:rPr>
          <w:rStyle w:val="Voetnootmarkering"/>
          <w:sz w:val="32"/>
          <w:szCs w:val="32"/>
        </w:rPr>
        <w:footnoteReference w:id="5"/>
      </w:r>
      <w:r w:rsidRPr="006431CA" w:rsidR="006431CA">
        <w:rPr>
          <w:sz w:val="32"/>
          <w:szCs w:val="32"/>
        </w:rPr>
        <w:t xml:space="preserve">, of </w:t>
      </w:r>
      <w:r w:rsidR="006174C9">
        <w:rPr>
          <w:sz w:val="32"/>
          <w:szCs w:val="32"/>
        </w:rPr>
        <w:t xml:space="preserve">het recente voorstel voor </w:t>
      </w:r>
      <w:r w:rsidRPr="006431CA" w:rsidR="006431CA">
        <w:rPr>
          <w:sz w:val="32"/>
          <w:szCs w:val="32"/>
        </w:rPr>
        <w:t>herindeling van gerechten waarna alle rechters opnieuw moeten s</w:t>
      </w:r>
      <w:r w:rsidR="006431CA">
        <w:rPr>
          <w:sz w:val="32"/>
          <w:szCs w:val="32"/>
        </w:rPr>
        <w:t>olliciteren)</w:t>
      </w:r>
      <w:r w:rsidR="006174C9">
        <w:rPr>
          <w:sz w:val="32"/>
          <w:szCs w:val="32"/>
        </w:rPr>
        <w:t>,</w:t>
      </w:r>
    </w:p>
    <w:p w:rsidR="00E80FD5" w:rsidP="008364DD" w:rsidRDefault="00FC5F62">
      <w:pPr>
        <w:ind w:left="720"/>
        <w:rPr>
          <w:sz w:val="32"/>
          <w:szCs w:val="32"/>
        </w:rPr>
      </w:pPr>
      <w:r w:rsidRPr="006431CA">
        <w:rPr>
          <w:sz w:val="32"/>
          <w:szCs w:val="32"/>
        </w:rPr>
        <w:t xml:space="preserve">-  </w:t>
      </w:r>
      <w:r w:rsidRPr="006431CA" w:rsidR="006431CA">
        <w:rPr>
          <w:sz w:val="32"/>
          <w:szCs w:val="32"/>
        </w:rPr>
        <w:t xml:space="preserve">geen ‘governance’ van de rechterlijke macht door middel waarvan direct of indirect rechters in individuele zaken </w:t>
      </w:r>
      <w:r w:rsidRPr="006431CA" w:rsidR="00256E87">
        <w:rPr>
          <w:sz w:val="32"/>
          <w:szCs w:val="32"/>
        </w:rPr>
        <w:t>beïnvloed</w:t>
      </w:r>
      <w:r w:rsidRPr="006431CA" w:rsidR="006431CA">
        <w:rPr>
          <w:sz w:val="32"/>
          <w:szCs w:val="32"/>
        </w:rPr>
        <w:t xml:space="preserve"> kunnen worde</w:t>
      </w:r>
      <w:r w:rsidR="006431CA">
        <w:rPr>
          <w:sz w:val="32"/>
          <w:szCs w:val="32"/>
        </w:rPr>
        <w:t>n</w:t>
      </w:r>
      <w:r w:rsidR="008364DD">
        <w:rPr>
          <w:sz w:val="32"/>
          <w:szCs w:val="32"/>
        </w:rPr>
        <w:t xml:space="preserve"> met betrekking tot hun beslissing</w:t>
      </w:r>
      <w:r w:rsidRPr="006431CA" w:rsidR="006431CA">
        <w:rPr>
          <w:sz w:val="32"/>
          <w:szCs w:val="32"/>
        </w:rPr>
        <w:t xml:space="preserve">: toedeling </w:t>
      </w:r>
      <w:r w:rsidR="008364DD">
        <w:rPr>
          <w:sz w:val="32"/>
          <w:szCs w:val="32"/>
        </w:rPr>
        <w:t>van zaken</w:t>
      </w:r>
      <w:r w:rsidRPr="006431CA" w:rsidR="006431CA">
        <w:rPr>
          <w:sz w:val="32"/>
          <w:szCs w:val="32"/>
        </w:rPr>
        <w:t>,</w:t>
      </w:r>
      <w:r w:rsidRPr="006431CA">
        <w:rPr>
          <w:sz w:val="32"/>
          <w:szCs w:val="32"/>
        </w:rPr>
        <w:t xml:space="preserve"> </w:t>
      </w:r>
      <w:r w:rsidR="006431CA">
        <w:rPr>
          <w:sz w:val="32"/>
          <w:szCs w:val="32"/>
        </w:rPr>
        <w:t xml:space="preserve">overplaatsing </w:t>
      </w:r>
      <w:r w:rsidR="008364DD">
        <w:rPr>
          <w:sz w:val="32"/>
          <w:szCs w:val="32"/>
        </w:rPr>
        <w:t xml:space="preserve">van rechters, samenstelling </w:t>
      </w:r>
      <w:r w:rsidR="008364DD">
        <w:rPr>
          <w:sz w:val="32"/>
          <w:szCs w:val="32"/>
        </w:rPr>
        <w:lastRenderedPageBreak/>
        <w:t>van meervoudige kamers in gerechten en promotie (anders Polen en Hongarije</w:t>
      </w:r>
      <w:r w:rsidR="006174C9">
        <w:rPr>
          <w:sz w:val="32"/>
          <w:szCs w:val="32"/>
        </w:rPr>
        <w:t>, vele voorbeelden</w:t>
      </w:r>
      <w:r w:rsidR="00A17E4F">
        <w:rPr>
          <w:rStyle w:val="Voetnootmarkering"/>
          <w:sz w:val="32"/>
          <w:szCs w:val="32"/>
        </w:rPr>
        <w:footnoteReference w:id="6"/>
      </w:r>
      <w:r w:rsidR="006174C9">
        <w:rPr>
          <w:sz w:val="32"/>
          <w:szCs w:val="32"/>
        </w:rPr>
        <w:t>)</w:t>
      </w:r>
      <w:r w:rsidR="008364DD">
        <w:rPr>
          <w:sz w:val="32"/>
          <w:szCs w:val="32"/>
        </w:rPr>
        <w:t xml:space="preserve">. </w:t>
      </w:r>
    </w:p>
    <w:p w:rsidR="002F4FEF" w:rsidP="002F4FEF" w:rsidRDefault="002F4FEF">
      <w:pPr>
        <w:rPr>
          <w:sz w:val="32"/>
          <w:szCs w:val="32"/>
        </w:rPr>
      </w:pPr>
    </w:p>
    <w:p w:rsidR="002F4FEF" w:rsidP="002F4FEF" w:rsidRDefault="002F4FEF">
      <w:pPr>
        <w:rPr>
          <w:sz w:val="32"/>
          <w:szCs w:val="32"/>
        </w:rPr>
      </w:pPr>
      <w:r>
        <w:rPr>
          <w:sz w:val="32"/>
          <w:szCs w:val="32"/>
        </w:rPr>
        <w:t>Hoe lidstaten de</w:t>
      </w:r>
      <w:r w:rsidR="006174C9">
        <w:rPr>
          <w:sz w:val="32"/>
          <w:szCs w:val="32"/>
        </w:rPr>
        <w:t xml:space="preserve"> naleving van deze verplichtingen</w:t>
      </w:r>
      <w:r w:rsidR="00256E87">
        <w:rPr>
          <w:sz w:val="32"/>
          <w:szCs w:val="32"/>
        </w:rPr>
        <w:t xml:space="preserve"> organisatorisch </w:t>
      </w:r>
      <w:r>
        <w:rPr>
          <w:sz w:val="32"/>
          <w:szCs w:val="32"/>
        </w:rPr>
        <w:t>vormgeven is aan hen</w:t>
      </w:r>
      <w:r w:rsidR="00256E87">
        <w:rPr>
          <w:sz w:val="32"/>
          <w:szCs w:val="32"/>
        </w:rPr>
        <w:t>. Er is geen uniform model</w:t>
      </w:r>
      <w:r w:rsidR="00B92237">
        <w:rPr>
          <w:sz w:val="32"/>
          <w:szCs w:val="32"/>
        </w:rPr>
        <w:t xml:space="preserve"> voor de organisatie van de rechterlijke macht</w:t>
      </w:r>
      <w:r w:rsidR="006B3D15">
        <w:rPr>
          <w:sz w:val="32"/>
          <w:szCs w:val="32"/>
        </w:rPr>
        <w:t xml:space="preserve"> in het U</w:t>
      </w:r>
      <w:r w:rsidR="006174C9">
        <w:rPr>
          <w:sz w:val="32"/>
          <w:szCs w:val="32"/>
        </w:rPr>
        <w:t>nie</w:t>
      </w:r>
      <w:r w:rsidR="00E65BD7">
        <w:rPr>
          <w:sz w:val="32"/>
          <w:szCs w:val="32"/>
        </w:rPr>
        <w:t>-</w:t>
      </w:r>
      <w:r w:rsidR="006B3D15">
        <w:rPr>
          <w:sz w:val="32"/>
          <w:szCs w:val="32"/>
        </w:rPr>
        <w:t>recht</w:t>
      </w:r>
      <w:r w:rsidR="00B92237">
        <w:rPr>
          <w:sz w:val="32"/>
          <w:szCs w:val="32"/>
        </w:rPr>
        <w:t xml:space="preserve">. Maar </w:t>
      </w:r>
      <w:r w:rsidR="003F01DE">
        <w:rPr>
          <w:sz w:val="32"/>
          <w:szCs w:val="32"/>
        </w:rPr>
        <w:t xml:space="preserve">er bestaat wel de verplichting dat </w:t>
      </w:r>
      <w:r w:rsidR="00B92237">
        <w:rPr>
          <w:sz w:val="32"/>
          <w:szCs w:val="32"/>
        </w:rPr>
        <w:t xml:space="preserve">de organisatie </w:t>
      </w:r>
      <w:r w:rsidR="003F01DE">
        <w:rPr>
          <w:sz w:val="32"/>
          <w:szCs w:val="32"/>
        </w:rPr>
        <w:t xml:space="preserve">van de rechterlijke macht de genoemde normen niet schendt. </w:t>
      </w:r>
    </w:p>
    <w:p w:rsidRPr="00CC407B" w:rsidR="00E80FD5" w:rsidP="00CC407B" w:rsidRDefault="00E80FD5">
      <w:pPr>
        <w:rPr>
          <w:sz w:val="32"/>
          <w:szCs w:val="32"/>
        </w:rPr>
      </w:pPr>
    </w:p>
    <w:p w:rsidR="008364DD" w:rsidP="008364DD" w:rsidRDefault="00256E87">
      <w:pPr>
        <w:pStyle w:val="Lijstalinea"/>
        <w:numPr>
          <w:ilvl w:val="0"/>
          <w:numId w:val="3"/>
        </w:numPr>
        <w:rPr>
          <w:sz w:val="32"/>
          <w:szCs w:val="32"/>
        </w:rPr>
      </w:pPr>
      <w:r>
        <w:rPr>
          <w:sz w:val="32"/>
          <w:szCs w:val="32"/>
        </w:rPr>
        <w:t>D</w:t>
      </w:r>
      <w:r w:rsidR="008364DD">
        <w:rPr>
          <w:sz w:val="32"/>
          <w:szCs w:val="32"/>
        </w:rPr>
        <w:t xml:space="preserve">eze verplichtingen </w:t>
      </w:r>
      <w:r>
        <w:rPr>
          <w:sz w:val="32"/>
          <w:szCs w:val="32"/>
        </w:rPr>
        <w:t xml:space="preserve">niet nakomen </w:t>
      </w:r>
      <w:r w:rsidR="008364DD">
        <w:rPr>
          <w:sz w:val="32"/>
          <w:szCs w:val="32"/>
        </w:rPr>
        <w:t xml:space="preserve">tast het </w:t>
      </w:r>
      <w:r>
        <w:rPr>
          <w:sz w:val="32"/>
          <w:szCs w:val="32"/>
        </w:rPr>
        <w:t>U</w:t>
      </w:r>
      <w:r w:rsidR="006174C9">
        <w:rPr>
          <w:sz w:val="32"/>
          <w:szCs w:val="32"/>
        </w:rPr>
        <w:t>nie</w:t>
      </w:r>
      <w:r>
        <w:rPr>
          <w:sz w:val="32"/>
          <w:szCs w:val="32"/>
        </w:rPr>
        <w:t>-systeem</w:t>
      </w:r>
      <w:r w:rsidR="001843DB">
        <w:rPr>
          <w:sz w:val="32"/>
          <w:szCs w:val="32"/>
        </w:rPr>
        <w:t xml:space="preserve"> in de kern aan, omdat dat systeem</w:t>
      </w:r>
      <w:r>
        <w:rPr>
          <w:sz w:val="32"/>
          <w:szCs w:val="32"/>
        </w:rPr>
        <w:t xml:space="preserve"> </w:t>
      </w:r>
      <w:r w:rsidR="008364DD">
        <w:rPr>
          <w:sz w:val="32"/>
          <w:szCs w:val="32"/>
        </w:rPr>
        <w:t xml:space="preserve">gebaseerd </w:t>
      </w:r>
      <w:r w:rsidR="001843DB">
        <w:rPr>
          <w:sz w:val="32"/>
          <w:szCs w:val="32"/>
        </w:rPr>
        <w:t xml:space="preserve">is </w:t>
      </w:r>
      <w:r w:rsidR="008364DD">
        <w:rPr>
          <w:sz w:val="32"/>
          <w:szCs w:val="32"/>
        </w:rPr>
        <w:t>op wederzijds vertrouwen.</w:t>
      </w:r>
    </w:p>
    <w:p w:rsidR="008364DD" w:rsidP="008364DD" w:rsidRDefault="008364DD">
      <w:pPr>
        <w:ind w:left="360"/>
        <w:rPr>
          <w:sz w:val="32"/>
          <w:szCs w:val="32"/>
        </w:rPr>
      </w:pPr>
    </w:p>
    <w:p w:rsidR="002F4FEF" w:rsidP="002F4FEF" w:rsidRDefault="0050182A">
      <w:pPr>
        <w:rPr>
          <w:sz w:val="32"/>
          <w:szCs w:val="32"/>
        </w:rPr>
      </w:pPr>
      <w:r w:rsidRPr="008364DD">
        <w:rPr>
          <w:sz w:val="32"/>
          <w:szCs w:val="32"/>
        </w:rPr>
        <w:t>Polen en Hongarije ontkennen het bestaan van de</w:t>
      </w:r>
      <w:r w:rsidR="008364DD">
        <w:rPr>
          <w:sz w:val="32"/>
          <w:szCs w:val="32"/>
        </w:rPr>
        <w:t xml:space="preserve"> onder 1 en 2 genoemde</w:t>
      </w:r>
      <w:r w:rsidRPr="008364DD">
        <w:rPr>
          <w:sz w:val="32"/>
          <w:szCs w:val="32"/>
        </w:rPr>
        <w:t xml:space="preserve"> </w:t>
      </w:r>
      <w:r w:rsidR="006174C9">
        <w:rPr>
          <w:sz w:val="32"/>
          <w:szCs w:val="32"/>
        </w:rPr>
        <w:t>rechtsverplichtingen</w:t>
      </w:r>
      <w:r w:rsidR="008819A3">
        <w:rPr>
          <w:sz w:val="32"/>
          <w:szCs w:val="32"/>
        </w:rPr>
        <w:t xml:space="preserve">, en komen ze ook niet na. </w:t>
      </w:r>
      <w:r w:rsidR="008364DD">
        <w:rPr>
          <w:sz w:val="32"/>
          <w:szCs w:val="32"/>
        </w:rPr>
        <w:t>D</w:t>
      </w:r>
      <w:r w:rsidRPr="008364DD">
        <w:rPr>
          <w:sz w:val="32"/>
          <w:szCs w:val="32"/>
        </w:rPr>
        <w:t>it tast de kern van de Unie aan</w:t>
      </w:r>
      <w:r w:rsidR="008364DD">
        <w:rPr>
          <w:sz w:val="32"/>
          <w:szCs w:val="32"/>
        </w:rPr>
        <w:t xml:space="preserve">. De Unie is </w:t>
      </w:r>
      <w:r w:rsidR="002F4FEF">
        <w:rPr>
          <w:sz w:val="32"/>
          <w:szCs w:val="32"/>
        </w:rPr>
        <w:t xml:space="preserve">dan </w:t>
      </w:r>
      <w:r w:rsidR="00465D1A">
        <w:rPr>
          <w:sz w:val="32"/>
          <w:szCs w:val="32"/>
        </w:rPr>
        <w:t>alleen nog maar in naam</w:t>
      </w:r>
      <w:r w:rsidR="002D6E8B">
        <w:rPr>
          <w:sz w:val="32"/>
          <w:szCs w:val="32"/>
        </w:rPr>
        <w:t xml:space="preserve"> </w:t>
      </w:r>
      <w:r w:rsidR="008364DD">
        <w:rPr>
          <w:sz w:val="32"/>
          <w:szCs w:val="32"/>
        </w:rPr>
        <w:t>gebaseerd op de waarde</w:t>
      </w:r>
      <w:r w:rsidR="00465D1A">
        <w:rPr>
          <w:sz w:val="32"/>
          <w:szCs w:val="32"/>
        </w:rPr>
        <w:t>n</w:t>
      </w:r>
      <w:r w:rsidR="008364DD">
        <w:rPr>
          <w:sz w:val="32"/>
          <w:szCs w:val="32"/>
        </w:rPr>
        <w:t xml:space="preserve"> van de rechtsstaat</w:t>
      </w:r>
      <w:r w:rsidR="002F4FEF">
        <w:rPr>
          <w:sz w:val="32"/>
          <w:szCs w:val="32"/>
        </w:rPr>
        <w:t xml:space="preserve">, en houdt </w:t>
      </w:r>
      <w:r w:rsidR="006174C9">
        <w:rPr>
          <w:sz w:val="32"/>
          <w:szCs w:val="32"/>
        </w:rPr>
        <w:t xml:space="preserve">dus </w:t>
      </w:r>
      <w:r w:rsidR="002F4FEF">
        <w:rPr>
          <w:sz w:val="32"/>
          <w:szCs w:val="32"/>
        </w:rPr>
        <w:t xml:space="preserve">op een </w:t>
      </w:r>
      <w:r w:rsidR="002D6E8B">
        <w:rPr>
          <w:sz w:val="32"/>
          <w:szCs w:val="32"/>
        </w:rPr>
        <w:t>U</w:t>
      </w:r>
      <w:r w:rsidR="002F4FEF">
        <w:rPr>
          <w:sz w:val="32"/>
          <w:szCs w:val="32"/>
        </w:rPr>
        <w:t>nie van waarden te zijn</w:t>
      </w:r>
      <w:r w:rsidR="008364DD">
        <w:rPr>
          <w:sz w:val="32"/>
          <w:szCs w:val="32"/>
        </w:rPr>
        <w:t>.</w:t>
      </w:r>
      <w:r w:rsidR="00465D1A">
        <w:rPr>
          <w:rStyle w:val="Voetnootmarkering"/>
          <w:sz w:val="32"/>
          <w:szCs w:val="32"/>
        </w:rPr>
        <w:footnoteReference w:id="7"/>
      </w:r>
      <w:r w:rsidR="008364DD">
        <w:rPr>
          <w:sz w:val="32"/>
          <w:szCs w:val="32"/>
        </w:rPr>
        <w:t xml:space="preserve"> </w:t>
      </w:r>
      <w:r w:rsidR="002F4FEF">
        <w:rPr>
          <w:sz w:val="32"/>
          <w:szCs w:val="32"/>
        </w:rPr>
        <w:t xml:space="preserve">Het is </w:t>
      </w:r>
      <w:r w:rsidR="006174C9">
        <w:rPr>
          <w:sz w:val="32"/>
          <w:szCs w:val="32"/>
        </w:rPr>
        <w:t xml:space="preserve">dan </w:t>
      </w:r>
      <w:r w:rsidR="002F4FEF">
        <w:rPr>
          <w:sz w:val="32"/>
          <w:szCs w:val="32"/>
        </w:rPr>
        <w:t xml:space="preserve">alleen een </w:t>
      </w:r>
      <w:r w:rsidR="002D6E8B">
        <w:rPr>
          <w:sz w:val="32"/>
          <w:szCs w:val="32"/>
        </w:rPr>
        <w:t>U</w:t>
      </w:r>
      <w:r w:rsidR="002F4FEF">
        <w:rPr>
          <w:sz w:val="32"/>
          <w:szCs w:val="32"/>
        </w:rPr>
        <w:t>nie van belangen</w:t>
      </w:r>
      <w:r w:rsidR="008819A3">
        <w:rPr>
          <w:sz w:val="32"/>
          <w:szCs w:val="32"/>
        </w:rPr>
        <w:t xml:space="preserve"> en macht</w:t>
      </w:r>
      <w:r w:rsidR="002F4FEF">
        <w:rPr>
          <w:sz w:val="32"/>
          <w:szCs w:val="32"/>
        </w:rPr>
        <w:t xml:space="preserve">. Met het vervallen van de waarde </w:t>
      </w:r>
      <w:r w:rsidR="008819A3">
        <w:rPr>
          <w:sz w:val="32"/>
          <w:szCs w:val="32"/>
        </w:rPr>
        <w:t xml:space="preserve">van </w:t>
      </w:r>
      <w:r w:rsidR="002F4FEF">
        <w:rPr>
          <w:sz w:val="32"/>
          <w:szCs w:val="32"/>
        </w:rPr>
        <w:t xml:space="preserve">onafhankelijke rechtspraak </w:t>
      </w:r>
      <w:r w:rsidR="00465D1A">
        <w:rPr>
          <w:sz w:val="32"/>
          <w:szCs w:val="32"/>
        </w:rPr>
        <w:t xml:space="preserve">(en dus uniforme toepassing van het EU-recht) </w:t>
      </w:r>
      <w:r w:rsidR="002F4FEF">
        <w:rPr>
          <w:sz w:val="32"/>
          <w:szCs w:val="32"/>
        </w:rPr>
        <w:t xml:space="preserve">is er geen fundament meer </w:t>
      </w:r>
      <w:r w:rsidR="007F1179">
        <w:rPr>
          <w:sz w:val="32"/>
          <w:szCs w:val="32"/>
        </w:rPr>
        <w:t>onder het wederzijds vertrouwen</w:t>
      </w:r>
      <w:r w:rsidR="006B3D15">
        <w:rPr>
          <w:sz w:val="32"/>
          <w:szCs w:val="32"/>
        </w:rPr>
        <w:t xml:space="preserve"> tussen EU</w:t>
      </w:r>
      <w:r w:rsidR="00E65BD7">
        <w:rPr>
          <w:sz w:val="32"/>
          <w:szCs w:val="32"/>
        </w:rPr>
        <w:t>-</w:t>
      </w:r>
      <w:r w:rsidR="00465D1A">
        <w:rPr>
          <w:sz w:val="32"/>
          <w:szCs w:val="32"/>
        </w:rPr>
        <w:t>lidstaten: iedere lidstaat kan precies doen wat hij zelf wil. Dan houdt de Unie op te bestaan.</w:t>
      </w:r>
    </w:p>
    <w:p w:rsidR="008D6309" w:rsidP="008D6309" w:rsidRDefault="008D6309">
      <w:pPr>
        <w:rPr>
          <w:sz w:val="32"/>
          <w:szCs w:val="32"/>
        </w:rPr>
      </w:pPr>
    </w:p>
    <w:p w:rsidRPr="008D6309" w:rsidR="0041464B" w:rsidP="008D6309" w:rsidRDefault="0041464B">
      <w:pPr>
        <w:pStyle w:val="Lijstalinea"/>
        <w:numPr>
          <w:ilvl w:val="0"/>
          <w:numId w:val="3"/>
        </w:numPr>
        <w:rPr>
          <w:sz w:val="32"/>
          <w:szCs w:val="32"/>
        </w:rPr>
      </w:pPr>
      <w:r w:rsidRPr="008D6309">
        <w:rPr>
          <w:sz w:val="32"/>
          <w:szCs w:val="32"/>
        </w:rPr>
        <w:t>Concrete gevolgen van de aantasting van het wederzijds vertrouwen.</w:t>
      </w:r>
    </w:p>
    <w:p w:rsidR="006B3D15" w:rsidP="006B3D15" w:rsidRDefault="006B3D15">
      <w:pPr>
        <w:rPr>
          <w:sz w:val="32"/>
          <w:szCs w:val="32"/>
        </w:rPr>
      </w:pPr>
    </w:p>
    <w:p w:rsidR="008364DD" w:rsidP="006B3D15" w:rsidRDefault="002F4FEF">
      <w:pPr>
        <w:rPr>
          <w:sz w:val="32"/>
          <w:szCs w:val="32"/>
        </w:rPr>
      </w:pPr>
      <w:r>
        <w:rPr>
          <w:sz w:val="32"/>
          <w:szCs w:val="32"/>
        </w:rPr>
        <w:t>Concreet betekent d</w:t>
      </w:r>
      <w:r w:rsidR="0041464B">
        <w:rPr>
          <w:sz w:val="32"/>
          <w:szCs w:val="32"/>
        </w:rPr>
        <w:t xml:space="preserve">e aantasting van het wederzijds </w:t>
      </w:r>
      <w:r w:rsidR="00256E87">
        <w:rPr>
          <w:sz w:val="32"/>
          <w:szCs w:val="32"/>
        </w:rPr>
        <w:t xml:space="preserve">vertrouwen </w:t>
      </w:r>
      <w:r w:rsidR="00465D1A">
        <w:rPr>
          <w:sz w:val="32"/>
          <w:szCs w:val="32"/>
        </w:rPr>
        <w:t xml:space="preserve">voor de rechtspraktijk </w:t>
      </w:r>
      <w:r w:rsidR="00256E87">
        <w:rPr>
          <w:sz w:val="32"/>
          <w:szCs w:val="32"/>
        </w:rPr>
        <w:t>dat</w:t>
      </w:r>
      <w:r>
        <w:rPr>
          <w:sz w:val="32"/>
          <w:szCs w:val="32"/>
        </w:rPr>
        <w:t xml:space="preserve"> </w:t>
      </w:r>
      <w:r w:rsidR="006646B7">
        <w:rPr>
          <w:sz w:val="32"/>
          <w:szCs w:val="32"/>
        </w:rPr>
        <w:t xml:space="preserve">de </w:t>
      </w:r>
      <w:r w:rsidR="00256E87">
        <w:rPr>
          <w:sz w:val="32"/>
          <w:szCs w:val="32"/>
        </w:rPr>
        <w:t>justitiële</w:t>
      </w:r>
      <w:r w:rsidR="006646B7">
        <w:rPr>
          <w:sz w:val="32"/>
          <w:szCs w:val="32"/>
        </w:rPr>
        <w:t xml:space="preserve"> samenwerking tussen Polen/Hongarije en </w:t>
      </w:r>
      <w:r w:rsidR="0041464B">
        <w:rPr>
          <w:sz w:val="32"/>
          <w:szCs w:val="32"/>
        </w:rPr>
        <w:t xml:space="preserve">Nederland </w:t>
      </w:r>
      <w:r w:rsidR="00465D1A">
        <w:rPr>
          <w:sz w:val="32"/>
          <w:szCs w:val="32"/>
        </w:rPr>
        <w:t>steeds moeizamer zal gaan verlopen en uiteindelijk zal ophouden. U moet dan bijvoorbeeld denken aan</w:t>
      </w:r>
      <w:r w:rsidR="006646B7">
        <w:rPr>
          <w:sz w:val="32"/>
          <w:szCs w:val="32"/>
        </w:rPr>
        <w:t>:</w:t>
      </w:r>
    </w:p>
    <w:p w:rsidR="006646B7" w:rsidP="006646B7" w:rsidRDefault="006646B7">
      <w:pPr>
        <w:pStyle w:val="Lijstalinea"/>
        <w:numPr>
          <w:ilvl w:val="0"/>
          <w:numId w:val="4"/>
        </w:numPr>
        <w:rPr>
          <w:sz w:val="32"/>
          <w:szCs w:val="32"/>
        </w:rPr>
      </w:pPr>
      <w:r>
        <w:rPr>
          <w:sz w:val="32"/>
          <w:szCs w:val="32"/>
        </w:rPr>
        <w:lastRenderedPageBreak/>
        <w:t xml:space="preserve">Het strafrecht: </w:t>
      </w:r>
      <w:r w:rsidR="00FD4C23">
        <w:rPr>
          <w:sz w:val="32"/>
          <w:szCs w:val="32"/>
        </w:rPr>
        <w:t>H</w:t>
      </w:r>
      <w:r w:rsidR="00FD4C23">
        <w:rPr>
          <w:sz w:val="32"/>
          <w:szCs w:val="32"/>
        </w:rPr>
        <w:t xml:space="preserve">et automatisch – zonder al te veel nader onderzoek -   erkennen en tenuitvoerleggen van elkaar beslissingen of bevelen gaat verloren. </w:t>
      </w:r>
      <w:r w:rsidR="00FD4C23">
        <w:rPr>
          <w:sz w:val="32"/>
          <w:szCs w:val="32"/>
        </w:rPr>
        <w:t xml:space="preserve">Denk aan het </w:t>
      </w:r>
      <w:r>
        <w:rPr>
          <w:sz w:val="32"/>
          <w:szCs w:val="32"/>
        </w:rPr>
        <w:t>Europees aanhoudingsbevel, beslag, vergaren bewijs, confiscatie, rechtshulp etc.. De georganiseerde internationale misdaad kan daar</w:t>
      </w:r>
      <w:r w:rsidR="006174C9">
        <w:rPr>
          <w:sz w:val="32"/>
          <w:szCs w:val="32"/>
        </w:rPr>
        <w:t xml:space="preserve">bij </w:t>
      </w:r>
      <w:r>
        <w:rPr>
          <w:sz w:val="32"/>
          <w:szCs w:val="32"/>
        </w:rPr>
        <w:t xml:space="preserve">garen spinnen. Om dat tegen te gaan moeten er wellicht grenzen gesteld gaan worden aan het vrij verkeer van personen van en naar Polen en Hongarije, of in ieder geval een vorm van (douane)controle </w:t>
      </w:r>
      <w:r w:rsidR="006B3D15">
        <w:rPr>
          <w:sz w:val="32"/>
          <w:szCs w:val="32"/>
        </w:rPr>
        <w:t xml:space="preserve">worden </w:t>
      </w:r>
      <w:r>
        <w:rPr>
          <w:sz w:val="32"/>
          <w:szCs w:val="32"/>
        </w:rPr>
        <w:t>ingevoerd.</w:t>
      </w:r>
    </w:p>
    <w:p w:rsidR="006646B7" w:rsidP="006646B7" w:rsidRDefault="006646B7">
      <w:pPr>
        <w:pStyle w:val="Lijstalinea"/>
        <w:numPr>
          <w:ilvl w:val="0"/>
          <w:numId w:val="4"/>
        </w:numPr>
        <w:rPr>
          <w:sz w:val="32"/>
          <w:szCs w:val="32"/>
        </w:rPr>
      </w:pPr>
      <w:r>
        <w:rPr>
          <w:sz w:val="32"/>
          <w:szCs w:val="32"/>
        </w:rPr>
        <w:t xml:space="preserve">Het familierecht: </w:t>
      </w:r>
      <w:r w:rsidR="00FD4C23">
        <w:rPr>
          <w:sz w:val="32"/>
          <w:szCs w:val="32"/>
        </w:rPr>
        <w:t>O</w:t>
      </w:r>
      <w:r>
        <w:rPr>
          <w:sz w:val="32"/>
          <w:szCs w:val="32"/>
        </w:rPr>
        <w:t xml:space="preserve">ok in dat rechtsgebied zal het automatisch erkennen en tenuitvoerleggen van beslissingen een forse deuk oplopen. Indien over en weer de rechterlijke uitspraken over gezag niet meer erkend worden, dan </w:t>
      </w:r>
      <w:r w:rsidR="0041464B">
        <w:rPr>
          <w:sz w:val="32"/>
          <w:szCs w:val="32"/>
        </w:rPr>
        <w:t xml:space="preserve">maakt dat </w:t>
      </w:r>
      <w:r w:rsidR="00FD4C23">
        <w:rPr>
          <w:sz w:val="32"/>
          <w:szCs w:val="32"/>
        </w:rPr>
        <w:t xml:space="preserve">bijvoorbeeld </w:t>
      </w:r>
      <w:r w:rsidR="0041464B">
        <w:rPr>
          <w:sz w:val="32"/>
          <w:szCs w:val="32"/>
        </w:rPr>
        <w:t>kinderontvoeringen makkelijker: wat bijvoorbeeld in Nederland een onttrekken van een kind aan het gezag is, hoeft dat naar Pools</w:t>
      </w:r>
      <w:r w:rsidR="008819A3">
        <w:rPr>
          <w:sz w:val="32"/>
          <w:szCs w:val="32"/>
        </w:rPr>
        <w:t>e rechterlijke uitspraken</w:t>
      </w:r>
      <w:r w:rsidR="0041464B">
        <w:rPr>
          <w:sz w:val="32"/>
          <w:szCs w:val="32"/>
        </w:rPr>
        <w:t xml:space="preserve"> niet te zijn. </w:t>
      </w:r>
      <w:r w:rsidR="00A9744F">
        <w:rPr>
          <w:sz w:val="32"/>
          <w:szCs w:val="32"/>
        </w:rPr>
        <w:t>De Poolse regering heeft sterke opvattingen over familierecht (waaronder recht</w:t>
      </w:r>
      <w:r w:rsidR="008819A3">
        <w:rPr>
          <w:sz w:val="32"/>
          <w:szCs w:val="32"/>
        </w:rPr>
        <w:t>en</w:t>
      </w:r>
      <w:r w:rsidR="00A9744F">
        <w:rPr>
          <w:sz w:val="32"/>
          <w:szCs w:val="32"/>
        </w:rPr>
        <w:t xml:space="preserve"> van vrouwen) die nogal afwijken van het Nederlandse familierecht. Enkele weken geleden zagen we </w:t>
      </w:r>
      <w:r w:rsidR="00E65BD7">
        <w:rPr>
          <w:sz w:val="32"/>
          <w:szCs w:val="32"/>
        </w:rPr>
        <w:t xml:space="preserve">er </w:t>
      </w:r>
      <w:r w:rsidR="00A9744F">
        <w:rPr>
          <w:sz w:val="32"/>
          <w:szCs w:val="32"/>
        </w:rPr>
        <w:t xml:space="preserve">al een voorproefje van tot welke gevolgen dit kan leiden in het kader van een kinderontvoering. </w:t>
      </w:r>
    </w:p>
    <w:p w:rsidRPr="006646B7" w:rsidR="0041464B" w:rsidP="006646B7" w:rsidRDefault="0041464B">
      <w:pPr>
        <w:pStyle w:val="Lijstalinea"/>
        <w:numPr>
          <w:ilvl w:val="0"/>
          <w:numId w:val="4"/>
        </w:numPr>
        <w:rPr>
          <w:sz w:val="32"/>
          <w:szCs w:val="32"/>
        </w:rPr>
      </w:pPr>
      <w:r>
        <w:rPr>
          <w:sz w:val="32"/>
          <w:szCs w:val="32"/>
        </w:rPr>
        <w:t xml:space="preserve">Het </w:t>
      </w:r>
      <w:r w:rsidR="006B3D15">
        <w:rPr>
          <w:sz w:val="32"/>
          <w:szCs w:val="32"/>
        </w:rPr>
        <w:t>vermogens</w:t>
      </w:r>
      <w:r>
        <w:rPr>
          <w:sz w:val="32"/>
          <w:szCs w:val="32"/>
        </w:rPr>
        <w:t xml:space="preserve">recht: </w:t>
      </w:r>
      <w:r w:rsidR="00FD4C23">
        <w:rPr>
          <w:sz w:val="32"/>
          <w:szCs w:val="32"/>
        </w:rPr>
        <w:t>O</w:t>
      </w:r>
      <w:r>
        <w:rPr>
          <w:sz w:val="32"/>
          <w:szCs w:val="32"/>
        </w:rPr>
        <w:t>ok hier zal de erkenning van vonnissen moeizamer verlopen, of wellicht kom</w:t>
      </w:r>
      <w:r w:rsidR="00E902F0">
        <w:rPr>
          <w:sz w:val="32"/>
          <w:szCs w:val="32"/>
        </w:rPr>
        <w:t xml:space="preserve">t </w:t>
      </w:r>
      <w:r>
        <w:rPr>
          <w:sz w:val="32"/>
          <w:szCs w:val="32"/>
        </w:rPr>
        <w:t xml:space="preserve">er in eenzelfde handelsdispuut een vonnis uit Nederland en een uit Polen/Hongarije. </w:t>
      </w:r>
      <w:r w:rsidR="00A9744F">
        <w:rPr>
          <w:sz w:val="32"/>
          <w:szCs w:val="32"/>
        </w:rPr>
        <w:t>Een politiek aangestuurde rechterlijke macht tast de rechtszekerheid aan die in het economisch verkeer essentieel is. Dit heeft gevolgen voor de economie.</w:t>
      </w:r>
    </w:p>
    <w:p w:rsidR="008D6309" w:rsidP="00EF479F" w:rsidRDefault="00FD4C23">
      <w:pPr>
        <w:pStyle w:val="Lijstalinea"/>
        <w:numPr>
          <w:ilvl w:val="0"/>
          <w:numId w:val="4"/>
        </w:numPr>
        <w:rPr>
          <w:sz w:val="32"/>
          <w:szCs w:val="32"/>
        </w:rPr>
      </w:pPr>
      <w:r>
        <w:rPr>
          <w:sz w:val="32"/>
          <w:szCs w:val="32"/>
        </w:rPr>
        <w:t>De EU</w:t>
      </w:r>
      <w:r w:rsidR="00E902F0">
        <w:rPr>
          <w:sz w:val="32"/>
          <w:szCs w:val="32"/>
        </w:rPr>
        <w:t>-</w:t>
      </w:r>
      <w:r>
        <w:rPr>
          <w:sz w:val="32"/>
          <w:szCs w:val="32"/>
        </w:rPr>
        <w:t xml:space="preserve">rechten van </w:t>
      </w:r>
      <w:r w:rsidRPr="00256E87" w:rsidR="00A9744F">
        <w:rPr>
          <w:sz w:val="32"/>
          <w:szCs w:val="32"/>
        </w:rPr>
        <w:t xml:space="preserve">Nederlandse </w:t>
      </w:r>
      <w:r w:rsidRPr="00256E87" w:rsidR="0050182A">
        <w:rPr>
          <w:sz w:val="32"/>
          <w:szCs w:val="32"/>
        </w:rPr>
        <w:t>burgers en bedrijven</w:t>
      </w:r>
      <w:r w:rsidRPr="00256E87" w:rsidR="0041464B">
        <w:rPr>
          <w:sz w:val="32"/>
          <w:szCs w:val="32"/>
        </w:rPr>
        <w:t xml:space="preserve"> </w:t>
      </w:r>
      <w:r>
        <w:rPr>
          <w:sz w:val="32"/>
          <w:szCs w:val="32"/>
        </w:rPr>
        <w:t>kunnen</w:t>
      </w:r>
      <w:r w:rsidRPr="00256E87" w:rsidR="00A9744F">
        <w:rPr>
          <w:sz w:val="32"/>
          <w:szCs w:val="32"/>
        </w:rPr>
        <w:t xml:space="preserve"> </w:t>
      </w:r>
      <w:r w:rsidR="008D6309">
        <w:rPr>
          <w:sz w:val="32"/>
          <w:szCs w:val="32"/>
        </w:rPr>
        <w:t xml:space="preserve">in Polen en Hongarije </w:t>
      </w:r>
      <w:r w:rsidRPr="00256E87" w:rsidR="00A9744F">
        <w:rPr>
          <w:sz w:val="32"/>
          <w:szCs w:val="32"/>
        </w:rPr>
        <w:t xml:space="preserve">mogelijk niet meer de </w:t>
      </w:r>
      <w:r w:rsidRPr="00256E87" w:rsidR="0050182A">
        <w:rPr>
          <w:sz w:val="32"/>
          <w:szCs w:val="32"/>
        </w:rPr>
        <w:t xml:space="preserve">bescherming </w:t>
      </w:r>
      <w:r>
        <w:rPr>
          <w:sz w:val="32"/>
          <w:szCs w:val="32"/>
        </w:rPr>
        <w:t xml:space="preserve">krijgen </w:t>
      </w:r>
      <w:r w:rsidRPr="00256E87" w:rsidR="00A9744F">
        <w:rPr>
          <w:sz w:val="32"/>
          <w:szCs w:val="32"/>
        </w:rPr>
        <w:t>waar ze op grond van het U</w:t>
      </w:r>
      <w:r w:rsidR="00E902F0">
        <w:rPr>
          <w:sz w:val="32"/>
          <w:szCs w:val="32"/>
        </w:rPr>
        <w:t>nie-</w:t>
      </w:r>
      <w:r w:rsidRPr="00256E87" w:rsidR="00A9744F">
        <w:rPr>
          <w:sz w:val="32"/>
          <w:szCs w:val="32"/>
        </w:rPr>
        <w:t xml:space="preserve">recht aanspraak </w:t>
      </w:r>
      <w:r>
        <w:rPr>
          <w:sz w:val="32"/>
          <w:szCs w:val="32"/>
        </w:rPr>
        <w:t xml:space="preserve">op </w:t>
      </w:r>
      <w:r w:rsidRPr="00256E87" w:rsidR="00A9744F">
        <w:rPr>
          <w:sz w:val="32"/>
          <w:szCs w:val="32"/>
        </w:rPr>
        <w:t>hebben.</w:t>
      </w:r>
      <w:r w:rsidRPr="00256E87" w:rsidR="0050182A">
        <w:rPr>
          <w:sz w:val="32"/>
          <w:szCs w:val="32"/>
        </w:rPr>
        <w:t xml:space="preserve"> </w:t>
      </w:r>
      <w:r w:rsidRPr="00256E87" w:rsidR="00A9744F">
        <w:rPr>
          <w:sz w:val="32"/>
          <w:szCs w:val="32"/>
        </w:rPr>
        <w:t>Zo zullen t</w:t>
      </w:r>
      <w:r w:rsidRPr="00256E87" w:rsidR="0050182A">
        <w:rPr>
          <w:sz w:val="32"/>
          <w:szCs w:val="32"/>
        </w:rPr>
        <w:t>wee in Nederland getrouwde mannen die in Polen een bedrijf beg</w:t>
      </w:r>
      <w:r w:rsidRPr="00256E87" w:rsidR="00A9744F">
        <w:rPr>
          <w:sz w:val="32"/>
          <w:szCs w:val="32"/>
        </w:rPr>
        <w:t>o</w:t>
      </w:r>
      <w:r w:rsidRPr="00256E87" w:rsidR="0050182A">
        <w:rPr>
          <w:sz w:val="32"/>
          <w:szCs w:val="32"/>
        </w:rPr>
        <w:t xml:space="preserve">nnen zijn niet meer zeker </w:t>
      </w:r>
      <w:r w:rsidRPr="00256E87" w:rsidR="00A9744F">
        <w:rPr>
          <w:sz w:val="32"/>
          <w:szCs w:val="32"/>
        </w:rPr>
        <w:t xml:space="preserve">kunnen zijn </w:t>
      </w:r>
      <w:r w:rsidRPr="00256E87" w:rsidR="0050182A">
        <w:rPr>
          <w:sz w:val="32"/>
          <w:szCs w:val="32"/>
        </w:rPr>
        <w:t xml:space="preserve">van de erkenning van hun huwelijk in Polen of Hongarije (is een </w:t>
      </w:r>
      <w:r w:rsidRPr="00256E87" w:rsidR="00256E87">
        <w:rPr>
          <w:sz w:val="32"/>
          <w:szCs w:val="32"/>
        </w:rPr>
        <w:t>U</w:t>
      </w:r>
      <w:r w:rsidR="006174C9">
        <w:rPr>
          <w:sz w:val="32"/>
          <w:szCs w:val="32"/>
        </w:rPr>
        <w:t>nie</w:t>
      </w:r>
      <w:r w:rsidRPr="00256E87" w:rsidR="00256E87">
        <w:rPr>
          <w:sz w:val="32"/>
          <w:szCs w:val="32"/>
        </w:rPr>
        <w:t>-verplichting</w:t>
      </w:r>
      <w:r w:rsidRPr="00256E87" w:rsidR="0050182A">
        <w:rPr>
          <w:sz w:val="32"/>
          <w:szCs w:val="32"/>
        </w:rPr>
        <w:t xml:space="preserve">) indien </w:t>
      </w:r>
      <w:r w:rsidRPr="00256E87" w:rsidR="00CC407B">
        <w:rPr>
          <w:sz w:val="32"/>
          <w:szCs w:val="32"/>
        </w:rPr>
        <w:t xml:space="preserve">rechters in die landen </w:t>
      </w:r>
      <w:r w:rsidR="008D6309">
        <w:rPr>
          <w:sz w:val="32"/>
          <w:szCs w:val="32"/>
        </w:rPr>
        <w:t xml:space="preserve">daartoe </w:t>
      </w:r>
      <w:r w:rsidRPr="00256E87" w:rsidR="00CC407B">
        <w:rPr>
          <w:sz w:val="32"/>
          <w:szCs w:val="32"/>
        </w:rPr>
        <w:t>de instructie krijgen van politici die tegen een dergelijk huwelijk zijn</w:t>
      </w:r>
      <w:r w:rsidRPr="00256E87" w:rsidR="0050182A">
        <w:rPr>
          <w:sz w:val="32"/>
          <w:szCs w:val="32"/>
        </w:rPr>
        <w:t xml:space="preserve">. </w:t>
      </w:r>
      <w:r w:rsidR="008D6309">
        <w:rPr>
          <w:sz w:val="32"/>
          <w:szCs w:val="32"/>
        </w:rPr>
        <w:lastRenderedPageBreak/>
        <w:t>Vergelijk de abortus uitspraak van het Poolse Constitutioneel Hof</w:t>
      </w:r>
      <w:r w:rsidR="006174C9">
        <w:rPr>
          <w:sz w:val="32"/>
          <w:szCs w:val="32"/>
        </w:rPr>
        <w:t xml:space="preserve">, waarvan </w:t>
      </w:r>
      <w:r w:rsidR="00E902F0">
        <w:rPr>
          <w:sz w:val="32"/>
          <w:szCs w:val="32"/>
        </w:rPr>
        <w:t xml:space="preserve">niemand in Polen </w:t>
      </w:r>
      <w:r w:rsidR="006174C9">
        <w:rPr>
          <w:sz w:val="32"/>
          <w:szCs w:val="32"/>
        </w:rPr>
        <w:t xml:space="preserve">twijfelt dat die op instructie van de regering tot stand </w:t>
      </w:r>
      <w:r w:rsidR="00E902F0">
        <w:rPr>
          <w:sz w:val="32"/>
          <w:szCs w:val="32"/>
        </w:rPr>
        <w:t xml:space="preserve">is </w:t>
      </w:r>
      <w:r w:rsidR="006174C9">
        <w:rPr>
          <w:sz w:val="32"/>
          <w:szCs w:val="32"/>
        </w:rPr>
        <w:t>gekomen</w:t>
      </w:r>
      <w:r w:rsidR="008D6309">
        <w:rPr>
          <w:sz w:val="32"/>
          <w:szCs w:val="32"/>
        </w:rPr>
        <w:t xml:space="preserve">. </w:t>
      </w:r>
    </w:p>
    <w:p w:rsidRPr="00EF479F" w:rsidR="00256E87" w:rsidP="00EF479F" w:rsidRDefault="00CC407B">
      <w:pPr>
        <w:pStyle w:val="Lijstalinea"/>
        <w:numPr>
          <w:ilvl w:val="0"/>
          <w:numId w:val="4"/>
        </w:numPr>
        <w:rPr>
          <w:sz w:val="32"/>
          <w:szCs w:val="32"/>
        </w:rPr>
      </w:pPr>
      <w:r w:rsidRPr="00256E87">
        <w:rPr>
          <w:sz w:val="32"/>
          <w:szCs w:val="32"/>
        </w:rPr>
        <w:t xml:space="preserve">Hetzelfde geldt voor </w:t>
      </w:r>
      <w:r w:rsidRPr="00256E87" w:rsidR="0050182A">
        <w:rPr>
          <w:sz w:val="32"/>
          <w:szCs w:val="32"/>
        </w:rPr>
        <w:t xml:space="preserve">Nederlandse bedrijven die investeren in Polen </w:t>
      </w:r>
      <w:r w:rsidRPr="00256E87">
        <w:rPr>
          <w:sz w:val="32"/>
          <w:szCs w:val="32"/>
        </w:rPr>
        <w:t xml:space="preserve">of Hongarije als de regeringen van die landen die bedrijven willen </w:t>
      </w:r>
      <w:r w:rsidRPr="00256E87" w:rsidR="00A9744F">
        <w:rPr>
          <w:sz w:val="32"/>
          <w:szCs w:val="32"/>
        </w:rPr>
        <w:t xml:space="preserve">gebruiken om </w:t>
      </w:r>
      <w:r w:rsidRPr="00256E87" w:rsidR="00256E87">
        <w:rPr>
          <w:sz w:val="32"/>
          <w:szCs w:val="32"/>
        </w:rPr>
        <w:t xml:space="preserve">de Nederlandse regering te </w:t>
      </w:r>
      <w:r w:rsidRPr="00256E87">
        <w:rPr>
          <w:sz w:val="32"/>
          <w:szCs w:val="32"/>
        </w:rPr>
        <w:t xml:space="preserve">straffen voor </w:t>
      </w:r>
      <w:r w:rsidRPr="00256E87" w:rsidR="00256E87">
        <w:rPr>
          <w:sz w:val="32"/>
          <w:szCs w:val="32"/>
        </w:rPr>
        <w:t xml:space="preserve">haar </w:t>
      </w:r>
      <w:r w:rsidRPr="00256E87">
        <w:rPr>
          <w:sz w:val="32"/>
          <w:szCs w:val="32"/>
        </w:rPr>
        <w:t xml:space="preserve">standpunten </w:t>
      </w:r>
      <w:r w:rsidRPr="00256E87" w:rsidR="00256E87">
        <w:rPr>
          <w:sz w:val="32"/>
          <w:szCs w:val="32"/>
        </w:rPr>
        <w:t xml:space="preserve">met betrekking tot onafhankelijke rechtspraak. </w:t>
      </w:r>
      <w:r w:rsidR="006B3D15">
        <w:rPr>
          <w:sz w:val="32"/>
          <w:szCs w:val="32"/>
        </w:rPr>
        <w:t xml:space="preserve">Als U denkt dat </w:t>
      </w:r>
      <w:r w:rsidR="00EF479F">
        <w:rPr>
          <w:sz w:val="32"/>
          <w:szCs w:val="32"/>
        </w:rPr>
        <w:t xml:space="preserve">dit niet </w:t>
      </w:r>
      <w:r w:rsidR="008D6309">
        <w:rPr>
          <w:sz w:val="32"/>
          <w:szCs w:val="32"/>
        </w:rPr>
        <w:t xml:space="preserve">kan </w:t>
      </w:r>
      <w:r w:rsidR="00EF479F">
        <w:rPr>
          <w:sz w:val="32"/>
          <w:szCs w:val="32"/>
        </w:rPr>
        <w:t xml:space="preserve">gebeuren, dan vergist U zich. De Poolse regering gebruikt de rechterlijke macht </w:t>
      </w:r>
      <w:r w:rsidR="008D6309">
        <w:rPr>
          <w:sz w:val="32"/>
          <w:szCs w:val="32"/>
        </w:rPr>
        <w:t xml:space="preserve">steeds meer </w:t>
      </w:r>
      <w:r w:rsidR="00EF479F">
        <w:rPr>
          <w:sz w:val="32"/>
          <w:szCs w:val="32"/>
        </w:rPr>
        <w:t>om politieke tegenstanders</w:t>
      </w:r>
      <w:r w:rsidR="006174C9">
        <w:rPr>
          <w:sz w:val="32"/>
          <w:szCs w:val="32"/>
        </w:rPr>
        <w:t xml:space="preserve"> (</w:t>
      </w:r>
      <w:r w:rsidR="00FD4C23">
        <w:rPr>
          <w:sz w:val="32"/>
          <w:szCs w:val="32"/>
        </w:rPr>
        <w:t>rechters</w:t>
      </w:r>
      <w:r w:rsidR="006174C9">
        <w:rPr>
          <w:sz w:val="32"/>
          <w:szCs w:val="32"/>
        </w:rPr>
        <w:t xml:space="preserve">, </w:t>
      </w:r>
      <w:r w:rsidR="00FD4C23">
        <w:rPr>
          <w:sz w:val="32"/>
          <w:szCs w:val="32"/>
        </w:rPr>
        <w:t>advocaten</w:t>
      </w:r>
      <w:r w:rsidR="006174C9">
        <w:rPr>
          <w:sz w:val="32"/>
          <w:szCs w:val="32"/>
        </w:rPr>
        <w:t xml:space="preserve"> en anderen</w:t>
      </w:r>
      <w:r w:rsidR="00FD4C23">
        <w:rPr>
          <w:sz w:val="32"/>
          <w:szCs w:val="32"/>
        </w:rPr>
        <w:t xml:space="preserve">) </w:t>
      </w:r>
      <w:r w:rsidR="00EF479F">
        <w:rPr>
          <w:sz w:val="32"/>
          <w:szCs w:val="32"/>
        </w:rPr>
        <w:t xml:space="preserve">in Polen dwars te zitten. </w:t>
      </w:r>
      <w:r w:rsidR="00FD4C23">
        <w:rPr>
          <w:sz w:val="32"/>
          <w:szCs w:val="32"/>
        </w:rPr>
        <w:t>Wie zegt dat dit stopt</w:t>
      </w:r>
      <w:r w:rsidR="00EF479F">
        <w:rPr>
          <w:sz w:val="32"/>
          <w:szCs w:val="32"/>
        </w:rPr>
        <w:t xml:space="preserve"> </w:t>
      </w:r>
      <w:r w:rsidR="00FD4C23">
        <w:rPr>
          <w:sz w:val="32"/>
          <w:szCs w:val="32"/>
        </w:rPr>
        <w:t xml:space="preserve">bij </w:t>
      </w:r>
      <w:r w:rsidR="00EF479F">
        <w:rPr>
          <w:sz w:val="32"/>
          <w:szCs w:val="32"/>
        </w:rPr>
        <w:t>politieke tegenstanders</w:t>
      </w:r>
      <w:r w:rsidR="00A17E4F">
        <w:rPr>
          <w:rStyle w:val="Voetnootmarkering"/>
          <w:sz w:val="32"/>
          <w:szCs w:val="32"/>
        </w:rPr>
        <w:footnoteReference w:id="8"/>
      </w:r>
      <w:r w:rsidR="00EF479F">
        <w:rPr>
          <w:sz w:val="32"/>
          <w:szCs w:val="32"/>
        </w:rPr>
        <w:t xml:space="preserve"> van elders</w:t>
      </w:r>
      <w:r w:rsidR="00FD4C23">
        <w:rPr>
          <w:sz w:val="32"/>
          <w:szCs w:val="32"/>
        </w:rPr>
        <w:t>?</w:t>
      </w:r>
      <w:r w:rsidRPr="00EF479F" w:rsidR="00EF479F">
        <w:rPr>
          <w:sz w:val="32"/>
          <w:szCs w:val="32"/>
        </w:rPr>
        <w:t xml:space="preserve"> </w:t>
      </w:r>
    </w:p>
    <w:p w:rsidRPr="00EF479F" w:rsidR="008819A3" w:rsidP="008819A3" w:rsidRDefault="008819A3">
      <w:pPr>
        <w:rPr>
          <w:sz w:val="32"/>
          <w:szCs w:val="32"/>
        </w:rPr>
      </w:pPr>
    </w:p>
    <w:p w:rsidRPr="00EF479F" w:rsidR="00EF479F" w:rsidP="00EF479F" w:rsidRDefault="00EF479F">
      <w:pPr>
        <w:pStyle w:val="Lijstalinea"/>
        <w:numPr>
          <w:ilvl w:val="0"/>
          <w:numId w:val="3"/>
        </w:numPr>
        <w:rPr>
          <w:sz w:val="32"/>
          <w:szCs w:val="32"/>
        </w:rPr>
      </w:pPr>
      <w:r>
        <w:rPr>
          <w:sz w:val="32"/>
          <w:szCs w:val="32"/>
        </w:rPr>
        <w:t>Afronding</w:t>
      </w:r>
    </w:p>
    <w:p w:rsidR="00EF479F" w:rsidP="008819A3" w:rsidRDefault="00EF479F">
      <w:pPr>
        <w:rPr>
          <w:sz w:val="32"/>
          <w:szCs w:val="32"/>
        </w:rPr>
      </w:pPr>
    </w:p>
    <w:p w:rsidR="00EF479F" w:rsidP="00EF479F" w:rsidRDefault="008819A3">
      <w:pPr>
        <w:rPr>
          <w:sz w:val="32"/>
          <w:szCs w:val="32"/>
        </w:rPr>
      </w:pPr>
      <w:r w:rsidRPr="008819A3">
        <w:rPr>
          <w:sz w:val="32"/>
          <w:szCs w:val="32"/>
        </w:rPr>
        <w:t xml:space="preserve">Ik </w:t>
      </w:r>
      <w:r w:rsidR="00EF479F">
        <w:rPr>
          <w:sz w:val="32"/>
          <w:szCs w:val="32"/>
        </w:rPr>
        <w:t xml:space="preserve">rond </w:t>
      </w:r>
      <w:r w:rsidRPr="008819A3">
        <w:rPr>
          <w:sz w:val="32"/>
          <w:szCs w:val="32"/>
        </w:rPr>
        <w:t xml:space="preserve">mijn bijdrage af met de </w:t>
      </w:r>
      <w:r>
        <w:rPr>
          <w:sz w:val="32"/>
          <w:szCs w:val="32"/>
        </w:rPr>
        <w:t xml:space="preserve">conclusie dat de gevolgen van het verloren gaan van het wederzijds vertrouwen </w:t>
      </w:r>
      <w:bookmarkStart w:name="_GoBack" w:id="0"/>
      <w:bookmarkEnd w:id="0"/>
      <w:r>
        <w:rPr>
          <w:sz w:val="32"/>
          <w:szCs w:val="32"/>
        </w:rPr>
        <w:t xml:space="preserve">in de Unie grote praktische </w:t>
      </w:r>
      <w:r w:rsidR="00B92237">
        <w:rPr>
          <w:sz w:val="32"/>
          <w:szCs w:val="32"/>
        </w:rPr>
        <w:t xml:space="preserve">en politieke </w:t>
      </w:r>
      <w:r>
        <w:rPr>
          <w:sz w:val="32"/>
          <w:szCs w:val="32"/>
        </w:rPr>
        <w:t>gevolgen heeft</w:t>
      </w:r>
      <w:r w:rsidR="00B92237">
        <w:rPr>
          <w:sz w:val="32"/>
          <w:szCs w:val="32"/>
        </w:rPr>
        <w:t xml:space="preserve">. </w:t>
      </w:r>
      <w:r w:rsidR="00FD4C23">
        <w:rPr>
          <w:sz w:val="32"/>
          <w:szCs w:val="32"/>
        </w:rPr>
        <w:t>Het gaat om het voortbestaan van de Unie.</w:t>
      </w:r>
    </w:p>
    <w:p w:rsidR="00EF479F" w:rsidP="00EF479F" w:rsidRDefault="00B92237">
      <w:pPr>
        <w:rPr>
          <w:sz w:val="32"/>
          <w:szCs w:val="32"/>
        </w:rPr>
      </w:pPr>
      <w:r>
        <w:rPr>
          <w:sz w:val="32"/>
          <w:szCs w:val="32"/>
        </w:rPr>
        <w:t xml:space="preserve">Praktische gevolgen zijn: de misdaadbestrijding wordt geraakt, evenals het familierecht en het handelsverkeer en de economie, alsmede de rechtspositie van </w:t>
      </w:r>
      <w:r w:rsidR="008819A3">
        <w:rPr>
          <w:sz w:val="32"/>
          <w:szCs w:val="32"/>
        </w:rPr>
        <w:t>Nederlanders en Nederlandse bedrijven</w:t>
      </w:r>
      <w:r>
        <w:rPr>
          <w:sz w:val="32"/>
          <w:szCs w:val="32"/>
        </w:rPr>
        <w:t>.</w:t>
      </w:r>
      <w:r w:rsidR="00FD4C23">
        <w:rPr>
          <w:sz w:val="32"/>
          <w:szCs w:val="32"/>
        </w:rPr>
        <w:t xml:space="preserve"> </w:t>
      </w:r>
      <w:r w:rsidR="008819A3">
        <w:rPr>
          <w:sz w:val="32"/>
          <w:szCs w:val="32"/>
        </w:rPr>
        <w:t xml:space="preserve"> </w:t>
      </w:r>
    </w:p>
    <w:p w:rsidR="00EF479F" w:rsidP="00EF479F" w:rsidRDefault="00B92237">
      <w:pPr>
        <w:rPr>
          <w:sz w:val="32"/>
          <w:szCs w:val="32"/>
        </w:rPr>
      </w:pPr>
      <w:r>
        <w:rPr>
          <w:sz w:val="32"/>
          <w:szCs w:val="32"/>
        </w:rPr>
        <w:t xml:space="preserve">Politieke gevolgen zijn dat de Unie niet meer </w:t>
      </w:r>
      <w:r w:rsidR="00FD4C23">
        <w:rPr>
          <w:sz w:val="32"/>
          <w:szCs w:val="32"/>
        </w:rPr>
        <w:t xml:space="preserve">op </w:t>
      </w:r>
      <w:r>
        <w:rPr>
          <w:sz w:val="32"/>
          <w:szCs w:val="32"/>
        </w:rPr>
        <w:t xml:space="preserve">recht gebaseerd is, maar op belangen en macht.  </w:t>
      </w:r>
      <w:r w:rsidR="00FD4C23">
        <w:rPr>
          <w:sz w:val="32"/>
          <w:szCs w:val="32"/>
        </w:rPr>
        <w:t xml:space="preserve">Dat maakt automatismen op grond van wederzijds vertrouwen onmogelijk. </w:t>
      </w:r>
    </w:p>
    <w:p w:rsidR="00FD4C23" w:rsidP="00EF479F" w:rsidRDefault="00FD4C23">
      <w:pPr>
        <w:rPr>
          <w:sz w:val="32"/>
          <w:szCs w:val="32"/>
        </w:rPr>
      </w:pPr>
    </w:p>
    <w:p w:rsidR="008819A3" w:rsidP="00EF479F" w:rsidRDefault="002D6E8B">
      <w:pPr>
        <w:rPr>
          <w:sz w:val="32"/>
          <w:szCs w:val="32"/>
        </w:rPr>
      </w:pPr>
      <w:r>
        <w:rPr>
          <w:sz w:val="32"/>
          <w:szCs w:val="32"/>
        </w:rPr>
        <w:t>Tot een dergelijke Unie is Nederland nooit toegetreden.</w:t>
      </w:r>
    </w:p>
    <w:p w:rsidR="00A36C34" w:rsidP="00EF479F" w:rsidRDefault="00A36C34">
      <w:pPr>
        <w:rPr>
          <w:sz w:val="32"/>
          <w:szCs w:val="32"/>
        </w:rPr>
      </w:pPr>
    </w:p>
    <w:p w:rsidRPr="008819A3" w:rsidR="00A36C34" w:rsidP="00EF479F" w:rsidRDefault="00A36C34">
      <w:pPr>
        <w:rPr>
          <w:sz w:val="32"/>
          <w:szCs w:val="32"/>
        </w:rPr>
      </w:pPr>
      <w:r>
        <w:rPr>
          <w:sz w:val="32"/>
          <w:szCs w:val="32"/>
        </w:rPr>
        <w:t>Ik dank U voor uw aandacht.</w:t>
      </w:r>
    </w:p>
    <w:p w:rsidRPr="008819A3" w:rsidR="0029318D" w:rsidP="0029318D" w:rsidRDefault="0029318D">
      <w:pPr>
        <w:pStyle w:val="Lijstalinea"/>
        <w:ind w:left="1068"/>
        <w:rPr>
          <w:sz w:val="32"/>
          <w:szCs w:val="32"/>
        </w:rPr>
      </w:pPr>
    </w:p>
    <w:sectPr w:rsidRPr="008819A3" w:rsidR="0029318D" w:rsidSect="00161F95">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A93" w:rsidRDefault="00725A93" w:rsidP="001239DB">
      <w:r>
        <w:separator/>
      </w:r>
    </w:p>
  </w:endnote>
  <w:endnote w:type="continuationSeparator" w:id="0">
    <w:p w:rsidR="00725A93" w:rsidRDefault="00725A93" w:rsidP="0012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A93" w:rsidRDefault="00725A93" w:rsidP="001239DB">
      <w:r>
        <w:separator/>
      </w:r>
    </w:p>
  </w:footnote>
  <w:footnote w:type="continuationSeparator" w:id="0">
    <w:p w:rsidR="00725A93" w:rsidRDefault="00725A93" w:rsidP="001239DB">
      <w:r>
        <w:continuationSeparator/>
      </w:r>
    </w:p>
  </w:footnote>
  <w:footnote w:id="1">
    <w:p w:rsidR="002A5A45" w:rsidRPr="00C23DFC" w:rsidRDefault="002A5A45">
      <w:pPr>
        <w:pStyle w:val="Voetnoottekst"/>
        <w:rPr>
          <w:lang w:val="en-US"/>
        </w:rPr>
      </w:pPr>
      <w:r>
        <w:rPr>
          <w:rStyle w:val="Voetnootmarkering"/>
        </w:rPr>
        <w:footnoteRef/>
      </w:r>
      <w:r>
        <w:t xml:space="preserve"> In zijn boek </w:t>
      </w:r>
      <w:proofErr w:type="spellStart"/>
      <w:r>
        <w:t>From</w:t>
      </w:r>
      <w:proofErr w:type="spellEnd"/>
      <w:r>
        <w:t xml:space="preserve"> Idea lto </w:t>
      </w:r>
      <w:proofErr w:type="spellStart"/>
      <w:r>
        <w:t>Idol</w:t>
      </w:r>
      <w:proofErr w:type="spellEnd"/>
      <w:r>
        <w:t xml:space="preserve">? </w:t>
      </w:r>
      <w:r w:rsidRPr="002A5A45">
        <w:rPr>
          <w:lang w:val="en-US"/>
        </w:rPr>
        <w:t xml:space="preserve">The Concept of Rule of Law (2019) </w:t>
      </w:r>
      <w:proofErr w:type="spellStart"/>
      <w:r w:rsidRPr="002A5A45">
        <w:rPr>
          <w:lang w:val="en-US"/>
        </w:rPr>
        <w:t>noemt</w:t>
      </w:r>
      <w:proofErr w:type="spellEnd"/>
      <w:r w:rsidRPr="002A5A45">
        <w:rPr>
          <w:lang w:val="en-US"/>
        </w:rPr>
        <w:t xml:space="preserve"> Andras </w:t>
      </w:r>
      <w:proofErr w:type="spellStart"/>
      <w:r w:rsidRPr="002A5A45">
        <w:rPr>
          <w:lang w:val="en-US"/>
        </w:rPr>
        <w:t>Zs</w:t>
      </w:r>
      <w:proofErr w:type="spellEnd"/>
      <w:r w:rsidRPr="002A5A45">
        <w:rPr>
          <w:lang w:val="en-US"/>
        </w:rPr>
        <w:t xml:space="preserve">. </w:t>
      </w:r>
      <w:proofErr w:type="spellStart"/>
      <w:r w:rsidRPr="00C23DFC">
        <w:rPr>
          <w:lang w:val="en-US"/>
        </w:rPr>
        <w:t>Varga</w:t>
      </w:r>
      <w:proofErr w:type="spellEnd"/>
      <w:r w:rsidRPr="00C23DFC">
        <w:rPr>
          <w:lang w:val="en-US"/>
        </w:rPr>
        <w:t xml:space="preserve">, </w:t>
      </w:r>
      <w:proofErr w:type="spellStart"/>
      <w:r w:rsidRPr="00C23DFC">
        <w:rPr>
          <w:lang w:val="en-US"/>
        </w:rPr>
        <w:t>zojuist</w:t>
      </w:r>
      <w:proofErr w:type="spellEnd"/>
      <w:r w:rsidRPr="00C23DFC">
        <w:rPr>
          <w:lang w:val="en-US"/>
        </w:rPr>
        <w:t xml:space="preserve"> </w:t>
      </w:r>
      <w:proofErr w:type="spellStart"/>
      <w:r w:rsidRPr="00C23DFC">
        <w:rPr>
          <w:lang w:val="en-US"/>
        </w:rPr>
        <w:t>benoemd</w:t>
      </w:r>
      <w:proofErr w:type="spellEnd"/>
      <w:r w:rsidRPr="00C23DFC">
        <w:rPr>
          <w:lang w:val="en-US"/>
        </w:rPr>
        <w:t xml:space="preserve"> tot president van de Supreme Court in </w:t>
      </w:r>
      <w:proofErr w:type="spellStart"/>
      <w:r w:rsidRPr="00C23DFC">
        <w:rPr>
          <w:lang w:val="en-US"/>
        </w:rPr>
        <w:t>Boedapest</w:t>
      </w:r>
      <w:proofErr w:type="spellEnd"/>
      <w:r w:rsidRPr="00C23DFC">
        <w:rPr>
          <w:lang w:val="en-US"/>
        </w:rPr>
        <w:t xml:space="preserve">, de Rule of Law </w:t>
      </w:r>
      <w:proofErr w:type="spellStart"/>
      <w:r w:rsidRPr="00C23DFC">
        <w:rPr>
          <w:lang w:val="en-US"/>
        </w:rPr>
        <w:t>een</w:t>
      </w:r>
      <w:proofErr w:type="spellEnd"/>
      <w:r w:rsidRPr="00C23DFC">
        <w:rPr>
          <w:lang w:val="en-US"/>
        </w:rPr>
        <w:t xml:space="preserve"> ‘magic wand’</w:t>
      </w:r>
      <w:r w:rsidR="00C23DFC" w:rsidRPr="00C23DFC">
        <w:rPr>
          <w:lang w:val="en-US"/>
        </w:rPr>
        <w:t xml:space="preserve"> (</w:t>
      </w:r>
      <w:proofErr w:type="spellStart"/>
      <w:r w:rsidR="00C23DFC" w:rsidRPr="00C23DFC">
        <w:rPr>
          <w:lang w:val="en-US"/>
        </w:rPr>
        <w:t>blz</w:t>
      </w:r>
      <w:proofErr w:type="spellEnd"/>
      <w:r w:rsidR="00C23DFC" w:rsidRPr="00C23DFC">
        <w:rPr>
          <w:lang w:val="en-US"/>
        </w:rPr>
        <w:t xml:space="preserve">. 15), </w:t>
      </w:r>
      <w:r w:rsidR="00C23DFC">
        <w:rPr>
          <w:lang w:val="en-US"/>
        </w:rPr>
        <w:t>‘</w:t>
      </w:r>
      <w:r w:rsidR="00C23DFC" w:rsidRPr="00C23DFC">
        <w:rPr>
          <w:lang w:val="en-US"/>
        </w:rPr>
        <w:t>arbitrary by</w:t>
      </w:r>
      <w:r w:rsidR="00C23DFC">
        <w:rPr>
          <w:lang w:val="en-US"/>
        </w:rPr>
        <w:t xml:space="preserve"> necessity’ (</w:t>
      </w:r>
      <w:proofErr w:type="spellStart"/>
      <w:r w:rsidR="00C23DFC">
        <w:rPr>
          <w:lang w:val="en-US"/>
        </w:rPr>
        <w:t>blz</w:t>
      </w:r>
      <w:proofErr w:type="spellEnd"/>
      <w:r w:rsidR="00C23DFC">
        <w:rPr>
          <w:lang w:val="en-US"/>
        </w:rPr>
        <w:t xml:space="preserve">. 14) </w:t>
      </w:r>
      <w:proofErr w:type="spellStart"/>
      <w:r w:rsidR="00C23DFC">
        <w:rPr>
          <w:lang w:val="en-US"/>
        </w:rPr>
        <w:t>en</w:t>
      </w:r>
      <w:proofErr w:type="spellEnd"/>
      <w:r w:rsidR="00C23DFC">
        <w:rPr>
          <w:lang w:val="en-US"/>
        </w:rPr>
        <w:t xml:space="preserve"> ‘an arbitrary means of discipline due to its vague content’ (</w:t>
      </w:r>
      <w:proofErr w:type="spellStart"/>
      <w:r w:rsidR="00C23DFC">
        <w:rPr>
          <w:lang w:val="en-US"/>
        </w:rPr>
        <w:t>blz</w:t>
      </w:r>
      <w:proofErr w:type="spellEnd"/>
      <w:r w:rsidR="00C23DFC">
        <w:rPr>
          <w:lang w:val="en-US"/>
        </w:rPr>
        <w:t>. 17)</w:t>
      </w:r>
      <w:r w:rsidR="00A36C34">
        <w:rPr>
          <w:lang w:val="en-US"/>
        </w:rPr>
        <w:t>.</w:t>
      </w:r>
    </w:p>
  </w:footnote>
  <w:footnote w:id="2">
    <w:p w:rsidR="001239DB" w:rsidRDefault="001239DB">
      <w:pPr>
        <w:pStyle w:val="Voetnoottekst"/>
      </w:pPr>
      <w:r>
        <w:rPr>
          <w:rStyle w:val="Voetnootmarkering"/>
        </w:rPr>
        <w:footnoteRef/>
      </w:r>
      <w:r>
        <w:t xml:space="preserve"> Onlangs verscheen in de pers een brief van het Ministerie van Justitie in Polen met de instructie aan rechters dat zij de vragen die EU-rechters stelden aan Poolse rechters in het kader van het  Europese Arrestatie Bevel niet mochten beantwoorden dan met toestemming van het ministerie.</w:t>
      </w:r>
      <w:r w:rsidR="002A5A45">
        <w:t xml:space="preserve"> Zie bijvoorbeeld Trouw 1 december 2020, blz. 13. De brief is in mijn bezit.</w:t>
      </w:r>
      <w:r>
        <w:t xml:space="preserve"> </w:t>
      </w:r>
    </w:p>
  </w:footnote>
  <w:footnote w:id="3">
    <w:p w:rsidR="00C23DFC" w:rsidRPr="00204E4A" w:rsidRDefault="00C23DFC">
      <w:pPr>
        <w:pStyle w:val="Voetnoottekst"/>
        <w:rPr>
          <w:lang w:val="en-US"/>
        </w:rPr>
      </w:pPr>
      <w:r>
        <w:rPr>
          <w:rStyle w:val="Voetnootmarkering"/>
        </w:rPr>
        <w:footnoteRef/>
      </w:r>
      <w:r w:rsidRPr="00204E4A">
        <w:rPr>
          <w:lang w:val="en-US"/>
        </w:rPr>
        <w:t xml:space="preserve"> </w:t>
      </w:r>
      <w:r w:rsidR="00204E4A" w:rsidRPr="00204E4A">
        <w:rPr>
          <w:lang w:val="en-US"/>
        </w:rPr>
        <w:t xml:space="preserve">ECHR </w:t>
      </w:r>
      <w:proofErr w:type="spellStart"/>
      <w:r w:rsidR="00204E4A" w:rsidRPr="00204E4A">
        <w:rPr>
          <w:lang w:val="en-US"/>
        </w:rPr>
        <w:t>Guomundur</w:t>
      </w:r>
      <w:proofErr w:type="spellEnd"/>
      <w:r w:rsidR="00204E4A" w:rsidRPr="00204E4A">
        <w:rPr>
          <w:lang w:val="en-US"/>
        </w:rPr>
        <w:t xml:space="preserve"> </w:t>
      </w:r>
      <w:proofErr w:type="spellStart"/>
      <w:r w:rsidR="00204E4A" w:rsidRPr="00204E4A">
        <w:rPr>
          <w:lang w:val="en-US"/>
        </w:rPr>
        <w:t>Andri</w:t>
      </w:r>
      <w:proofErr w:type="spellEnd"/>
      <w:r w:rsidR="00204E4A" w:rsidRPr="00204E4A">
        <w:rPr>
          <w:lang w:val="en-US"/>
        </w:rPr>
        <w:t xml:space="preserve"> </w:t>
      </w:r>
      <w:proofErr w:type="spellStart"/>
      <w:r w:rsidR="00204E4A" w:rsidRPr="00204E4A">
        <w:rPr>
          <w:lang w:val="en-US"/>
        </w:rPr>
        <w:t>Astraosson</w:t>
      </w:r>
      <w:proofErr w:type="spellEnd"/>
      <w:r w:rsidR="00204E4A" w:rsidRPr="00204E4A">
        <w:rPr>
          <w:lang w:val="en-US"/>
        </w:rPr>
        <w:t xml:space="preserve"> v. I</w:t>
      </w:r>
      <w:r w:rsidR="00204E4A">
        <w:rPr>
          <w:lang w:val="en-US"/>
        </w:rPr>
        <w:t xml:space="preserve">celand, </w:t>
      </w:r>
      <w:r w:rsidR="00204E4A" w:rsidRPr="00204E4A">
        <w:rPr>
          <w:lang w:val="en-US"/>
        </w:rPr>
        <w:t>1 December 2020</w:t>
      </w:r>
      <w:r w:rsidR="00204E4A">
        <w:rPr>
          <w:lang w:val="en-US"/>
        </w:rPr>
        <w:t>, Application no 26374/18</w:t>
      </w:r>
      <w:r w:rsidR="006B0459">
        <w:rPr>
          <w:lang w:val="en-US"/>
        </w:rPr>
        <w:t>.</w:t>
      </w:r>
    </w:p>
  </w:footnote>
  <w:footnote w:id="4">
    <w:p w:rsidR="00465D1A" w:rsidRDefault="00465D1A">
      <w:pPr>
        <w:pStyle w:val="Voetnoottekst"/>
      </w:pPr>
      <w:r>
        <w:rPr>
          <w:rStyle w:val="Voetnootmarkering"/>
        </w:rPr>
        <w:footnoteRef/>
      </w:r>
      <w:r>
        <w:t xml:space="preserve"> Hongarije heeft onlangs de kwaliteitscriteria voor benoeming in de </w:t>
      </w:r>
      <w:proofErr w:type="spellStart"/>
      <w:r>
        <w:t>Supreme</w:t>
      </w:r>
      <w:proofErr w:type="spellEnd"/>
      <w:r>
        <w:t xml:space="preserve"> Court (jaren ervaring als rechter) aangepast louter om de recente benoeming van de </w:t>
      </w:r>
      <w:proofErr w:type="spellStart"/>
      <w:r>
        <w:t>Fidesz</w:t>
      </w:r>
      <w:proofErr w:type="spellEnd"/>
      <w:r>
        <w:t xml:space="preserve"> </w:t>
      </w:r>
      <w:proofErr w:type="spellStart"/>
      <w:r>
        <w:t>partij-ideoloog</w:t>
      </w:r>
      <w:proofErr w:type="spellEnd"/>
      <w:r>
        <w:t xml:space="preserve"> </w:t>
      </w:r>
      <w:proofErr w:type="spellStart"/>
      <w:r>
        <w:t>Vargas</w:t>
      </w:r>
      <w:proofErr w:type="spellEnd"/>
      <w:r>
        <w:t xml:space="preserve"> mogelijk te maken. Zie ook noot 1.</w:t>
      </w:r>
    </w:p>
  </w:footnote>
  <w:footnote w:id="5">
    <w:p w:rsidR="00204E4A" w:rsidRDefault="00204E4A">
      <w:pPr>
        <w:pStyle w:val="Voetnoottekst"/>
      </w:pPr>
      <w:r>
        <w:rPr>
          <w:rStyle w:val="Voetnootmarkering"/>
        </w:rPr>
        <w:footnoteRef/>
      </w:r>
      <w:r>
        <w:t xml:space="preserve"> CJEU, 24 Juni 2019, C-619/18.</w:t>
      </w:r>
    </w:p>
  </w:footnote>
  <w:footnote w:id="6">
    <w:p w:rsidR="00A17E4F" w:rsidRDefault="00A17E4F">
      <w:pPr>
        <w:pStyle w:val="Voetnoottekst"/>
      </w:pPr>
      <w:r>
        <w:rPr>
          <w:rStyle w:val="Voetnootmarkering"/>
        </w:rPr>
        <w:footnoteRef/>
      </w:r>
      <w:r>
        <w:t xml:space="preserve"> Zo bepaalt de door PIS benoemde president van het Poolse Constitutionele Hof de samenstelling van een kamer die een zaak beslist. In zaken die voor de regering wezenlijk zijn zaten daarin in meerderheid steeds door PIS benoemde rechters, terwijl die nog niet de meerderheid van het Hof uitmaken. De andere rechters worden aldus ‘kalt </w:t>
      </w:r>
      <w:proofErr w:type="spellStart"/>
      <w:r>
        <w:t>gestellt</w:t>
      </w:r>
      <w:proofErr w:type="spellEnd"/>
      <w:r>
        <w:t>’.</w:t>
      </w:r>
    </w:p>
  </w:footnote>
  <w:footnote w:id="7">
    <w:p w:rsidR="00465D1A" w:rsidRDefault="00465D1A">
      <w:pPr>
        <w:pStyle w:val="Voetnoottekst"/>
      </w:pPr>
      <w:r>
        <w:rPr>
          <w:rStyle w:val="Voetnootmarkering"/>
        </w:rPr>
        <w:footnoteRef/>
      </w:r>
      <w:r>
        <w:t xml:space="preserve"> Zie artikel 2 Europees </w:t>
      </w:r>
      <w:r w:rsidR="006B0459">
        <w:t xml:space="preserve">Unie </w:t>
      </w:r>
      <w:r>
        <w:t>Verdrag.</w:t>
      </w:r>
    </w:p>
  </w:footnote>
  <w:footnote w:id="8">
    <w:p w:rsidR="00A17E4F" w:rsidRDefault="00A17E4F">
      <w:pPr>
        <w:pStyle w:val="Voetnoottekst"/>
      </w:pPr>
      <w:r>
        <w:rPr>
          <w:rStyle w:val="Voetnootmarkering"/>
        </w:rPr>
        <w:footnoteRef/>
      </w:r>
      <w:r>
        <w:t xml:space="preserve"> De Poolse regering noemt Nederland in de pers nu officieel ‘tegenstander’.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BA8"/>
    <w:multiLevelType w:val="hybridMultilevel"/>
    <w:tmpl w:val="3A08CEB4"/>
    <w:lvl w:ilvl="0" w:tplc="48881A1E">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56B65F1"/>
    <w:multiLevelType w:val="hybridMultilevel"/>
    <w:tmpl w:val="6144F080"/>
    <w:lvl w:ilvl="0" w:tplc="EE22381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EC3266"/>
    <w:multiLevelType w:val="hybridMultilevel"/>
    <w:tmpl w:val="35EC30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4B3837"/>
    <w:multiLevelType w:val="hybridMultilevel"/>
    <w:tmpl w:val="FBCEDAD8"/>
    <w:lvl w:ilvl="0" w:tplc="21226A5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9B5BCD"/>
    <w:multiLevelType w:val="hybridMultilevel"/>
    <w:tmpl w:val="27926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CB"/>
    <w:rsid w:val="000D1A67"/>
    <w:rsid w:val="000F6D85"/>
    <w:rsid w:val="001239DB"/>
    <w:rsid w:val="0013297B"/>
    <w:rsid w:val="00145AC3"/>
    <w:rsid w:val="00161F95"/>
    <w:rsid w:val="001843DB"/>
    <w:rsid w:val="00204E4A"/>
    <w:rsid w:val="002417A9"/>
    <w:rsid w:val="00256E87"/>
    <w:rsid w:val="0029318D"/>
    <w:rsid w:val="002A5A45"/>
    <w:rsid w:val="002D6E8B"/>
    <w:rsid w:val="002F4FEF"/>
    <w:rsid w:val="00333043"/>
    <w:rsid w:val="003472FB"/>
    <w:rsid w:val="003B25B0"/>
    <w:rsid w:val="003F01DE"/>
    <w:rsid w:val="0041464B"/>
    <w:rsid w:val="00465D1A"/>
    <w:rsid w:val="0050182A"/>
    <w:rsid w:val="006174C9"/>
    <w:rsid w:val="006431CA"/>
    <w:rsid w:val="006646B7"/>
    <w:rsid w:val="006B0459"/>
    <w:rsid w:val="006B3D15"/>
    <w:rsid w:val="00725A93"/>
    <w:rsid w:val="007760F0"/>
    <w:rsid w:val="007F1179"/>
    <w:rsid w:val="008364DD"/>
    <w:rsid w:val="008819A3"/>
    <w:rsid w:val="0088489C"/>
    <w:rsid w:val="008C3359"/>
    <w:rsid w:val="008D6309"/>
    <w:rsid w:val="00A16E81"/>
    <w:rsid w:val="00A17E4F"/>
    <w:rsid w:val="00A22DC7"/>
    <w:rsid w:val="00A36C34"/>
    <w:rsid w:val="00A57248"/>
    <w:rsid w:val="00A9744F"/>
    <w:rsid w:val="00B870CB"/>
    <w:rsid w:val="00B92237"/>
    <w:rsid w:val="00B9680B"/>
    <w:rsid w:val="00C21C90"/>
    <w:rsid w:val="00C23DFC"/>
    <w:rsid w:val="00C84C30"/>
    <w:rsid w:val="00CC407B"/>
    <w:rsid w:val="00CF37EC"/>
    <w:rsid w:val="00D04363"/>
    <w:rsid w:val="00D6592D"/>
    <w:rsid w:val="00D9001A"/>
    <w:rsid w:val="00DE05E0"/>
    <w:rsid w:val="00E02EC0"/>
    <w:rsid w:val="00E65BD7"/>
    <w:rsid w:val="00E80FD5"/>
    <w:rsid w:val="00E902F0"/>
    <w:rsid w:val="00EF479F"/>
    <w:rsid w:val="00F26C24"/>
    <w:rsid w:val="00F85CD2"/>
    <w:rsid w:val="00FC5F62"/>
    <w:rsid w:val="00FD1554"/>
    <w:rsid w:val="00FD4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FAA1B7"/>
  <w15:chartTrackingRefBased/>
  <w15:docId w15:val="{69AD394E-CF2E-814B-96DF-57CD9EA2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70CB"/>
    <w:pPr>
      <w:ind w:left="720"/>
      <w:contextualSpacing/>
    </w:pPr>
  </w:style>
  <w:style w:type="paragraph" w:styleId="Voetnoottekst">
    <w:name w:val="footnote text"/>
    <w:basedOn w:val="Standaard"/>
    <w:link w:val="VoetnoottekstChar"/>
    <w:uiPriority w:val="99"/>
    <w:semiHidden/>
    <w:unhideWhenUsed/>
    <w:rsid w:val="001239DB"/>
    <w:rPr>
      <w:sz w:val="20"/>
      <w:szCs w:val="20"/>
    </w:rPr>
  </w:style>
  <w:style w:type="character" w:customStyle="1" w:styleId="VoetnoottekstChar">
    <w:name w:val="Voetnoottekst Char"/>
    <w:basedOn w:val="Standaardalinea-lettertype"/>
    <w:link w:val="Voetnoottekst"/>
    <w:uiPriority w:val="99"/>
    <w:semiHidden/>
    <w:rsid w:val="001239DB"/>
    <w:rPr>
      <w:sz w:val="20"/>
      <w:szCs w:val="20"/>
    </w:rPr>
  </w:style>
  <w:style w:type="character" w:styleId="Voetnootmarkering">
    <w:name w:val="footnote reference"/>
    <w:basedOn w:val="Standaardalinea-lettertype"/>
    <w:uiPriority w:val="99"/>
    <w:semiHidden/>
    <w:unhideWhenUsed/>
    <w:rsid w:val="00123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1437</ap:Words>
  <ap:Characters>7904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2020-12-06T13:27:00.0000000Z</lastPrinted>
  <dcterms:created xsi:type="dcterms:W3CDTF">2020-12-04T17:21:00.0000000Z</dcterms:created>
  <dcterms:modified xsi:type="dcterms:W3CDTF">2020-12-06T13:45:00.0000000Z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0x010100B5F90DC507A78B4290B26513CD972292</vt:lpwstr>
  </property>
</Properties>
</file>