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75CBB" w:rsidR="00516137" w:rsidRDefault="00975CBB" w14:paraId="5EB046CE" w14:textId="112013EF">
      <w:pPr>
        <w:rPr>
          <w:sz w:val="28"/>
          <w:szCs w:val="28"/>
        </w:rPr>
      </w:pPr>
      <w:r w:rsidRPr="00975CBB">
        <w:rPr>
          <w:sz w:val="28"/>
          <w:szCs w:val="28"/>
        </w:rPr>
        <w:t>INTRO</w:t>
      </w:r>
    </w:p>
    <w:p w:rsidR="00975CBB" w:rsidRDefault="00975CBB" w14:paraId="16A9798A" w14:textId="0C717289">
      <w:pPr>
        <w:rPr>
          <w:sz w:val="28"/>
          <w:szCs w:val="28"/>
        </w:rPr>
      </w:pPr>
      <w:r w:rsidRPr="00975CBB">
        <w:rPr>
          <w:sz w:val="28"/>
          <w:szCs w:val="28"/>
        </w:rPr>
        <w:t xml:space="preserve">Ronde tafel bijeenkomst  </w:t>
      </w:r>
      <w:r w:rsidR="005F2E6C">
        <w:rPr>
          <w:sz w:val="28"/>
          <w:szCs w:val="28"/>
        </w:rPr>
        <w:t xml:space="preserve"> Tweede </w:t>
      </w:r>
      <w:r w:rsidR="001819B7">
        <w:rPr>
          <w:sz w:val="28"/>
          <w:szCs w:val="28"/>
        </w:rPr>
        <w:t>K</w:t>
      </w:r>
      <w:r w:rsidRPr="00975CBB">
        <w:rPr>
          <w:sz w:val="28"/>
          <w:szCs w:val="28"/>
        </w:rPr>
        <w:t xml:space="preserve">amercommissie </w:t>
      </w:r>
      <w:r>
        <w:rPr>
          <w:sz w:val="28"/>
          <w:szCs w:val="28"/>
        </w:rPr>
        <w:t xml:space="preserve">Sociale Zaken en </w:t>
      </w:r>
      <w:r w:rsidR="00881E3F">
        <w:rPr>
          <w:sz w:val="28"/>
          <w:szCs w:val="28"/>
        </w:rPr>
        <w:t>Werkgeleg</w:t>
      </w:r>
      <w:r w:rsidR="005F2E6C">
        <w:rPr>
          <w:sz w:val="28"/>
          <w:szCs w:val="28"/>
        </w:rPr>
        <w:t>e</w:t>
      </w:r>
      <w:r w:rsidR="00881E3F">
        <w:rPr>
          <w:sz w:val="28"/>
          <w:szCs w:val="28"/>
        </w:rPr>
        <w:t>nheid</w:t>
      </w:r>
      <w:r>
        <w:rPr>
          <w:sz w:val="28"/>
          <w:szCs w:val="28"/>
        </w:rPr>
        <w:t xml:space="preserve"> </w:t>
      </w:r>
    </w:p>
    <w:p w:rsidR="00975CBB" w:rsidRDefault="00975CBB" w14:paraId="580F738C" w14:textId="61D0BD3E">
      <w:pPr>
        <w:rPr>
          <w:sz w:val="28"/>
          <w:szCs w:val="28"/>
        </w:rPr>
      </w:pPr>
      <w:r>
        <w:rPr>
          <w:sz w:val="28"/>
          <w:szCs w:val="28"/>
        </w:rPr>
        <w:t>25 november 2020</w:t>
      </w:r>
    </w:p>
    <w:p w:rsidRPr="002164FF" w:rsidR="002164FF" w:rsidRDefault="002164FF" w14:paraId="1FF8F048" w14:textId="09384FF6">
      <w:pPr>
        <w:rPr>
          <w:i/>
          <w:iCs/>
          <w:sz w:val="28"/>
          <w:szCs w:val="28"/>
        </w:rPr>
      </w:pPr>
      <w:proofErr w:type="spellStart"/>
      <w:r w:rsidRPr="002164FF">
        <w:rPr>
          <w:i/>
          <w:iCs/>
          <w:sz w:val="28"/>
          <w:szCs w:val="28"/>
        </w:rPr>
        <w:t>H.U.Jessurun</w:t>
      </w:r>
      <w:proofErr w:type="spellEnd"/>
      <w:r w:rsidRPr="002164FF">
        <w:rPr>
          <w:i/>
          <w:iCs/>
          <w:sz w:val="28"/>
          <w:szCs w:val="28"/>
        </w:rPr>
        <w:t xml:space="preserve"> d’Oliveira</w:t>
      </w:r>
      <w:r>
        <w:rPr>
          <w:i/>
          <w:iCs/>
          <w:sz w:val="28"/>
          <w:szCs w:val="28"/>
        </w:rPr>
        <w:t xml:space="preserve"> (Oud-hoogleraar Universiteit van Amsterdam en Europees </w:t>
      </w:r>
      <w:r w:rsidR="005F2E6C">
        <w:rPr>
          <w:i/>
          <w:iCs/>
          <w:sz w:val="28"/>
          <w:szCs w:val="28"/>
        </w:rPr>
        <w:t>U</w:t>
      </w:r>
      <w:r>
        <w:rPr>
          <w:i/>
          <w:iCs/>
          <w:sz w:val="28"/>
          <w:szCs w:val="28"/>
        </w:rPr>
        <w:t xml:space="preserve">niversitair Instituut ( Florence) </w:t>
      </w:r>
      <w:r w:rsidR="005F2E6C">
        <w:rPr>
          <w:i/>
          <w:iCs/>
          <w:sz w:val="28"/>
          <w:szCs w:val="28"/>
        </w:rPr>
        <w:t>internationaal privaatrecht, rechtsvergelijking, migratierecht, Europees recht.)</w:t>
      </w:r>
    </w:p>
    <w:p w:rsidR="00975CBB" w:rsidRDefault="00975CBB" w14:paraId="2057490E" w14:textId="4F9A5CCD">
      <w:pPr>
        <w:rPr>
          <w:sz w:val="28"/>
          <w:szCs w:val="28"/>
        </w:rPr>
      </w:pPr>
    </w:p>
    <w:p w:rsidR="00975CBB" w:rsidP="00975CBB" w:rsidRDefault="00975CBB" w14:paraId="6FE6FF95" w14:textId="39BA33D4">
      <w:pPr>
        <w:pStyle w:val="Lijstalinea"/>
        <w:numPr>
          <w:ilvl w:val="0"/>
          <w:numId w:val="1"/>
        </w:numPr>
        <w:rPr>
          <w:sz w:val="28"/>
          <w:szCs w:val="28"/>
        </w:rPr>
      </w:pPr>
      <w:r>
        <w:rPr>
          <w:sz w:val="28"/>
          <w:szCs w:val="28"/>
        </w:rPr>
        <w:t>Waarom dit gesprek  bij deze Kamercommissie? Het onderwerp ra</w:t>
      </w:r>
      <w:r w:rsidR="00D82532">
        <w:rPr>
          <w:sz w:val="28"/>
          <w:szCs w:val="28"/>
        </w:rPr>
        <w:t>a</w:t>
      </w:r>
      <w:r>
        <w:rPr>
          <w:sz w:val="28"/>
          <w:szCs w:val="28"/>
        </w:rPr>
        <w:t xml:space="preserve">kt aan het werkterrein van een flink aantal andere departementen: </w:t>
      </w:r>
      <w:proofErr w:type="spellStart"/>
      <w:r>
        <w:rPr>
          <w:sz w:val="28"/>
          <w:szCs w:val="28"/>
        </w:rPr>
        <w:t>Biza</w:t>
      </w:r>
      <w:proofErr w:type="spellEnd"/>
      <w:r>
        <w:rPr>
          <w:sz w:val="28"/>
          <w:szCs w:val="28"/>
        </w:rPr>
        <w:t xml:space="preserve">, </w:t>
      </w:r>
      <w:proofErr w:type="spellStart"/>
      <w:r>
        <w:rPr>
          <w:sz w:val="28"/>
          <w:szCs w:val="28"/>
        </w:rPr>
        <w:t>Buza</w:t>
      </w:r>
      <w:proofErr w:type="spellEnd"/>
      <w:r>
        <w:rPr>
          <w:sz w:val="28"/>
          <w:szCs w:val="28"/>
        </w:rPr>
        <w:t>, Justitie en Veiligheid etc.</w:t>
      </w:r>
    </w:p>
    <w:p w:rsidR="00975CBB" w:rsidP="00975CBB" w:rsidRDefault="00975CBB" w14:paraId="33330BF3" w14:textId="55C11DDA">
      <w:pPr>
        <w:pStyle w:val="Lijstalinea"/>
        <w:rPr>
          <w:sz w:val="28"/>
          <w:szCs w:val="28"/>
        </w:rPr>
      </w:pPr>
      <w:r>
        <w:rPr>
          <w:sz w:val="28"/>
          <w:szCs w:val="28"/>
        </w:rPr>
        <w:t xml:space="preserve">Hier wil ik, als vervolg op mijn </w:t>
      </w:r>
      <w:proofErr w:type="spellStart"/>
      <w:r>
        <w:rPr>
          <w:sz w:val="28"/>
          <w:szCs w:val="28"/>
        </w:rPr>
        <w:t>position</w:t>
      </w:r>
      <w:proofErr w:type="spellEnd"/>
      <w:r>
        <w:rPr>
          <w:sz w:val="28"/>
          <w:szCs w:val="28"/>
        </w:rPr>
        <w:t xml:space="preserve"> paper uit het NJB </w:t>
      </w:r>
      <w:r w:rsidR="00D82532">
        <w:rPr>
          <w:sz w:val="28"/>
          <w:szCs w:val="28"/>
        </w:rPr>
        <w:t xml:space="preserve"> 2002 nr. 2509 , 30 oktober) </w:t>
      </w:r>
      <w:r>
        <w:rPr>
          <w:sz w:val="28"/>
          <w:szCs w:val="28"/>
        </w:rPr>
        <w:t>een paar algemene opmerkingen toevoegen,</w:t>
      </w:r>
    </w:p>
    <w:p w:rsidR="00975CBB" w:rsidP="00975CBB" w:rsidRDefault="00975CBB" w14:paraId="67329ACC" w14:textId="1B69843D">
      <w:pPr>
        <w:pStyle w:val="Lijstalinea"/>
        <w:rPr>
          <w:sz w:val="28"/>
          <w:szCs w:val="28"/>
        </w:rPr>
      </w:pPr>
    </w:p>
    <w:p w:rsidR="00975CBB" w:rsidP="00975CBB" w:rsidRDefault="00975CBB" w14:paraId="3A02E2DD" w14:textId="1BC615CC">
      <w:pPr>
        <w:pStyle w:val="Lijstalinea"/>
        <w:rPr>
          <w:sz w:val="28"/>
          <w:szCs w:val="28"/>
        </w:rPr>
      </w:pPr>
    </w:p>
    <w:p w:rsidR="00975CBB" w:rsidP="00975CBB" w:rsidRDefault="00975CBB" w14:paraId="193F00F6" w14:textId="2114ACA5">
      <w:pPr>
        <w:pStyle w:val="Lijstalinea"/>
        <w:rPr>
          <w:sz w:val="28"/>
          <w:szCs w:val="28"/>
        </w:rPr>
      </w:pPr>
    </w:p>
    <w:p w:rsidR="00975CBB" w:rsidP="00975CBB" w:rsidRDefault="00975CBB" w14:paraId="312FF029" w14:textId="0FC13659">
      <w:pPr>
        <w:pStyle w:val="Lijstalinea"/>
        <w:numPr>
          <w:ilvl w:val="0"/>
          <w:numId w:val="1"/>
        </w:numPr>
        <w:rPr>
          <w:sz w:val="28"/>
          <w:szCs w:val="28"/>
        </w:rPr>
      </w:pPr>
      <w:r>
        <w:rPr>
          <w:sz w:val="28"/>
          <w:szCs w:val="28"/>
        </w:rPr>
        <w:t xml:space="preserve">Het centrale voorstel in de initiatiefnota </w:t>
      </w:r>
      <w:proofErr w:type="spellStart"/>
      <w:r>
        <w:rPr>
          <w:sz w:val="28"/>
          <w:szCs w:val="28"/>
        </w:rPr>
        <w:t>Paternotte</w:t>
      </w:r>
      <w:proofErr w:type="spellEnd"/>
      <w:r>
        <w:rPr>
          <w:sz w:val="28"/>
          <w:szCs w:val="28"/>
        </w:rPr>
        <w:t xml:space="preserve"> om </w:t>
      </w:r>
      <w:proofErr w:type="spellStart"/>
      <w:r>
        <w:rPr>
          <w:sz w:val="28"/>
          <w:szCs w:val="28"/>
        </w:rPr>
        <w:t>bipatriden</w:t>
      </w:r>
      <w:proofErr w:type="spellEnd"/>
      <w:r>
        <w:rPr>
          <w:sz w:val="28"/>
          <w:szCs w:val="28"/>
        </w:rPr>
        <w:t xml:space="preserve"> die niet van hun andere nationaliteit afkunnen en die daar weinig of niets meer mee te maken willen hebben</w:t>
      </w:r>
      <w:r w:rsidR="003945D7">
        <w:rPr>
          <w:sz w:val="28"/>
          <w:szCs w:val="28"/>
        </w:rPr>
        <w:t xml:space="preserve"> </w:t>
      </w:r>
      <w:r>
        <w:rPr>
          <w:sz w:val="28"/>
          <w:szCs w:val="28"/>
        </w:rPr>
        <w:t>- ongeacht hun motieven daartoe- alleen als Nederlanders te beschouwen, heeft mijn sympathie. Er zitten wel haken en ogen aan.</w:t>
      </w:r>
    </w:p>
    <w:p w:rsidR="00975CBB" w:rsidP="00975CBB" w:rsidRDefault="00975CBB" w14:paraId="304A4504" w14:textId="7C0172AE">
      <w:pPr>
        <w:pStyle w:val="Lijstalinea"/>
        <w:rPr>
          <w:sz w:val="28"/>
          <w:szCs w:val="28"/>
        </w:rPr>
      </w:pPr>
      <w:r>
        <w:rPr>
          <w:sz w:val="28"/>
          <w:szCs w:val="28"/>
        </w:rPr>
        <w:t xml:space="preserve">Het uitgangspunt om </w:t>
      </w:r>
      <w:proofErr w:type="spellStart"/>
      <w:r w:rsidR="00B3147D">
        <w:rPr>
          <w:sz w:val="28"/>
          <w:szCs w:val="28"/>
        </w:rPr>
        <w:t>bipatriden</w:t>
      </w:r>
      <w:proofErr w:type="spellEnd"/>
      <w:r w:rsidR="00B3147D">
        <w:rPr>
          <w:sz w:val="28"/>
          <w:szCs w:val="28"/>
        </w:rPr>
        <w:t xml:space="preserve"> uitsluitend als Nederlanders te beschouwen en als zodanig te behandelen, ook door de overheid, vindt steun in het ENV (1997), waar Nederland partij bij is, en waarbij Nederland zelfs een voortrekkersrol heeft gespeeld.</w:t>
      </w:r>
    </w:p>
    <w:p w:rsidR="00ED1CFB" w:rsidP="00975CBB" w:rsidRDefault="00ED1CFB" w14:paraId="2BD84CAC" w14:textId="23671826">
      <w:pPr>
        <w:pStyle w:val="Lijstalinea"/>
        <w:rPr>
          <w:sz w:val="28"/>
          <w:szCs w:val="28"/>
        </w:rPr>
      </w:pPr>
      <w:r w:rsidRPr="00ED1CFB">
        <w:rPr>
          <w:i/>
          <w:iCs/>
          <w:sz w:val="28"/>
          <w:szCs w:val="28"/>
        </w:rPr>
        <w:t>Preambule:</w:t>
      </w:r>
      <w:r>
        <w:rPr>
          <w:sz w:val="28"/>
          <w:szCs w:val="28"/>
        </w:rPr>
        <w:t xml:space="preserve"> erkenning dat naast de legitieme belangen van de staat ook die van de individuele personen verdisconteerd horen te worden; en</w:t>
      </w:r>
      <w:r w:rsidR="000301B8">
        <w:rPr>
          <w:sz w:val="28"/>
          <w:szCs w:val="28"/>
        </w:rPr>
        <w:t xml:space="preserve"> d</w:t>
      </w:r>
      <w:r>
        <w:rPr>
          <w:sz w:val="28"/>
          <w:szCs w:val="28"/>
        </w:rPr>
        <w:t>e wens om discriminatie te vermijden in nationaliteitsaangelegenheden.</w:t>
      </w:r>
    </w:p>
    <w:p w:rsidR="00ED1CFB" w:rsidP="00975CBB" w:rsidRDefault="00ED1CFB" w14:paraId="15BC57BC" w14:textId="7293652C">
      <w:pPr>
        <w:pStyle w:val="Lijstalinea"/>
        <w:rPr>
          <w:sz w:val="28"/>
          <w:szCs w:val="28"/>
        </w:rPr>
      </w:pPr>
      <w:r>
        <w:rPr>
          <w:sz w:val="28"/>
          <w:szCs w:val="28"/>
        </w:rPr>
        <w:t>Dit wordt uitgewerkt in beginselen en regels in het Verdrag.</w:t>
      </w:r>
    </w:p>
    <w:p w:rsidR="00ED1CFB" w:rsidP="00975CBB" w:rsidRDefault="000C17A9" w14:paraId="1B9D48D1" w14:textId="094797A6">
      <w:pPr>
        <w:pStyle w:val="Lijstalinea"/>
        <w:rPr>
          <w:sz w:val="28"/>
          <w:szCs w:val="28"/>
        </w:rPr>
      </w:pPr>
      <w:r>
        <w:rPr>
          <w:sz w:val="28"/>
          <w:szCs w:val="28"/>
        </w:rPr>
        <w:t>Een van die beginselen ( art.5 lid 2) Alle verdragspartijen zullen worden geleid door het beginsel van non-discriminatie onder hun staatsburgers  (of ze nu de nationaliteit ontlenen aan geboorte of anderszins). In de toelichting staat het ook nog eens duidelijk: geen discriminatie tussen ’</w:t>
      </w:r>
      <w:proofErr w:type="spellStart"/>
      <w:r>
        <w:rPr>
          <w:sz w:val="28"/>
          <w:szCs w:val="28"/>
        </w:rPr>
        <w:t>nationals</w:t>
      </w:r>
      <w:proofErr w:type="spellEnd"/>
      <w:r>
        <w:rPr>
          <w:sz w:val="28"/>
          <w:szCs w:val="28"/>
        </w:rPr>
        <w:t xml:space="preserve"> at </w:t>
      </w:r>
      <w:proofErr w:type="spellStart"/>
      <w:r>
        <w:rPr>
          <w:sz w:val="28"/>
          <w:szCs w:val="28"/>
        </w:rPr>
        <w:t>birth</w:t>
      </w:r>
      <w:proofErr w:type="spellEnd"/>
      <w:r>
        <w:rPr>
          <w:sz w:val="28"/>
          <w:szCs w:val="28"/>
        </w:rPr>
        <w:t>’ en ‘</w:t>
      </w:r>
      <w:proofErr w:type="spellStart"/>
      <w:r>
        <w:rPr>
          <w:sz w:val="28"/>
          <w:szCs w:val="28"/>
        </w:rPr>
        <w:t>other</w:t>
      </w:r>
      <w:proofErr w:type="spellEnd"/>
      <w:r>
        <w:rPr>
          <w:sz w:val="28"/>
          <w:szCs w:val="28"/>
        </w:rPr>
        <w:t xml:space="preserve"> </w:t>
      </w:r>
      <w:proofErr w:type="spellStart"/>
      <w:r>
        <w:rPr>
          <w:sz w:val="28"/>
          <w:szCs w:val="28"/>
        </w:rPr>
        <w:t>nationals</w:t>
      </w:r>
      <w:proofErr w:type="spellEnd"/>
      <w:r>
        <w:rPr>
          <w:sz w:val="28"/>
          <w:szCs w:val="28"/>
        </w:rPr>
        <w:t xml:space="preserve">’. Dus : geen discriminatie tussen </w:t>
      </w:r>
      <w:proofErr w:type="spellStart"/>
      <w:r>
        <w:rPr>
          <w:sz w:val="28"/>
          <w:szCs w:val="28"/>
        </w:rPr>
        <w:t>monopatride</w:t>
      </w:r>
      <w:proofErr w:type="spellEnd"/>
      <w:r>
        <w:rPr>
          <w:sz w:val="28"/>
          <w:szCs w:val="28"/>
        </w:rPr>
        <w:t xml:space="preserve"> en </w:t>
      </w:r>
      <w:proofErr w:type="spellStart"/>
      <w:r>
        <w:rPr>
          <w:sz w:val="28"/>
          <w:szCs w:val="28"/>
        </w:rPr>
        <w:t>bipatride</w:t>
      </w:r>
      <w:proofErr w:type="spellEnd"/>
      <w:r>
        <w:rPr>
          <w:sz w:val="28"/>
          <w:szCs w:val="28"/>
        </w:rPr>
        <w:t xml:space="preserve"> </w:t>
      </w:r>
      <w:proofErr w:type="spellStart"/>
      <w:r>
        <w:rPr>
          <w:sz w:val="28"/>
          <w:szCs w:val="28"/>
        </w:rPr>
        <w:t>nederlanders</w:t>
      </w:r>
      <w:proofErr w:type="spellEnd"/>
      <w:r>
        <w:rPr>
          <w:sz w:val="28"/>
          <w:szCs w:val="28"/>
        </w:rPr>
        <w:t xml:space="preserve">. (niet </w:t>
      </w:r>
      <w:proofErr w:type="spellStart"/>
      <w:r>
        <w:rPr>
          <w:sz w:val="28"/>
          <w:szCs w:val="28"/>
        </w:rPr>
        <w:t>mandatory</w:t>
      </w:r>
      <w:proofErr w:type="spellEnd"/>
      <w:r>
        <w:rPr>
          <w:sz w:val="28"/>
          <w:szCs w:val="28"/>
        </w:rPr>
        <w:t>).</w:t>
      </w:r>
      <w:r w:rsidR="001A1C94">
        <w:rPr>
          <w:sz w:val="28"/>
          <w:szCs w:val="28"/>
        </w:rPr>
        <w:t xml:space="preserve"> Dit zijn algemene bepalingen, die niet slechts </w:t>
      </w:r>
      <w:proofErr w:type="spellStart"/>
      <w:r w:rsidR="001A1C94">
        <w:rPr>
          <w:sz w:val="28"/>
          <w:szCs w:val="28"/>
        </w:rPr>
        <w:t>bipatriden</w:t>
      </w:r>
      <w:proofErr w:type="spellEnd"/>
      <w:r w:rsidR="001A1C94">
        <w:rPr>
          <w:sz w:val="28"/>
          <w:szCs w:val="28"/>
        </w:rPr>
        <w:t xml:space="preserve"> met een specifieke andere nationaliteit betreffen</w:t>
      </w:r>
      <w:r w:rsidR="000301B8">
        <w:rPr>
          <w:sz w:val="28"/>
          <w:szCs w:val="28"/>
        </w:rPr>
        <w:t>.</w:t>
      </w:r>
    </w:p>
    <w:p w:rsidRPr="000301B8" w:rsidR="000301B8" w:rsidP="00975CBB" w:rsidRDefault="000301B8" w14:paraId="4C60496E" w14:textId="19EB81A0">
      <w:pPr>
        <w:pStyle w:val="Lijstalinea"/>
        <w:rPr>
          <w:i/>
          <w:iCs/>
          <w:sz w:val="28"/>
          <w:szCs w:val="28"/>
        </w:rPr>
      </w:pPr>
      <w:r>
        <w:rPr>
          <w:sz w:val="28"/>
          <w:szCs w:val="28"/>
        </w:rPr>
        <w:t xml:space="preserve">Uitdrukkelijk  bepaalt art.17 ENV : </w:t>
      </w:r>
      <w:proofErr w:type="spellStart"/>
      <w:r w:rsidRPr="000301B8">
        <w:rPr>
          <w:i/>
          <w:iCs/>
          <w:sz w:val="28"/>
          <w:szCs w:val="28"/>
        </w:rPr>
        <w:t>Nationals</w:t>
      </w:r>
      <w:proofErr w:type="spellEnd"/>
      <w:r w:rsidRPr="000301B8">
        <w:rPr>
          <w:i/>
          <w:iCs/>
          <w:sz w:val="28"/>
          <w:szCs w:val="28"/>
        </w:rPr>
        <w:t xml:space="preserve"> of a State party  in </w:t>
      </w:r>
      <w:proofErr w:type="spellStart"/>
      <w:r w:rsidRPr="000301B8">
        <w:rPr>
          <w:i/>
          <w:iCs/>
          <w:sz w:val="28"/>
          <w:szCs w:val="28"/>
        </w:rPr>
        <w:t>possession</w:t>
      </w:r>
      <w:proofErr w:type="spellEnd"/>
      <w:r w:rsidRPr="000301B8">
        <w:rPr>
          <w:i/>
          <w:iCs/>
          <w:sz w:val="28"/>
          <w:szCs w:val="28"/>
        </w:rPr>
        <w:t xml:space="preserve"> of </w:t>
      </w:r>
      <w:proofErr w:type="spellStart"/>
      <w:r w:rsidRPr="000301B8">
        <w:rPr>
          <w:i/>
          <w:iCs/>
          <w:sz w:val="28"/>
          <w:szCs w:val="28"/>
        </w:rPr>
        <w:t>another</w:t>
      </w:r>
      <w:proofErr w:type="spellEnd"/>
      <w:r w:rsidRPr="000301B8">
        <w:rPr>
          <w:i/>
          <w:iCs/>
          <w:sz w:val="28"/>
          <w:szCs w:val="28"/>
        </w:rPr>
        <w:t xml:space="preserve"> </w:t>
      </w:r>
      <w:proofErr w:type="spellStart"/>
      <w:r w:rsidRPr="000301B8">
        <w:rPr>
          <w:i/>
          <w:iCs/>
          <w:sz w:val="28"/>
          <w:szCs w:val="28"/>
        </w:rPr>
        <w:t>nationality</w:t>
      </w:r>
      <w:proofErr w:type="spellEnd"/>
      <w:r w:rsidRPr="000301B8">
        <w:rPr>
          <w:i/>
          <w:iCs/>
          <w:sz w:val="28"/>
          <w:szCs w:val="28"/>
        </w:rPr>
        <w:t xml:space="preserve"> </w:t>
      </w:r>
      <w:proofErr w:type="spellStart"/>
      <w:r w:rsidRPr="000301B8">
        <w:rPr>
          <w:i/>
          <w:iCs/>
          <w:sz w:val="28"/>
          <w:szCs w:val="28"/>
        </w:rPr>
        <w:t>shall</w:t>
      </w:r>
      <w:proofErr w:type="spellEnd"/>
      <w:r w:rsidRPr="000301B8">
        <w:rPr>
          <w:i/>
          <w:iCs/>
          <w:sz w:val="28"/>
          <w:szCs w:val="28"/>
        </w:rPr>
        <w:t xml:space="preserve"> have, in </w:t>
      </w:r>
      <w:proofErr w:type="spellStart"/>
      <w:r w:rsidRPr="000301B8">
        <w:rPr>
          <w:i/>
          <w:iCs/>
          <w:sz w:val="28"/>
          <w:szCs w:val="28"/>
        </w:rPr>
        <w:t>the</w:t>
      </w:r>
      <w:proofErr w:type="spellEnd"/>
      <w:r w:rsidRPr="000301B8">
        <w:rPr>
          <w:i/>
          <w:iCs/>
          <w:sz w:val="28"/>
          <w:szCs w:val="28"/>
        </w:rPr>
        <w:t xml:space="preserve"> </w:t>
      </w:r>
      <w:proofErr w:type="spellStart"/>
      <w:r w:rsidRPr="000301B8">
        <w:rPr>
          <w:i/>
          <w:iCs/>
          <w:sz w:val="28"/>
          <w:szCs w:val="28"/>
        </w:rPr>
        <w:t>territory</w:t>
      </w:r>
      <w:proofErr w:type="spellEnd"/>
      <w:r w:rsidRPr="000301B8">
        <w:rPr>
          <w:i/>
          <w:iCs/>
          <w:sz w:val="28"/>
          <w:szCs w:val="28"/>
        </w:rPr>
        <w:t xml:space="preserve"> of </w:t>
      </w:r>
      <w:proofErr w:type="spellStart"/>
      <w:r w:rsidRPr="000301B8">
        <w:rPr>
          <w:i/>
          <w:iCs/>
          <w:sz w:val="28"/>
          <w:szCs w:val="28"/>
        </w:rPr>
        <w:t>that</w:t>
      </w:r>
      <w:proofErr w:type="spellEnd"/>
      <w:r w:rsidRPr="000301B8">
        <w:rPr>
          <w:i/>
          <w:iCs/>
          <w:sz w:val="28"/>
          <w:szCs w:val="28"/>
        </w:rPr>
        <w:t xml:space="preserve"> State Party in </w:t>
      </w:r>
      <w:proofErr w:type="spellStart"/>
      <w:r w:rsidRPr="000301B8">
        <w:rPr>
          <w:i/>
          <w:iCs/>
          <w:sz w:val="28"/>
          <w:szCs w:val="28"/>
        </w:rPr>
        <w:t>which</w:t>
      </w:r>
      <w:proofErr w:type="spellEnd"/>
      <w:r w:rsidRPr="000301B8">
        <w:rPr>
          <w:i/>
          <w:iCs/>
          <w:sz w:val="28"/>
          <w:szCs w:val="28"/>
        </w:rPr>
        <w:t xml:space="preserve"> </w:t>
      </w:r>
      <w:proofErr w:type="spellStart"/>
      <w:r w:rsidRPr="000301B8">
        <w:rPr>
          <w:i/>
          <w:iCs/>
          <w:sz w:val="28"/>
          <w:szCs w:val="28"/>
        </w:rPr>
        <w:t>they</w:t>
      </w:r>
      <w:proofErr w:type="spellEnd"/>
      <w:r w:rsidRPr="000301B8">
        <w:rPr>
          <w:i/>
          <w:iCs/>
          <w:sz w:val="28"/>
          <w:szCs w:val="28"/>
        </w:rPr>
        <w:t xml:space="preserve"> </w:t>
      </w:r>
      <w:proofErr w:type="spellStart"/>
      <w:r w:rsidRPr="000301B8">
        <w:rPr>
          <w:i/>
          <w:iCs/>
          <w:sz w:val="28"/>
          <w:szCs w:val="28"/>
        </w:rPr>
        <w:t>reside</w:t>
      </w:r>
      <w:proofErr w:type="spellEnd"/>
      <w:r w:rsidRPr="000301B8">
        <w:rPr>
          <w:i/>
          <w:iCs/>
          <w:sz w:val="28"/>
          <w:szCs w:val="28"/>
        </w:rPr>
        <w:t xml:space="preserve">, </w:t>
      </w:r>
      <w:proofErr w:type="spellStart"/>
      <w:r w:rsidRPr="000301B8">
        <w:rPr>
          <w:i/>
          <w:iCs/>
          <w:sz w:val="28"/>
          <w:szCs w:val="28"/>
        </w:rPr>
        <w:t>the</w:t>
      </w:r>
      <w:proofErr w:type="spellEnd"/>
      <w:r w:rsidRPr="000301B8">
        <w:rPr>
          <w:i/>
          <w:iCs/>
          <w:sz w:val="28"/>
          <w:szCs w:val="28"/>
        </w:rPr>
        <w:t xml:space="preserve"> </w:t>
      </w:r>
      <w:proofErr w:type="spellStart"/>
      <w:r w:rsidRPr="000301B8">
        <w:rPr>
          <w:i/>
          <w:iCs/>
          <w:sz w:val="28"/>
          <w:szCs w:val="28"/>
        </w:rPr>
        <w:t>same</w:t>
      </w:r>
      <w:proofErr w:type="spellEnd"/>
      <w:r w:rsidRPr="000301B8">
        <w:rPr>
          <w:i/>
          <w:iCs/>
          <w:sz w:val="28"/>
          <w:szCs w:val="28"/>
        </w:rPr>
        <w:t xml:space="preserve"> </w:t>
      </w:r>
      <w:proofErr w:type="spellStart"/>
      <w:r w:rsidRPr="000301B8">
        <w:rPr>
          <w:i/>
          <w:iCs/>
          <w:sz w:val="28"/>
          <w:szCs w:val="28"/>
        </w:rPr>
        <w:t>rights</w:t>
      </w:r>
      <w:proofErr w:type="spellEnd"/>
      <w:r w:rsidRPr="000301B8">
        <w:rPr>
          <w:i/>
          <w:iCs/>
          <w:sz w:val="28"/>
          <w:szCs w:val="28"/>
        </w:rPr>
        <w:t xml:space="preserve"> </w:t>
      </w:r>
      <w:proofErr w:type="spellStart"/>
      <w:r w:rsidRPr="000301B8">
        <w:rPr>
          <w:i/>
          <w:iCs/>
          <w:sz w:val="28"/>
          <w:szCs w:val="28"/>
        </w:rPr>
        <w:t>and</w:t>
      </w:r>
      <w:proofErr w:type="spellEnd"/>
      <w:r w:rsidRPr="000301B8">
        <w:rPr>
          <w:i/>
          <w:iCs/>
          <w:sz w:val="28"/>
          <w:szCs w:val="28"/>
        </w:rPr>
        <w:t xml:space="preserve"> </w:t>
      </w:r>
      <w:proofErr w:type="spellStart"/>
      <w:r w:rsidRPr="000301B8">
        <w:rPr>
          <w:i/>
          <w:iCs/>
          <w:sz w:val="28"/>
          <w:szCs w:val="28"/>
        </w:rPr>
        <w:t>duties</w:t>
      </w:r>
      <w:proofErr w:type="spellEnd"/>
      <w:r w:rsidRPr="000301B8">
        <w:rPr>
          <w:i/>
          <w:iCs/>
          <w:sz w:val="28"/>
          <w:szCs w:val="28"/>
        </w:rPr>
        <w:t xml:space="preserve"> of </w:t>
      </w:r>
      <w:proofErr w:type="spellStart"/>
      <w:r w:rsidRPr="000301B8">
        <w:rPr>
          <w:i/>
          <w:iCs/>
          <w:sz w:val="28"/>
          <w:szCs w:val="28"/>
        </w:rPr>
        <w:t>other</w:t>
      </w:r>
      <w:proofErr w:type="spellEnd"/>
      <w:r w:rsidRPr="000301B8">
        <w:rPr>
          <w:i/>
          <w:iCs/>
          <w:sz w:val="28"/>
          <w:szCs w:val="28"/>
        </w:rPr>
        <w:t xml:space="preserve"> </w:t>
      </w:r>
      <w:proofErr w:type="spellStart"/>
      <w:r w:rsidRPr="000301B8">
        <w:rPr>
          <w:i/>
          <w:iCs/>
          <w:sz w:val="28"/>
          <w:szCs w:val="28"/>
        </w:rPr>
        <w:t>nationals</w:t>
      </w:r>
      <w:proofErr w:type="spellEnd"/>
      <w:r w:rsidRPr="000301B8">
        <w:rPr>
          <w:i/>
          <w:iCs/>
          <w:sz w:val="28"/>
          <w:szCs w:val="28"/>
        </w:rPr>
        <w:t xml:space="preserve"> of </w:t>
      </w:r>
      <w:proofErr w:type="spellStart"/>
      <w:r w:rsidRPr="000301B8">
        <w:rPr>
          <w:i/>
          <w:iCs/>
          <w:sz w:val="28"/>
          <w:szCs w:val="28"/>
        </w:rPr>
        <w:t>that</w:t>
      </w:r>
      <w:proofErr w:type="spellEnd"/>
      <w:r w:rsidRPr="000301B8">
        <w:rPr>
          <w:i/>
          <w:iCs/>
          <w:sz w:val="28"/>
          <w:szCs w:val="28"/>
        </w:rPr>
        <w:t xml:space="preserve"> State party.</w:t>
      </w:r>
    </w:p>
    <w:p w:rsidR="00DD43C7" w:rsidP="00975CBB" w:rsidRDefault="00DD43C7" w14:paraId="1FFA5743" w14:textId="61F268B3">
      <w:pPr>
        <w:pStyle w:val="Lijstalinea"/>
        <w:rPr>
          <w:sz w:val="28"/>
          <w:szCs w:val="28"/>
        </w:rPr>
      </w:pPr>
    </w:p>
    <w:p w:rsidR="00DD43C7" w:rsidP="00975CBB" w:rsidRDefault="00DD43C7" w14:paraId="2BA7802F" w14:textId="56BF45A2">
      <w:pPr>
        <w:pStyle w:val="Lijstalinea"/>
        <w:rPr>
          <w:sz w:val="28"/>
          <w:szCs w:val="28"/>
        </w:rPr>
      </w:pPr>
      <w:r>
        <w:rPr>
          <w:sz w:val="28"/>
          <w:szCs w:val="28"/>
        </w:rPr>
        <w:t xml:space="preserve">Er zijn ook precedenten. Ik noem het </w:t>
      </w:r>
      <w:proofErr w:type="spellStart"/>
      <w:r>
        <w:rPr>
          <w:sz w:val="28"/>
          <w:szCs w:val="28"/>
        </w:rPr>
        <w:t>BehandelingsNederlandershap</w:t>
      </w:r>
      <w:proofErr w:type="spellEnd"/>
      <w:r>
        <w:rPr>
          <w:sz w:val="28"/>
          <w:szCs w:val="28"/>
        </w:rPr>
        <w:t xml:space="preserve"> van de Molukkers. Die waren staatloos, Indonesiër of bezaten andere nationaliteiten, maar werden door de Nederlandse overheid  bij wet met Nederlanders ( vrijwel) gelijkgesteld. In hun paspoort staat: Nederlandse nationaliteit. Dit </w:t>
      </w:r>
      <w:proofErr w:type="spellStart"/>
      <w:r>
        <w:rPr>
          <w:sz w:val="28"/>
          <w:szCs w:val="28"/>
        </w:rPr>
        <w:t>ivm</w:t>
      </w:r>
      <w:proofErr w:type="spellEnd"/>
      <w:r>
        <w:rPr>
          <w:sz w:val="28"/>
          <w:szCs w:val="28"/>
        </w:rPr>
        <w:t xml:space="preserve"> hun streven naar</w:t>
      </w:r>
      <w:r w:rsidR="001A1C94">
        <w:rPr>
          <w:sz w:val="28"/>
          <w:szCs w:val="28"/>
        </w:rPr>
        <w:t xml:space="preserve"> </w:t>
      </w:r>
      <w:r>
        <w:rPr>
          <w:sz w:val="28"/>
          <w:szCs w:val="28"/>
        </w:rPr>
        <w:t>een onafhankelijke Molukse staat</w:t>
      </w:r>
    </w:p>
    <w:p w:rsidR="001A1C94" w:rsidP="00975CBB" w:rsidRDefault="001A1C94" w14:paraId="02DF2E79" w14:textId="47068A89">
      <w:pPr>
        <w:pStyle w:val="Lijstalinea"/>
        <w:rPr>
          <w:sz w:val="28"/>
          <w:szCs w:val="28"/>
        </w:rPr>
      </w:pPr>
    </w:p>
    <w:p w:rsidR="001A1C94" w:rsidP="00975CBB" w:rsidRDefault="001A1C94" w14:paraId="60FD748C" w14:textId="3360365E">
      <w:pPr>
        <w:pStyle w:val="Lijstalinea"/>
        <w:rPr>
          <w:sz w:val="28"/>
          <w:szCs w:val="28"/>
        </w:rPr>
      </w:pPr>
      <w:r>
        <w:rPr>
          <w:sz w:val="28"/>
          <w:szCs w:val="28"/>
        </w:rPr>
        <w:t>Nu een enkele haak, een enkel oog.</w:t>
      </w:r>
    </w:p>
    <w:p w:rsidR="00133206" w:rsidP="00975CBB" w:rsidRDefault="001A1C94" w14:paraId="65EB59D0" w14:textId="3573B5DF">
      <w:pPr>
        <w:pStyle w:val="Lijstalinea"/>
        <w:rPr>
          <w:sz w:val="28"/>
          <w:szCs w:val="28"/>
        </w:rPr>
      </w:pPr>
      <w:r>
        <w:rPr>
          <w:sz w:val="28"/>
          <w:szCs w:val="28"/>
        </w:rPr>
        <w:t xml:space="preserve">In </w:t>
      </w:r>
      <w:r w:rsidR="009D39A6">
        <w:rPr>
          <w:sz w:val="28"/>
          <w:szCs w:val="28"/>
        </w:rPr>
        <w:t xml:space="preserve">art.14 RWN staan een groot aantal verliesbepalingen van de Nederlandse nationaliteit opgesomd wegens ruwweg deelname aan terroristische activiteiten, een verlies dat alleen kan optreden als dat niet tot staatloosheid leidt.( art.14 lid 8 RWN) </w:t>
      </w:r>
      <w:r w:rsidR="00133206">
        <w:rPr>
          <w:sz w:val="28"/>
          <w:szCs w:val="28"/>
        </w:rPr>
        <w:t xml:space="preserve">Uitvloeisel van het plan- </w:t>
      </w:r>
      <w:proofErr w:type="spellStart"/>
      <w:r w:rsidR="00133206">
        <w:rPr>
          <w:sz w:val="28"/>
          <w:szCs w:val="28"/>
        </w:rPr>
        <w:t>Paternotte</w:t>
      </w:r>
      <w:proofErr w:type="spellEnd"/>
      <w:r w:rsidR="00133206">
        <w:rPr>
          <w:sz w:val="28"/>
          <w:szCs w:val="28"/>
        </w:rPr>
        <w:t xml:space="preserve"> </w:t>
      </w:r>
      <w:r w:rsidR="000301B8">
        <w:rPr>
          <w:sz w:val="28"/>
          <w:szCs w:val="28"/>
        </w:rPr>
        <w:t xml:space="preserve">dient te </w:t>
      </w:r>
      <w:r w:rsidR="00133206">
        <w:rPr>
          <w:sz w:val="28"/>
          <w:szCs w:val="28"/>
        </w:rPr>
        <w:t>leiden tot schrapping van deze bepalingen, voor</w:t>
      </w:r>
    </w:p>
    <w:p w:rsidR="001A1C94" w:rsidP="00975CBB" w:rsidRDefault="00133206" w14:paraId="36A0111C" w14:textId="54D8B997">
      <w:pPr>
        <w:pStyle w:val="Lijstalinea"/>
        <w:rPr>
          <w:sz w:val="28"/>
          <w:szCs w:val="28"/>
        </w:rPr>
      </w:pPr>
      <w:r>
        <w:rPr>
          <w:sz w:val="28"/>
          <w:szCs w:val="28"/>
        </w:rPr>
        <w:t>zover betrokkenen zich hebben laten inschrijven in het register.</w:t>
      </w:r>
      <w:r w:rsidR="000301B8">
        <w:rPr>
          <w:sz w:val="28"/>
          <w:szCs w:val="28"/>
        </w:rPr>
        <w:t xml:space="preserve"> Internationaal recht eist algehele schrapping.</w:t>
      </w:r>
      <w:r w:rsidR="006E319B">
        <w:rPr>
          <w:sz w:val="28"/>
          <w:szCs w:val="28"/>
        </w:rPr>
        <w:t xml:space="preserve"> Ik zou d</w:t>
      </w:r>
      <w:r w:rsidR="00C91F1B">
        <w:rPr>
          <w:sz w:val="28"/>
          <w:szCs w:val="28"/>
        </w:rPr>
        <w:t xml:space="preserve">ie </w:t>
      </w:r>
      <w:r w:rsidR="007D3829">
        <w:rPr>
          <w:sz w:val="28"/>
          <w:szCs w:val="28"/>
        </w:rPr>
        <w:t xml:space="preserve">doorhaling </w:t>
      </w:r>
      <w:r w:rsidR="006E319B">
        <w:rPr>
          <w:sz w:val="28"/>
          <w:szCs w:val="28"/>
        </w:rPr>
        <w:t>toejuichen omdat die bepaling</w:t>
      </w:r>
      <w:r w:rsidR="00C91F1B">
        <w:rPr>
          <w:sz w:val="28"/>
          <w:szCs w:val="28"/>
        </w:rPr>
        <w:t xml:space="preserve">en </w:t>
      </w:r>
      <w:r w:rsidR="006E319B">
        <w:rPr>
          <w:sz w:val="28"/>
          <w:szCs w:val="28"/>
        </w:rPr>
        <w:t>discriminerend</w:t>
      </w:r>
      <w:r w:rsidR="00893F9C">
        <w:rPr>
          <w:sz w:val="28"/>
          <w:szCs w:val="28"/>
        </w:rPr>
        <w:t xml:space="preserve"> zijn.</w:t>
      </w:r>
      <w:r w:rsidR="006E319B">
        <w:rPr>
          <w:sz w:val="28"/>
          <w:szCs w:val="28"/>
        </w:rPr>
        <w:t xml:space="preserve"> Maar ik begrijp dat er ook andere opvattingen daaromtrent kunnen bestaan.</w:t>
      </w:r>
    </w:p>
    <w:p w:rsidR="006E319B" w:rsidP="00975CBB" w:rsidRDefault="006E319B" w14:paraId="6A90242F" w14:textId="36C9062D">
      <w:pPr>
        <w:pStyle w:val="Lijstalinea"/>
        <w:rPr>
          <w:sz w:val="28"/>
          <w:szCs w:val="28"/>
        </w:rPr>
      </w:pPr>
    </w:p>
    <w:p w:rsidR="006E319B" w:rsidP="00975CBB" w:rsidRDefault="006E319B" w14:paraId="58FEC3CA" w14:textId="3C690F62">
      <w:pPr>
        <w:pStyle w:val="Lijstalinea"/>
        <w:rPr>
          <w:sz w:val="28"/>
          <w:szCs w:val="28"/>
        </w:rPr>
      </w:pPr>
      <w:r>
        <w:rPr>
          <w:sz w:val="28"/>
          <w:szCs w:val="28"/>
        </w:rPr>
        <w:t>Anderzijds zijn er ook verdragen die niet toelaten dat er geen rekening gehouden wordt met de ‘andere’</w:t>
      </w:r>
      <w:r w:rsidR="00541CF9">
        <w:rPr>
          <w:sz w:val="28"/>
          <w:szCs w:val="28"/>
        </w:rPr>
        <w:t xml:space="preserve"> </w:t>
      </w:r>
      <w:r>
        <w:rPr>
          <w:sz w:val="28"/>
          <w:szCs w:val="28"/>
        </w:rPr>
        <w:t>nationa</w:t>
      </w:r>
      <w:r w:rsidR="00541CF9">
        <w:rPr>
          <w:sz w:val="28"/>
          <w:szCs w:val="28"/>
        </w:rPr>
        <w:t>l</w:t>
      </w:r>
      <w:r>
        <w:rPr>
          <w:sz w:val="28"/>
          <w:szCs w:val="28"/>
        </w:rPr>
        <w:t>iteit.</w:t>
      </w:r>
      <w:r w:rsidR="009C2B13">
        <w:rPr>
          <w:sz w:val="28"/>
          <w:szCs w:val="28"/>
        </w:rPr>
        <w:t xml:space="preserve"> Ik noem i</w:t>
      </w:r>
      <w:r w:rsidR="00541CF9">
        <w:rPr>
          <w:sz w:val="28"/>
          <w:szCs w:val="28"/>
        </w:rPr>
        <w:t>e</w:t>
      </w:r>
      <w:r w:rsidR="009C2B13">
        <w:rPr>
          <w:sz w:val="28"/>
          <w:szCs w:val="28"/>
        </w:rPr>
        <w:t xml:space="preserve">ts onschuldigs: </w:t>
      </w:r>
      <w:r w:rsidR="00541CF9">
        <w:rPr>
          <w:sz w:val="28"/>
          <w:szCs w:val="28"/>
        </w:rPr>
        <w:t xml:space="preserve">Het Haags verdrag omtrent testamentaire beschikkingen. Dat staat toe om een testament als naar de vorm geldig te beschouwen als het dat is  volgens het recht van een door de </w:t>
      </w:r>
      <w:proofErr w:type="spellStart"/>
      <w:r w:rsidR="00541CF9">
        <w:rPr>
          <w:sz w:val="28"/>
          <w:szCs w:val="28"/>
        </w:rPr>
        <w:t>testator</w:t>
      </w:r>
      <w:proofErr w:type="spellEnd"/>
      <w:r w:rsidR="00541CF9">
        <w:rPr>
          <w:sz w:val="28"/>
          <w:szCs w:val="28"/>
        </w:rPr>
        <w:t xml:space="preserve"> bezeten nationaliteit. Maakt koningin Maxima een testament dat naar Argentijns recht geldig zou zijn, maar naar Nederlands recht niet, en zij zou zich in het register hebben laten inschrijven, dan dient haar testament ook hier qua vorm geldig geacht te worden</w:t>
      </w:r>
      <w:r w:rsidR="00795C69">
        <w:rPr>
          <w:sz w:val="28"/>
          <w:szCs w:val="28"/>
        </w:rPr>
        <w:t>, ook door de Nederlandse boedelnotaris</w:t>
      </w:r>
      <w:r w:rsidR="00974782">
        <w:rPr>
          <w:sz w:val="28"/>
          <w:szCs w:val="28"/>
        </w:rPr>
        <w:t xml:space="preserve"> en de Nederlandse rechter.</w:t>
      </w:r>
      <w:r w:rsidR="00160CAB">
        <w:rPr>
          <w:sz w:val="28"/>
          <w:szCs w:val="28"/>
        </w:rPr>
        <w:t xml:space="preserve"> Het ENV zondert dan ook het internationaal privaatrecht van de verplichting tot gelijke behandeling uit.</w:t>
      </w:r>
    </w:p>
    <w:p w:rsidR="0094596B" w:rsidP="00975CBB" w:rsidRDefault="0094596B" w14:paraId="45F1B85A" w14:textId="653A25D7">
      <w:pPr>
        <w:pStyle w:val="Lijstalinea"/>
        <w:rPr>
          <w:sz w:val="28"/>
          <w:szCs w:val="28"/>
        </w:rPr>
      </w:pPr>
    </w:p>
    <w:p w:rsidRPr="0068001E" w:rsidR="0094596B" w:rsidP="0068001E" w:rsidRDefault="0068001E" w14:paraId="02CA9E72" w14:textId="2FF0DD12">
      <w:pPr>
        <w:rPr>
          <w:sz w:val="28"/>
          <w:szCs w:val="28"/>
        </w:rPr>
      </w:pPr>
      <w:r>
        <w:rPr>
          <w:sz w:val="28"/>
          <w:szCs w:val="28"/>
        </w:rPr>
        <w:t>D</w:t>
      </w:r>
      <w:r w:rsidRPr="0068001E" w:rsidR="0094596B">
        <w:rPr>
          <w:sz w:val="28"/>
          <w:szCs w:val="28"/>
        </w:rPr>
        <w:t xml:space="preserve">it punt – het </w:t>
      </w:r>
      <w:proofErr w:type="spellStart"/>
      <w:r w:rsidRPr="0068001E" w:rsidR="0094596B">
        <w:rPr>
          <w:sz w:val="28"/>
          <w:szCs w:val="28"/>
        </w:rPr>
        <w:t>behandelingsnederlanderschap</w:t>
      </w:r>
      <w:proofErr w:type="spellEnd"/>
      <w:r w:rsidRPr="0068001E" w:rsidR="0094596B">
        <w:rPr>
          <w:sz w:val="28"/>
          <w:szCs w:val="28"/>
        </w:rPr>
        <w:t xml:space="preserve"> van </w:t>
      </w:r>
      <w:proofErr w:type="spellStart"/>
      <w:r w:rsidRPr="0068001E" w:rsidR="0094596B">
        <w:rPr>
          <w:sz w:val="28"/>
          <w:szCs w:val="28"/>
        </w:rPr>
        <w:t>bipatride</w:t>
      </w:r>
      <w:proofErr w:type="spellEnd"/>
      <w:r w:rsidRPr="0068001E" w:rsidR="0094596B">
        <w:rPr>
          <w:sz w:val="28"/>
          <w:szCs w:val="28"/>
        </w:rPr>
        <w:t xml:space="preserve"> Nederlanders door de Nederlandse overheid – </w:t>
      </w:r>
      <w:r w:rsidR="00753E01">
        <w:rPr>
          <w:sz w:val="28"/>
          <w:szCs w:val="28"/>
        </w:rPr>
        <w:t xml:space="preserve"> in binnenland en buitenland - </w:t>
      </w:r>
      <w:r w:rsidRPr="0068001E" w:rsidR="0094596B">
        <w:rPr>
          <w:sz w:val="28"/>
          <w:szCs w:val="28"/>
        </w:rPr>
        <w:t>heeft</w:t>
      </w:r>
      <w:r w:rsidR="005841AF">
        <w:rPr>
          <w:sz w:val="28"/>
          <w:szCs w:val="28"/>
        </w:rPr>
        <w:t xml:space="preserve">, kortom, </w:t>
      </w:r>
      <w:r w:rsidRPr="0068001E" w:rsidR="0094596B">
        <w:rPr>
          <w:sz w:val="28"/>
          <w:szCs w:val="28"/>
        </w:rPr>
        <w:t xml:space="preserve"> nog heel wat nadere uitwerking nodig.</w:t>
      </w:r>
    </w:p>
    <w:p w:rsidR="001A1C94" w:rsidP="00975CBB" w:rsidRDefault="001A1C94" w14:paraId="66439A0C" w14:textId="77777777">
      <w:pPr>
        <w:pStyle w:val="Lijstalinea"/>
        <w:rPr>
          <w:sz w:val="28"/>
          <w:szCs w:val="28"/>
        </w:rPr>
      </w:pPr>
    </w:p>
    <w:p w:rsidR="00DD43C7" w:rsidP="00975CBB" w:rsidRDefault="00DD43C7" w14:paraId="0A71F183" w14:textId="504AE583">
      <w:pPr>
        <w:pStyle w:val="Lijstalinea"/>
        <w:rPr>
          <w:sz w:val="28"/>
          <w:szCs w:val="28"/>
        </w:rPr>
      </w:pPr>
    </w:p>
    <w:p w:rsidR="00DD43C7" w:rsidP="00975CBB" w:rsidRDefault="00DD43C7" w14:paraId="6453B1E6" w14:textId="77777777">
      <w:pPr>
        <w:pStyle w:val="Lijstalinea"/>
        <w:rPr>
          <w:sz w:val="28"/>
          <w:szCs w:val="28"/>
        </w:rPr>
      </w:pPr>
    </w:p>
    <w:p w:rsidR="00267BDD" w:rsidP="00975CBB" w:rsidRDefault="00267BDD" w14:paraId="7E18C7B3" w14:textId="17B213AB">
      <w:pPr>
        <w:pStyle w:val="Lijstalinea"/>
        <w:rPr>
          <w:sz w:val="28"/>
          <w:szCs w:val="28"/>
        </w:rPr>
      </w:pPr>
    </w:p>
    <w:p w:rsidR="00267BDD" w:rsidP="00975CBB" w:rsidRDefault="00267BDD" w14:paraId="25A9417E" w14:textId="36FF9435">
      <w:pPr>
        <w:pStyle w:val="Lijstalinea"/>
        <w:rPr>
          <w:sz w:val="28"/>
          <w:szCs w:val="28"/>
        </w:rPr>
      </w:pPr>
      <w:r>
        <w:rPr>
          <w:sz w:val="28"/>
          <w:szCs w:val="28"/>
        </w:rPr>
        <w:t>Enig verdere literatuur:</w:t>
      </w:r>
    </w:p>
    <w:p w:rsidR="00267BDD" w:rsidP="00975CBB" w:rsidRDefault="00267BDD" w14:paraId="05E589A1" w14:textId="3E053569">
      <w:pPr>
        <w:pStyle w:val="Lijstalinea"/>
        <w:rPr>
          <w:sz w:val="28"/>
          <w:szCs w:val="28"/>
        </w:rPr>
      </w:pPr>
      <w:proofErr w:type="spellStart"/>
      <w:r>
        <w:rPr>
          <w:sz w:val="28"/>
          <w:szCs w:val="28"/>
        </w:rPr>
        <w:t>H.U.Jessurun</w:t>
      </w:r>
      <w:proofErr w:type="spellEnd"/>
      <w:r>
        <w:rPr>
          <w:sz w:val="28"/>
          <w:szCs w:val="28"/>
        </w:rPr>
        <w:t xml:space="preserve"> d’Oliveira (</w:t>
      </w:r>
      <w:proofErr w:type="spellStart"/>
      <w:r>
        <w:rPr>
          <w:sz w:val="28"/>
          <w:szCs w:val="28"/>
        </w:rPr>
        <w:t>ed</w:t>
      </w:r>
      <w:proofErr w:type="spellEnd"/>
      <w:r>
        <w:rPr>
          <w:sz w:val="28"/>
          <w:szCs w:val="28"/>
        </w:rPr>
        <w:t>) , Trends in het nationaliteitsrecht. Nationaal en Internationaal. SDU (1998) (Over het Europees Nationaliteitsverdrag)</w:t>
      </w:r>
    </w:p>
    <w:p w:rsidR="00267BDD" w:rsidP="00975CBB" w:rsidRDefault="00267BDD" w14:paraId="083F772A" w14:textId="05CB47D3">
      <w:pPr>
        <w:pStyle w:val="Lijstalinea"/>
        <w:rPr>
          <w:sz w:val="28"/>
          <w:szCs w:val="28"/>
        </w:rPr>
      </w:pPr>
    </w:p>
    <w:p w:rsidR="00267BDD" w:rsidP="00975CBB" w:rsidRDefault="00267BDD" w14:paraId="628F1AA7" w14:textId="68DED449">
      <w:pPr>
        <w:pStyle w:val="Lijstalinea"/>
        <w:rPr>
          <w:sz w:val="28"/>
          <w:szCs w:val="28"/>
        </w:rPr>
      </w:pPr>
      <w:r>
        <w:rPr>
          <w:sz w:val="28"/>
          <w:szCs w:val="28"/>
        </w:rPr>
        <w:t xml:space="preserve">Idem, Nederlanderschap intrekken? Trek het voorstel in! </w:t>
      </w:r>
      <w:proofErr w:type="spellStart"/>
      <w:r>
        <w:rPr>
          <w:sz w:val="28"/>
          <w:szCs w:val="28"/>
        </w:rPr>
        <w:t>Asiel&amp;Migratierecht</w:t>
      </w:r>
      <w:proofErr w:type="spellEnd"/>
      <w:r>
        <w:rPr>
          <w:sz w:val="28"/>
          <w:szCs w:val="28"/>
        </w:rPr>
        <w:t>, 2015, nr. 2, p. 52-57</w:t>
      </w:r>
    </w:p>
    <w:p w:rsidR="00267BDD" w:rsidP="00975CBB" w:rsidRDefault="00267BDD" w14:paraId="58635DCD" w14:textId="7712735C">
      <w:pPr>
        <w:pStyle w:val="Lijstalinea"/>
        <w:rPr>
          <w:sz w:val="28"/>
          <w:szCs w:val="28"/>
        </w:rPr>
      </w:pPr>
    </w:p>
    <w:p w:rsidR="00267BDD" w:rsidP="00975CBB" w:rsidRDefault="00267BDD" w14:paraId="19E09439" w14:textId="4782D7E0">
      <w:pPr>
        <w:pStyle w:val="Lijstalinea"/>
        <w:rPr>
          <w:sz w:val="28"/>
          <w:szCs w:val="28"/>
        </w:rPr>
      </w:pPr>
      <w:r>
        <w:rPr>
          <w:sz w:val="28"/>
          <w:szCs w:val="28"/>
        </w:rPr>
        <w:t>Idem, Nationaliteitsrecht als wapen tegen de Jihad, Nederlands Juristenblad 2014, nr. 1908, p. 2648-2650</w:t>
      </w:r>
    </w:p>
    <w:p w:rsidR="00267BDD" w:rsidP="00975CBB" w:rsidRDefault="00267BDD" w14:paraId="50509F1C" w14:textId="3FF4CC04">
      <w:pPr>
        <w:pStyle w:val="Lijstalinea"/>
        <w:rPr>
          <w:sz w:val="28"/>
          <w:szCs w:val="28"/>
        </w:rPr>
      </w:pPr>
    </w:p>
    <w:p w:rsidR="00267BDD" w:rsidP="00975CBB" w:rsidRDefault="00267BDD" w14:paraId="2D437CF0" w14:textId="01A080AC">
      <w:pPr>
        <w:pStyle w:val="Lijstalinea"/>
        <w:rPr>
          <w:sz w:val="28"/>
          <w:szCs w:val="28"/>
        </w:rPr>
      </w:pPr>
      <w:r>
        <w:rPr>
          <w:sz w:val="28"/>
          <w:szCs w:val="28"/>
        </w:rPr>
        <w:t>idem, Dubbele nationaliteit. Aan de persoon zelf de keus. Nederlands Juristenblad,2012, nr.1860, p. 2226-2232.</w:t>
      </w:r>
    </w:p>
    <w:p w:rsidR="00267BDD" w:rsidP="00975CBB" w:rsidRDefault="00267BDD" w14:paraId="51AA19D1" w14:textId="77777777">
      <w:pPr>
        <w:pStyle w:val="Lijstalinea"/>
        <w:rPr>
          <w:sz w:val="28"/>
          <w:szCs w:val="28"/>
        </w:rPr>
      </w:pPr>
    </w:p>
    <w:p w:rsidRPr="00975CBB" w:rsidR="00975CBB" w:rsidP="00975CBB" w:rsidRDefault="00975CBB" w14:paraId="40CC991A" w14:textId="7B385D35">
      <w:pPr>
        <w:ind w:left="360"/>
        <w:rPr>
          <w:sz w:val="28"/>
          <w:szCs w:val="28"/>
        </w:rPr>
      </w:pPr>
    </w:p>
    <w:sectPr w:rsidRPr="00975CBB" w:rsidR="00975CB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CE67F3"/>
    <w:multiLevelType w:val="hybridMultilevel"/>
    <w:tmpl w:val="C6146D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CBB"/>
    <w:rsid w:val="000301B8"/>
    <w:rsid w:val="000C17A9"/>
    <w:rsid w:val="00133206"/>
    <w:rsid w:val="00160CAB"/>
    <w:rsid w:val="001819B7"/>
    <w:rsid w:val="001A1C94"/>
    <w:rsid w:val="002164FF"/>
    <w:rsid w:val="00267BDD"/>
    <w:rsid w:val="003945D7"/>
    <w:rsid w:val="00516137"/>
    <w:rsid w:val="00541CF9"/>
    <w:rsid w:val="005841AF"/>
    <w:rsid w:val="005F2E6C"/>
    <w:rsid w:val="0068001E"/>
    <w:rsid w:val="006E319B"/>
    <w:rsid w:val="00753E01"/>
    <w:rsid w:val="00795C69"/>
    <w:rsid w:val="007D3829"/>
    <w:rsid w:val="0085613C"/>
    <w:rsid w:val="00881E3F"/>
    <w:rsid w:val="00893F9C"/>
    <w:rsid w:val="008A6A9C"/>
    <w:rsid w:val="008E3703"/>
    <w:rsid w:val="0094596B"/>
    <w:rsid w:val="00974782"/>
    <w:rsid w:val="00975CBB"/>
    <w:rsid w:val="009C2B13"/>
    <w:rsid w:val="009D39A6"/>
    <w:rsid w:val="00B3147D"/>
    <w:rsid w:val="00C91F1B"/>
    <w:rsid w:val="00D82532"/>
    <w:rsid w:val="00DD43C7"/>
    <w:rsid w:val="00ED1CFB"/>
    <w:rsid w:val="00F916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11EAF"/>
  <w15:chartTrackingRefBased/>
  <w15:docId w15:val="{847764E0-FDA0-4762-92A5-08F50B042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75C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711</ap:Words>
  <ap:Characters>3915</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2020-11-23T12:40:00.0000000Z</dcterms:created>
  <dcterms:modified xsi:type="dcterms:W3CDTF">2020-11-24T12:52:00.0000000Z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0x0101003DA48249815FB844B92BDDD68FF2053F</vt:lpwstr>
  </property>
</Properties>
</file>