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068" w:rsidR="00DB7B90" w:rsidP="00CD64B9" w:rsidRDefault="00DB7B90" w14:paraId="5EBA4764" w14:textId="211F6F47">
      <w:pPr>
        <w:spacing w:after="0" w:line="240" w:lineRule="auto"/>
        <w:jc w:val="both"/>
        <w:rPr>
          <w:b/>
          <w:bCs/>
        </w:rPr>
      </w:pPr>
      <w:r w:rsidRPr="00B72068">
        <w:rPr>
          <w:b/>
          <w:bCs/>
        </w:rPr>
        <w:t xml:space="preserve">adidas submission to the </w:t>
      </w:r>
      <w:r w:rsidR="00907ED5">
        <w:rPr>
          <w:b/>
          <w:bCs/>
        </w:rPr>
        <w:t>Committee on International Trade and Development</w:t>
      </w:r>
      <w:r w:rsidRPr="00B72068">
        <w:rPr>
          <w:b/>
          <w:bCs/>
        </w:rPr>
        <w:t xml:space="preserve">, </w:t>
      </w:r>
      <w:r w:rsidR="00907ED5">
        <w:rPr>
          <w:b/>
          <w:bCs/>
        </w:rPr>
        <w:t>Dutch House of Representatives</w:t>
      </w:r>
    </w:p>
    <w:p w:rsidRPr="00B72068" w:rsidR="00DB7B90" w:rsidP="00CD64B9" w:rsidRDefault="00DB7B90" w14:paraId="5F5BE9A8" w14:textId="77777777">
      <w:pPr>
        <w:spacing w:after="0" w:line="240" w:lineRule="auto"/>
        <w:jc w:val="both"/>
        <w:rPr>
          <w:b/>
          <w:bCs/>
        </w:rPr>
      </w:pPr>
    </w:p>
    <w:p w:rsidR="00DB7B90" w:rsidP="00CD64B9" w:rsidRDefault="00DB7B90" w14:paraId="78751FB3" w14:textId="4719FCB8">
      <w:pPr>
        <w:spacing w:after="0" w:line="240" w:lineRule="auto"/>
        <w:jc w:val="both"/>
        <w:rPr>
          <w:rFonts w:cs="Segoe UI"/>
          <w:color w:val="000000"/>
          <w:lang w:val="en"/>
        </w:rPr>
      </w:pPr>
      <w:r w:rsidRPr="00B72068">
        <w:t xml:space="preserve">We thank the </w:t>
      </w:r>
      <w:r>
        <w:t>C</w:t>
      </w:r>
      <w:r w:rsidRPr="00DB7B90">
        <w:t xml:space="preserve">ommittee on </w:t>
      </w:r>
      <w:r>
        <w:t>I</w:t>
      </w:r>
      <w:r w:rsidRPr="00DB7B90">
        <w:t xml:space="preserve">nternational </w:t>
      </w:r>
      <w:r>
        <w:t>T</w:t>
      </w:r>
      <w:r w:rsidRPr="00DB7B90">
        <w:t xml:space="preserve">rade and </w:t>
      </w:r>
      <w:r>
        <w:t>D</w:t>
      </w:r>
      <w:r w:rsidRPr="00DB7B90">
        <w:t xml:space="preserve">evelopment </w:t>
      </w:r>
      <w:r w:rsidR="00907ED5">
        <w:t xml:space="preserve">for </w:t>
      </w:r>
      <w:r w:rsidRPr="00B72068">
        <w:t xml:space="preserve">the opportunity to submit information on how we conduct human rights due diligence and prevent the use of forced </w:t>
      </w:r>
      <w:proofErr w:type="spellStart"/>
      <w:r w:rsidRPr="00B72068">
        <w:t>labour</w:t>
      </w:r>
      <w:proofErr w:type="spellEnd"/>
      <w:r w:rsidRPr="00B72068">
        <w:t xml:space="preserve"> in our supply chain</w:t>
      </w:r>
      <w:r w:rsidRPr="00B72068">
        <w:rPr>
          <w:rFonts w:cs="Segoe UI"/>
          <w:color w:val="000000"/>
          <w:lang w:val="en"/>
        </w:rPr>
        <w:t xml:space="preserve">. </w:t>
      </w:r>
      <w:r w:rsidR="00963363">
        <w:rPr>
          <w:rFonts w:cs="Segoe UI"/>
          <w:color w:val="000000"/>
          <w:lang w:val="en"/>
        </w:rPr>
        <w:t>Please allow us</w:t>
      </w:r>
      <w:r w:rsidR="00D3489F">
        <w:rPr>
          <w:rFonts w:cs="Segoe UI"/>
          <w:color w:val="000000"/>
          <w:lang w:val="en"/>
        </w:rPr>
        <w:t xml:space="preserve"> to answer your questions in one response</w:t>
      </w:r>
      <w:r w:rsidR="00963363">
        <w:rPr>
          <w:rFonts w:cs="Segoe UI"/>
          <w:color w:val="000000"/>
          <w:lang w:val="en"/>
        </w:rPr>
        <w:t xml:space="preserve">. </w:t>
      </w:r>
    </w:p>
    <w:p w:rsidR="00DB7B90" w:rsidP="00CD64B9" w:rsidRDefault="00DB7B90" w14:paraId="404E1315" w14:textId="62FBF438">
      <w:pPr>
        <w:spacing w:after="0" w:line="240" w:lineRule="auto"/>
        <w:jc w:val="both"/>
        <w:rPr>
          <w:rFonts w:cs="Segoe UI"/>
          <w:color w:val="000000"/>
          <w:lang w:val="en"/>
        </w:rPr>
      </w:pPr>
    </w:p>
    <w:p w:rsidR="00AF6AAA" w:rsidP="00CD64B9" w:rsidRDefault="00AF6AAA" w14:paraId="1AB15D03" w14:textId="3DD542A6">
      <w:pPr>
        <w:spacing w:after="0" w:line="240" w:lineRule="auto"/>
        <w:jc w:val="both"/>
        <w:rPr>
          <w:rFonts w:cs="Segoe UI"/>
          <w:color w:val="000000"/>
          <w:lang w:val="en"/>
        </w:rPr>
      </w:pPr>
      <w:r w:rsidRPr="00B72068">
        <w:rPr>
          <w:rFonts w:cs="Segoe UI"/>
          <w:color w:val="000000"/>
          <w:lang w:val="en"/>
        </w:rPr>
        <w:t>adidas is a global leader in the sporting goods industry</w:t>
      </w:r>
      <w:r w:rsidR="00963363">
        <w:rPr>
          <w:rFonts w:cs="Segoe UI"/>
          <w:color w:val="000000"/>
          <w:lang w:val="en"/>
        </w:rPr>
        <w:t>, headquartered in Germany,</w:t>
      </w:r>
      <w:r w:rsidRPr="00B72068">
        <w:rPr>
          <w:rFonts w:cs="Segoe UI"/>
          <w:color w:val="000000"/>
          <w:lang w:val="en"/>
        </w:rPr>
        <w:t xml:space="preserve"> with locations in over 70 countries and a presence in the </w:t>
      </w:r>
      <w:r>
        <w:rPr>
          <w:rFonts w:cs="Segoe UI"/>
          <w:color w:val="000000"/>
          <w:lang w:val="en"/>
        </w:rPr>
        <w:t>Netherlands</w:t>
      </w:r>
      <w:r w:rsidRPr="00B72068">
        <w:rPr>
          <w:rFonts w:cs="Segoe UI"/>
          <w:color w:val="000000"/>
          <w:lang w:val="en"/>
        </w:rPr>
        <w:t xml:space="preserve"> for more than </w:t>
      </w:r>
      <w:r w:rsidRPr="007A6A53" w:rsidR="007A6A53">
        <w:rPr>
          <w:rFonts w:cs="Segoe UI"/>
          <w:color w:val="000000"/>
          <w:lang w:val="en"/>
        </w:rPr>
        <w:t>2</w:t>
      </w:r>
      <w:r w:rsidRPr="007A6A53">
        <w:rPr>
          <w:rFonts w:cs="Segoe UI"/>
          <w:color w:val="000000"/>
          <w:lang w:val="en"/>
        </w:rPr>
        <w:t>0 years</w:t>
      </w:r>
      <w:r w:rsidRPr="00B72068">
        <w:rPr>
          <w:rFonts w:cs="Segoe UI"/>
          <w:color w:val="000000"/>
          <w:lang w:val="en"/>
        </w:rPr>
        <w:t xml:space="preserve">. </w:t>
      </w:r>
    </w:p>
    <w:p w:rsidR="00963363" w:rsidP="00CD64B9" w:rsidRDefault="00963363" w14:paraId="29023C55" w14:textId="77777777">
      <w:pPr>
        <w:spacing w:after="0" w:line="240" w:lineRule="auto"/>
        <w:jc w:val="both"/>
        <w:rPr>
          <w:rFonts w:cs="Segoe UI"/>
          <w:color w:val="000000"/>
          <w:lang w:val="en"/>
        </w:rPr>
      </w:pPr>
    </w:p>
    <w:p w:rsidRPr="00907ED5" w:rsidR="00963363" w:rsidP="00CD64B9" w:rsidRDefault="00963363" w14:paraId="1C019E9C" w14:textId="3FA8FEF2">
      <w:pPr>
        <w:spacing w:after="0" w:line="240" w:lineRule="auto"/>
        <w:jc w:val="both"/>
        <w:rPr>
          <w:rFonts w:cs="Segoe UI"/>
          <w:color w:val="000000"/>
          <w:sz w:val="24"/>
          <w:szCs w:val="32"/>
        </w:rPr>
      </w:pPr>
      <w:r>
        <w:rPr>
          <w:rFonts w:cs="Segoe UI"/>
          <w:color w:val="000000"/>
          <w:lang w:val="en"/>
        </w:rPr>
        <w:t>At adidas, w</w:t>
      </w:r>
      <w:r w:rsidRPr="00963363">
        <w:rPr>
          <w:rFonts w:cs="Segoe UI"/>
          <w:color w:val="000000"/>
          <w:lang w:val="en"/>
        </w:rPr>
        <w:t xml:space="preserve">e run a comprehensive supply chain due diligence program that is fully integrated into our business model and is based on dialogue and transparency. </w:t>
      </w:r>
      <w:r>
        <w:rPr>
          <w:rFonts w:cs="Segoe UI"/>
          <w:color w:val="000000"/>
          <w:lang w:val="en"/>
        </w:rPr>
        <w:t>With our adidas Workplace Standards, w</w:t>
      </w:r>
      <w:r w:rsidRPr="00963363">
        <w:rPr>
          <w:rFonts w:cs="Segoe UI"/>
          <w:color w:val="000000"/>
          <w:lang w:val="en"/>
        </w:rPr>
        <w:t xml:space="preserve">e apply a consistent set of standards based on international norms and conventions, including the prohibition of forced </w:t>
      </w:r>
      <w:proofErr w:type="spellStart"/>
      <w:r w:rsidRPr="00963363">
        <w:rPr>
          <w:rFonts w:cs="Segoe UI"/>
          <w:color w:val="000000"/>
          <w:lang w:val="en"/>
        </w:rPr>
        <w:t>labour</w:t>
      </w:r>
      <w:proofErr w:type="spellEnd"/>
      <w:r w:rsidRPr="00963363">
        <w:rPr>
          <w:rFonts w:cs="Segoe UI"/>
          <w:color w:val="000000"/>
          <w:lang w:val="en"/>
        </w:rPr>
        <w:t xml:space="preserve">, in all countries where we have business operations. </w:t>
      </w:r>
      <w:r w:rsidR="00D3489F">
        <w:rPr>
          <w:rFonts w:cs="Segoe UI"/>
          <w:color w:val="000000"/>
          <w:lang w:val="en"/>
        </w:rPr>
        <w:t xml:space="preserve">Our Workplace Standards can be accessed here: </w:t>
      </w:r>
      <w:hyperlink w:history="1" r:id="rId13">
        <w:r w:rsidRPr="00907ED5" w:rsidR="00907ED5">
          <w:rPr>
            <w:rStyle w:val="Hyperlink"/>
            <w:rFonts w:cs="AdihausDIN"/>
          </w:rPr>
          <w:t>https://www.adidas-group.com/en/sustainability/reporting/policies-and-standards/</w:t>
        </w:r>
      </w:hyperlink>
    </w:p>
    <w:p w:rsidR="00963363" w:rsidP="00CD64B9" w:rsidRDefault="00963363" w14:paraId="6604D376" w14:textId="77777777">
      <w:pPr>
        <w:spacing w:after="0" w:line="240" w:lineRule="auto"/>
        <w:jc w:val="both"/>
        <w:rPr>
          <w:rFonts w:cs="Segoe UI"/>
          <w:color w:val="000000"/>
          <w:lang w:val="en"/>
        </w:rPr>
      </w:pPr>
    </w:p>
    <w:p w:rsidRPr="00963363" w:rsidR="00963363" w:rsidP="00CD64B9" w:rsidRDefault="00963363" w14:paraId="5CE68A0C" w14:textId="052E8DDC">
      <w:pPr>
        <w:spacing w:after="0" w:line="240" w:lineRule="auto"/>
        <w:jc w:val="both"/>
        <w:rPr>
          <w:rFonts w:cs="Segoe UI"/>
          <w:color w:val="000000"/>
          <w:lang w:val="en"/>
        </w:rPr>
      </w:pPr>
      <w:r>
        <w:rPr>
          <w:rFonts w:cs="Segoe UI"/>
          <w:color w:val="000000"/>
          <w:lang w:val="en"/>
        </w:rPr>
        <w:t>To ensure compliance with our standards, w</w:t>
      </w:r>
      <w:r w:rsidRPr="00963363">
        <w:rPr>
          <w:rFonts w:cs="Segoe UI"/>
          <w:color w:val="000000"/>
          <w:lang w:val="en"/>
        </w:rPr>
        <w:t xml:space="preserve">e monitor workplaces through our own team and independent organizations and take steps of enforcement, where necessary. We have been recognized as a leader in sustainability, supply chain due diligence and transparency, for example, by the Dow Jones Sustainability Index, the Corporate Human Rights Benchmark and </w:t>
      </w:r>
      <w:proofErr w:type="spellStart"/>
      <w:r w:rsidRPr="00963363">
        <w:rPr>
          <w:rFonts w:cs="Segoe UI"/>
          <w:color w:val="000000"/>
          <w:lang w:val="en"/>
        </w:rPr>
        <w:t>KnowTheChain</w:t>
      </w:r>
      <w:proofErr w:type="spellEnd"/>
      <w:r w:rsidRPr="00963363">
        <w:rPr>
          <w:rFonts w:cs="Segoe UI"/>
          <w:color w:val="000000"/>
          <w:lang w:val="en"/>
        </w:rPr>
        <w:t xml:space="preserve">. </w:t>
      </w:r>
    </w:p>
    <w:p w:rsidR="00963363" w:rsidP="00CD64B9" w:rsidRDefault="00963363" w14:paraId="5E2012B9" w14:textId="77777777">
      <w:pPr>
        <w:spacing w:after="0" w:line="240" w:lineRule="auto"/>
        <w:jc w:val="both"/>
        <w:rPr>
          <w:rFonts w:cs="Segoe UI"/>
          <w:color w:val="000000"/>
          <w:lang w:val="en"/>
        </w:rPr>
      </w:pPr>
    </w:p>
    <w:p w:rsidRPr="006A280B" w:rsidR="006A280B" w:rsidP="00CD64B9" w:rsidRDefault="006A280B" w14:paraId="1C3A16F6" w14:textId="7F7062EE">
      <w:pPr>
        <w:spacing w:after="0" w:line="240" w:lineRule="auto"/>
        <w:jc w:val="both"/>
        <w:rPr>
          <w:rFonts w:cs="Segoe UI"/>
          <w:b/>
          <w:bCs/>
          <w:color w:val="000000"/>
          <w:lang w:val="en"/>
        </w:rPr>
      </w:pPr>
      <w:r w:rsidRPr="006A280B">
        <w:rPr>
          <w:rFonts w:cs="Segoe UI"/>
          <w:b/>
          <w:bCs/>
          <w:color w:val="000000"/>
          <w:lang w:val="en"/>
        </w:rPr>
        <w:t>Preventing forced labor</w:t>
      </w:r>
    </w:p>
    <w:p w:rsidR="00CD64B9" w:rsidP="00CD64B9" w:rsidRDefault="00CD64B9" w14:paraId="46DBBA95" w14:textId="77777777">
      <w:pPr>
        <w:spacing w:after="0" w:line="240" w:lineRule="auto"/>
        <w:jc w:val="both"/>
        <w:rPr>
          <w:rFonts w:cs="Segoe UI"/>
          <w:color w:val="000000"/>
          <w:lang w:val="en"/>
        </w:rPr>
      </w:pPr>
    </w:p>
    <w:p w:rsidRPr="00BC5627" w:rsidR="007700E3" w:rsidP="00CD64B9" w:rsidRDefault="0064183B" w14:paraId="21A9EE54" w14:textId="73E99956">
      <w:pPr>
        <w:spacing w:after="0" w:line="240" w:lineRule="auto"/>
        <w:jc w:val="both"/>
        <w:rPr>
          <w:rFonts w:eastAsia="PMingLiU" w:cs="AdihausDIN"/>
          <w:szCs w:val="20"/>
          <w:lang w:eastAsia="zh-TW"/>
        </w:rPr>
      </w:pPr>
      <w:r w:rsidRPr="0064183B">
        <w:rPr>
          <w:rFonts w:cs="Segoe UI"/>
          <w:color w:val="000000"/>
          <w:lang w:val="en"/>
        </w:rPr>
        <w:t xml:space="preserve">adidas has never sourced goods from </w:t>
      </w:r>
      <w:r w:rsidRPr="00BC5627" w:rsidR="00042C0C">
        <w:rPr>
          <w:rFonts w:eastAsia="PMingLiU" w:cs="AdihausDIN"/>
          <w:szCs w:val="20"/>
          <w:lang w:eastAsia="zh-TW"/>
        </w:rPr>
        <w:t>the Xinjiang Uyghur Autonomous Region (XUAR) of China</w:t>
      </w:r>
      <w:r w:rsidRPr="0064183B">
        <w:rPr>
          <w:rFonts w:cs="Segoe UI"/>
          <w:color w:val="000000"/>
          <w:lang w:val="en"/>
        </w:rPr>
        <w:t xml:space="preserve">. Moreover, </w:t>
      </w:r>
      <w:r w:rsidR="007700E3">
        <w:rPr>
          <w:rFonts w:cs="Segoe UI"/>
          <w:color w:val="000000"/>
          <w:lang w:val="en"/>
        </w:rPr>
        <w:t>in Spring 2019</w:t>
      </w:r>
      <w:r w:rsidRPr="0064183B">
        <w:rPr>
          <w:rFonts w:cs="Segoe UI"/>
          <w:color w:val="000000"/>
          <w:lang w:val="en"/>
        </w:rPr>
        <w:t xml:space="preserve"> </w:t>
      </w:r>
      <w:r w:rsidRPr="00BC5627" w:rsidR="007700E3">
        <w:rPr>
          <w:rFonts w:eastAsia="PMingLiU" w:cs="AdihausDIN"/>
          <w:szCs w:val="20"/>
          <w:lang w:eastAsia="zh-TW"/>
        </w:rPr>
        <w:t xml:space="preserve">we required our material suppliers to stop buying yarn from </w:t>
      </w:r>
      <w:r w:rsidRPr="0064183B" w:rsidR="00042C0C">
        <w:rPr>
          <w:rFonts w:cs="Segoe UI"/>
          <w:color w:val="000000"/>
          <w:lang w:val="en"/>
        </w:rPr>
        <w:t>Xinjiang</w:t>
      </w:r>
      <w:r w:rsidRPr="00BC5627" w:rsidDel="00042C0C" w:rsidR="00042C0C">
        <w:rPr>
          <w:rFonts w:eastAsia="PMingLiU" w:cs="AdihausDIN"/>
          <w:szCs w:val="20"/>
          <w:lang w:eastAsia="zh-TW"/>
        </w:rPr>
        <w:t xml:space="preserve"> </w:t>
      </w:r>
      <w:r w:rsidRPr="00BC5627" w:rsidR="007700E3">
        <w:rPr>
          <w:rFonts w:eastAsia="PMingLiU" w:cs="AdihausDIN"/>
          <w:szCs w:val="20"/>
          <w:lang w:eastAsia="zh-TW"/>
        </w:rPr>
        <w:t>and we supported the Better Cotton Initiative in its decision, taken in early March 2020, to suspend the supply of Better Cotton from that region.</w:t>
      </w:r>
      <w:r w:rsidR="00907ED5">
        <w:rPr>
          <w:rFonts w:eastAsia="PMingLiU" w:cs="AdihausDIN"/>
          <w:szCs w:val="20"/>
          <w:lang w:eastAsia="zh-TW"/>
        </w:rPr>
        <w:t xml:space="preserve"> </w:t>
      </w:r>
      <w:r w:rsidRPr="00907ED5" w:rsidR="00907ED5">
        <w:rPr>
          <w:rStyle w:val="Hyperlink"/>
          <w:rFonts w:cs="AdihausDIN"/>
          <w:szCs w:val="32"/>
        </w:rPr>
        <w:t>https://bettercotton.org/where-is-better-cotton-grown/china/announcement-bci-suspends-licensing-in-western-china/</w:t>
      </w:r>
    </w:p>
    <w:p w:rsidR="00CD64B9" w:rsidP="00CD64B9" w:rsidRDefault="00CD64B9" w14:paraId="534FDE4E" w14:textId="77777777">
      <w:pPr>
        <w:spacing w:after="0" w:line="240" w:lineRule="auto"/>
        <w:jc w:val="both"/>
        <w:rPr>
          <w:rFonts w:cs="Segoe UI"/>
          <w:color w:val="000000"/>
          <w:lang w:val="en"/>
        </w:rPr>
      </w:pPr>
    </w:p>
    <w:p w:rsidR="0064183B" w:rsidP="00CD64B9" w:rsidRDefault="007700E3" w14:paraId="197D496C" w14:textId="7691D2C6">
      <w:pPr>
        <w:spacing w:after="0" w:line="240" w:lineRule="auto"/>
        <w:jc w:val="both"/>
        <w:rPr>
          <w:rFonts w:cs="Segoe UI"/>
          <w:color w:val="000000"/>
          <w:lang w:val="en"/>
        </w:rPr>
      </w:pPr>
      <w:r w:rsidRPr="007700E3">
        <w:rPr>
          <w:rFonts w:cs="Segoe UI"/>
          <w:color w:val="000000"/>
          <w:lang w:val="en"/>
        </w:rPr>
        <w:t xml:space="preserve">To be clear, </w:t>
      </w:r>
      <w:r w:rsidRPr="00DB7B90">
        <w:rPr>
          <w:rFonts w:cs="Segoe UI"/>
          <w:color w:val="000000"/>
          <w:lang w:val="en"/>
        </w:rPr>
        <w:t xml:space="preserve">adidas does not permit its suppliers to hire dispatch workers, or other forms of </w:t>
      </w:r>
      <w:proofErr w:type="spellStart"/>
      <w:r w:rsidRPr="00DB7B90">
        <w:rPr>
          <w:rFonts w:cs="Segoe UI"/>
          <w:color w:val="000000"/>
          <w:lang w:val="en"/>
        </w:rPr>
        <w:t>labour</w:t>
      </w:r>
      <w:proofErr w:type="spellEnd"/>
      <w:r w:rsidRPr="00DB7B90">
        <w:rPr>
          <w:rFonts w:cs="Segoe UI"/>
          <w:color w:val="000000"/>
          <w:lang w:val="en"/>
        </w:rPr>
        <w:t xml:space="preserve">, through government-managed schemes in China. This has been our approach for more than a decade and is an integral part of our </w:t>
      </w:r>
      <w:proofErr w:type="spellStart"/>
      <w:r w:rsidRPr="00DB7B90">
        <w:rPr>
          <w:rFonts w:cs="Segoe UI"/>
          <w:color w:val="000000"/>
          <w:lang w:val="en"/>
        </w:rPr>
        <w:t>labour</w:t>
      </w:r>
      <w:proofErr w:type="spellEnd"/>
      <w:r w:rsidRPr="00DB7B90">
        <w:rPr>
          <w:rFonts w:cs="Segoe UI"/>
          <w:color w:val="000000"/>
          <w:lang w:val="en"/>
        </w:rPr>
        <w:t xml:space="preserve"> monitoring practice in the PRC. </w:t>
      </w:r>
    </w:p>
    <w:p w:rsidR="00EE0725" w:rsidP="00CD64B9" w:rsidRDefault="00EE0725" w14:paraId="29E926AC" w14:textId="707D6986">
      <w:pPr>
        <w:spacing w:after="0" w:line="240" w:lineRule="auto"/>
        <w:jc w:val="both"/>
        <w:rPr>
          <w:rFonts w:cs="Segoe UI"/>
          <w:color w:val="000000"/>
          <w:lang w:val="en"/>
        </w:rPr>
      </w:pPr>
    </w:p>
    <w:p w:rsidR="007700E3" w:rsidP="00CD64B9" w:rsidRDefault="007700E3" w14:paraId="60129A01" w14:textId="640D959A">
      <w:pPr>
        <w:spacing w:after="0" w:line="240" w:lineRule="auto"/>
        <w:jc w:val="both"/>
        <w:rPr>
          <w:rFonts w:cs="Segoe UI"/>
          <w:color w:val="000000"/>
          <w:lang w:val="en"/>
        </w:rPr>
      </w:pPr>
      <w:r>
        <w:rPr>
          <w:rFonts w:cs="Segoe UI"/>
          <w:color w:val="000000"/>
          <w:lang w:val="en"/>
        </w:rPr>
        <w:t>In addition</w:t>
      </w:r>
      <w:r w:rsidRPr="00DB7B90">
        <w:rPr>
          <w:rFonts w:cs="Segoe UI"/>
          <w:color w:val="000000"/>
          <w:lang w:val="en"/>
        </w:rPr>
        <w:t xml:space="preserve">, we have engaged extensively with our China suppliers and reiterated our strict prohibition on all forms of forced </w:t>
      </w:r>
      <w:proofErr w:type="spellStart"/>
      <w:r w:rsidRPr="00DB7B90">
        <w:rPr>
          <w:rFonts w:cs="Segoe UI"/>
          <w:color w:val="000000"/>
          <w:lang w:val="en"/>
        </w:rPr>
        <w:t>labour</w:t>
      </w:r>
      <w:proofErr w:type="spellEnd"/>
      <w:r w:rsidRPr="00DB7B90">
        <w:rPr>
          <w:rFonts w:cs="Segoe UI"/>
          <w:color w:val="000000"/>
          <w:lang w:val="en"/>
        </w:rPr>
        <w:t xml:space="preserve">, including prison </w:t>
      </w:r>
      <w:proofErr w:type="spellStart"/>
      <w:r w:rsidRPr="00DB7B90">
        <w:rPr>
          <w:rFonts w:cs="Segoe UI"/>
          <w:color w:val="000000"/>
          <w:lang w:val="en"/>
        </w:rPr>
        <w:t>labour</w:t>
      </w:r>
      <w:proofErr w:type="spellEnd"/>
      <w:r w:rsidRPr="00DB7B90">
        <w:rPr>
          <w:rFonts w:cs="Segoe UI"/>
          <w:color w:val="000000"/>
          <w:lang w:val="en"/>
        </w:rPr>
        <w:t xml:space="preserve">. We have conducted due diligence to ensure that suppliers are not linked to entities suspected of involvement in serious human rights harms or forced </w:t>
      </w:r>
      <w:proofErr w:type="spellStart"/>
      <w:r w:rsidRPr="00DB7B90">
        <w:rPr>
          <w:rFonts w:cs="Segoe UI"/>
          <w:color w:val="000000"/>
          <w:lang w:val="en"/>
        </w:rPr>
        <w:t>labour</w:t>
      </w:r>
      <w:proofErr w:type="spellEnd"/>
      <w:r w:rsidRPr="00DB7B90">
        <w:rPr>
          <w:rFonts w:cs="Segoe UI"/>
          <w:color w:val="000000"/>
          <w:lang w:val="en"/>
        </w:rPr>
        <w:t>.</w:t>
      </w:r>
      <w:r w:rsidR="00EE0725">
        <w:rPr>
          <w:rFonts w:cs="Segoe UI"/>
          <w:color w:val="000000"/>
          <w:lang w:val="en"/>
        </w:rPr>
        <w:t xml:space="preserve"> </w:t>
      </w:r>
    </w:p>
    <w:p w:rsidR="00D3489F" w:rsidP="00CD64B9" w:rsidRDefault="00D3489F" w14:paraId="646D14B0" w14:textId="42B75600">
      <w:pPr>
        <w:spacing w:after="0" w:line="240" w:lineRule="auto"/>
        <w:jc w:val="both"/>
        <w:rPr>
          <w:rFonts w:cs="Segoe UI"/>
          <w:color w:val="000000"/>
        </w:rPr>
      </w:pPr>
    </w:p>
    <w:p w:rsidRPr="00907ED5" w:rsidR="007700E3" w:rsidP="00CD64B9" w:rsidRDefault="007700E3" w14:paraId="66CA636C" w14:textId="5D6DC6C8">
      <w:pPr>
        <w:spacing w:after="0" w:line="240" w:lineRule="auto"/>
        <w:jc w:val="both"/>
        <w:rPr>
          <w:rFonts w:cs="Segoe UI"/>
          <w:color w:val="000000"/>
          <w:sz w:val="24"/>
          <w:szCs w:val="32"/>
          <w:lang w:val="en"/>
        </w:rPr>
      </w:pPr>
      <w:r w:rsidRPr="00EE0725">
        <w:rPr>
          <w:rFonts w:cs="Segoe UI"/>
          <w:color w:val="000000"/>
          <w:lang w:val="en"/>
        </w:rPr>
        <w:lastRenderedPageBreak/>
        <w:t xml:space="preserve">In general, for our direct supply chain, where we monitor our contract manufacturing partners’ Tier 1 production facilities, the use of forced </w:t>
      </w:r>
      <w:proofErr w:type="spellStart"/>
      <w:r w:rsidRPr="00EE0725">
        <w:rPr>
          <w:rFonts w:cs="Segoe UI"/>
          <w:color w:val="000000"/>
          <w:lang w:val="en"/>
        </w:rPr>
        <w:t>labour</w:t>
      </w:r>
      <w:proofErr w:type="spellEnd"/>
      <w:r w:rsidRPr="00EE0725">
        <w:rPr>
          <w:rFonts w:cs="Segoe UI"/>
          <w:color w:val="000000"/>
          <w:lang w:val="en"/>
        </w:rPr>
        <w:t xml:space="preserve"> by any of our partners will result in the termination of the partnership. If</w:t>
      </w:r>
      <w:r w:rsidRPr="00DB7B90">
        <w:rPr>
          <w:rFonts w:cs="Segoe UI"/>
          <w:color w:val="000000"/>
          <w:lang w:val="en"/>
        </w:rPr>
        <w:t xml:space="preserve"> there are any findings or indications of forced </w:t>
      </w:r>
      <w:proofErr w:type="spellStart"/>
      <w:r w:rsidRPr="00DB7B90">
        <w:rPr>
          <w:rFonts w:cs="Segoe UI"/>
          <w:color w:val="000000"/>
          <w:lang w:val="en"/>
        </w:rPr>
        <w:t>labour</w:t>
      </w:r>
      <w:proofErr w:type="spellEnd"/>
      <w:r w:rsidRPr="00DB7B90">
        <w:rPr>
          <w:rFonts w:cs="Segoe UI"/>
          <w:color w:val="000000"/>
          <w:lang w:val="en"/>
        </w:rPr>
        <w:t>, triggered through audits or third-party complaints, we follow-up with in-depth investigations to determine the facts and possible remedial steps.</w:t>
      </w:r>
      <w:r w:rsidR="00907ED5">
        <w:rPr>
          <w:rFonts w:cs="Segoe UI"/>
          <w:color w:val="000000"/>
          <w:lang w:val="en"/>
        </w:rPr>
        <w:t xml:space="preserve"> </w:t>
      </w:r>
      <w:r w:rsidR="00907ED5">
        <w:rPr>
          <w:rFonts w:cs="AdihausDIN"/>
          <w:szCs w:val="20"/>
        </w:rPr>
        <w:t>Our</w:t>
      </w:r>
      <w:r w:rsidRPr="00907ED5" w:rsidR="00907ED5">
        <w:rPr>
          <w:rFonts w:cs="AdihausDIN"/>
          <w:szCs w:val="20"/>
        </w:rPr>
        <w:t xml:space="preserve"> Enforcement guidelines</w:t>
      </w:r>
      <w:r w:rsidR="00907ED5">
        <w:rPr>
          <w:rFonts w:cs="AdihausDIN"/>
          <w:szCs w:val="20"/>
        </w:rPr>
        <w:t xml:space="preserve"> can be found here</w:t>
      </w:r>
      <w:r w:rsidRPr="00907ED5" w:rsidR="00907ED5">
        <w:rPr>
          <w:rFonts w:cs="AdihausDIN"/>
          <w:szCs w:val="20"/>
        </w:rPr>
        <w:t xml:space="preserve">: </w:t>
      </w:r>
      <w:hyperlink w:history="1" r:id="rId14">
        <w:r w:rsidRPr="00907ED5" w:rsidR="00907ED5">
          <w:rPr>
            <w:rStyle w:val="Hyperlink"/>
            <w:rFonts w:cs="AdihausDIN"/>
            <w:szCs w:val="20"/>
            <w:lang w:val="en"/>
          </w:rPr>
          <w:t>https://www.adidas-group.com/media/filer_public/2013/11/25/enforcement_guideline_nov_2013_en.pdf</w:t>
        </w:r>
      </w:hyperlink>
    </w:p>
    <w:p w:rsidRPr="00DB7B90" w:rsidR="007700E3" w:rsidP="00CD64B9" w:rsidRDefault="007700E3" w14:paraId="7D550ADC" w14:textId="77777777">
      <w:pPr>
        <w:spacing w:after="0" w:line="240" w:lineRule="auto"/>
        <w:jc w:val="both"/>
        <w:rPr>
          <w:rFonts w:cs="Segoe UI"/>
          <w:color w:val="000000"/>
          <w:lang w:val="en"/>
        </w:rPr>
      </w:pPr>
    </w:p>
    <w:p w:rsidRPr="00DB7B90" w:rsidR="007700E3" w:rsidP="00CD64B9" w:rsidRDefault="007700E3" w14:paraId="428E97F4" w14:textId="77777777">
      <w:pPr>
        <w:spacing w:after="0" w:line="240" w:lineRule="auto"/>
        <w:jc w:val="both"/>
        <w:rPr>
          <w:rFonts w:cs="Segoe UI"/>
          <w:color w:val="000000"/>
          <w:lang w:val="en"/>
        </w:rPr>
      </w:pPr>
      <w:r w:rsidRPr="00DB7B90">
        <w:rPr>
          <w:rFonts w:cs="Segoe UI"/>
          <w:color w:val="000000"/>
          <w:lang w:val="en"/>
        </w:rPr>
        <w:t xml:space="preserve">We recognize that the potential risks of forced </w:t>
      </w:r>
      <w:proofErr w:type="spellStart"/>
      <w:r w:rsidRPr="00DB7B90">
        <w:rPr>
          <w:rFonts w:cs="Segoe UI"/>
          <w:color w:val="000000"/>
          <w:lang w:val="en"/>
        </w:rPr>
        <w:t>labour</w:t>
      </w:r>
      <w:proofErr w:type="spellEnd"/>
      <w:r w:rsidRPr="00DB7B90">
        <w:rPr>
          <w:rFonts w:cs="Segoe UI"/>
          <w:color w:val="000000"/>
          <w:lang w:val="en"/>
        </w:rPr>
        <w:t xml:space="preserve"> can also be found in the upstream supply chain, where we have no direct contractual relationships. We have therefore focused on targeted modern slavery trainings and capacity building programs for our Tier 2 fabric mills, and other materials suppliers, to help them identify and remedy unscrupulous employment practices. A great deal of our work around forced </w:t>
      </w:r>
      <w:proofErr w:type="spellStart"/>
      <w:r w:rsidRPr="00DB7B90">
        <w:rPr>
          <w:rFonts w:cs="Segoe UI"/>
          <w:color w:val="000000"/>
          <w:lang w:val="en"/>
        </w:rPr>
        <w:t>labour</w:t>
      </w:r>
      <w:proofErr w:type="spellEnd"/>
      <w:r w:rsidRPr="00DB7B90">
        <w:rPr>
          <w:rFonts w:cs="Segoe UI"/>
          <w:color w:val="000000"/>
          <w:lang w:val="en"/>
        </w:rPr>
        <w:t xml:space="preserve"> risks is focused on migrant </w:t>
      </w:r>
      <w:proofErr w:type="spellStart"/>
      <w:r w:rsidRPr="00DB7B90">
        <w:rPr>
          <w:rFonts w:cs="Segoe UI"/>
          <w:color w:val="000000"/>
          <w:lang w:val="en"/>
        </w:rPr>
        <w:t>labour</w:t>
      </w:r>
      <w:proofErr w:type="spellEnd"/>
      <w:r w:rsidRPr="00DB7B90">
        <w:rPr>
          <w:rFonts w:cs="Segoe UI"/>
          <w:color w:val="000000"/>
          <w:lang w:val="en"/>
        </w:rPr>
        <w:t xml:space="preserve"> and fair recruitment processes. These activities have been undertaken in partnership with the IOM – the UN’s International </w:t>
      </w:r>
      <w:proofErr w:type="spellStart"/>
      <w:r w:rsidRPr="00DB7B90">
        <w:rPr>
          <w:rFonts w:cs="Segoe UI"/>
          <w:color w:val="000000"/>
          <w:lang w:val="en"/>
        </w:rPr>
        <w:t>Organisation</w:t>
      </w:r>
      <w:proofErr w:type="spellEnd"/>
      <w:r w:rsidRPr="00DB7B90">
        <w:rPr>
          <w:rFonts w:cs="Segoe UI"/>
          <w:color w:val="000000"/>
          <w:lang w:val="en"/>
        </w:rPr>
        <w:t xml:space="preserve"> for Migration. </w:t>
      </w:r>
    </w:p>
    <w:p w:rsidRPr="00DB7B90" w:rsidR="007700E3" w:rsidP="00CD64B9" w:rsidRDefault="007700E3" w14:paraId="73683332" w14:textId="77777777">
      <w:pPr>
        <w:spacing w:after="0" w:line="240" w:lineRule="auto"/>
        <w:jc w:val="both"/>
        <w:rPr>
          <w:rFonts w:cs="Segoe UI"/>
          <w:color w:val="000000"/>
          <w:lang w:val="en"/>
        </w:rPr>
      </w:pPr>
    </w:p>
    <w:p w:rsidRPr="00DB7B90" w:rsidR="007700E3" w:rsidP="00CD64B9" w:rsidRDefault="007700E3" w14:paraId="7F80F0E8" w14:textId="504BC0D5">
      <w:pPr>
        <w:spacing w:after="0" w:line="240" w:lineRule="auto"/>
        <w:jc w:val="both"/>
        <w:rPr>
          <w:rFonts w:cs="Segoe UI"/>
          <w:color w:val="000000"/>
          <w:lang w:val="en"/>
        </w:rPr>
      </w:pPr>
      <w:r w:rsidRPr="00DB7B90">
        <w:rPr>
          <w:rFonts w:cs="Segoe UI"/>
          <w:color w:val="000000"/>
          <w:lang w:val="en"/>
        </w:rPr>
        <w:t>We have also conducted assessments of our Tier 3 raw material sources, such as leather, rubber and cotton, and have worked with industry partners and civil society, to identify and address risks of modern slavery. Our roadmap for addressing such risks - through a rolling three-year ‘modern slavery outreach program’ – and progress against targets has been shared publicly.</w:t>
      </w:r>
      <w:r w:rsidR="00907ED5">
        <w:rPr>
          <w:rFonts w:cs="Segoe UI"/>
          <w:color w:val="000000"/>
          <w:lang w:val="en"/>
        </w:rPr>
        <w:t xml:space="preserve"> </w:t>
      </w:r>
      <w:r w:rsidRPr="00907ED5" w:rsidR="00907ED5">
        <w:rPr>
          <w:rFonts w:cs="AdihausDIN"/>
          <w:szCs w:val="20"/>
        </w:rPr>
        <w:t xml:space="preserve">See Business &amp; Human Rights Resources website which provides links to all reports: </w:t>
      </w:r>
      <w:hyperlink w:history="1" r:id="rId15">
        <w:r w:rsidRPr="00907ED5" w:rsidR="00907ED5">
          <w:rPr>
            <w:rStyle w:val="Hyperlink"/>
            <w:rFonts w:cs="AdihausDIN"/>
            <w:szCs w:val="20"/>
          </w:rPr>
          <w:t>https://www.business-humanrights.org/en/latest-news/adidas-invitation-for-stakeholder-engagement-on-modern-slavery-risks-in-hot-spot-countries/</w:t>
        </w:r>
      </w:hyperlink>
    </w:p>
    <w:p w:rsidR="00963363" w:rsidP="00CD64B9" w:rsidRDefault="00963363" w14:paraId="77479A43" w14:textId="6E1928D5">
      <w:pPr>
        <w:spacing w:after="0" w:line="240" w:lineRule="auto"/>
        <w:jc w:val="both"/>
        <w:rPr>
          <w:rFonts w:cs="Segoe UI"/>
          <w:color w:val="000000"/>
          <w:lang w:val="en"/>
        </w:rPr>
      </w:pPr>
    </w:p>
    <w:p w:rsidRPr="00D3489F" w:rsidR="00D3489F" w:rsidP="00CD64B9" w:rsidRDefault="00D3489F" w14:paraId="13845C31" w14:textId="5E8D2152">
      <w:pPr>
        <w:spacing w:after="0" w:line="240" w:lineRule="auto"/>
        <w:jc w:val="both"/>
        <w:rPr>
          <w:rFonts w:cs="Segoe UI"/>
          <w:color w:val="000000"/>
        </w:rPr>
      </w:pPr>
      <w:r w:rsidRPr="00D3489F">
        <w:rPr>
          <w:rFonts w:cs="Segoe UI"/>
          <w:color w:val="000000"/>
        </w:rPr>
        <w:t>The above actions form part of our ongoing efforts to ensure</w:t>
      </w:r>
      <w:r>
        <w:rPr>
          <w:rFonts w:cs="Segoe UI"/>
          <w:color w:val="000000"/>
        </w:rPr>
        <w:t xml:space="preserve"> </w:t>
      </w:r>
      <w:r w:rsidRPr="00D3489F">
        <w:rPr>
          <w:rFonts w:cs="Segoe UI"/>
          <w:color w:val="000000"/>
        </w:rPr>
        <w:t xml:space="preserve">that there are no supply chain linkages to forced </w:t>
      </w:r>
      <w:proofErr w:type="spellStart"/>
      <w:r w:rsidRPr="00D3489F">
        <w:rPr>
          <w:rFonts w:cs="Segoe UI"/>
          <w:color w:val="000000"/>
        </w:rPr>
        <w:t>labour</w:t>
      </w:r>
      <w:proofErr w:type="spellEnd"/>
      <w:r>
        <w:rPr>
          <w:rFonts w:cs="Segoe UI"/>
          <w:color w:val="000000"/>
        </w:rPr>
        <w:t xml:space="preserve">, including </w:t>
      </w:r>
      <w:r w:rsidRPr="00D3489F">
        <w:rPr>
          <w:rFonts w:cs="Segoe UI"/>
          <w:color w:val="000000"/>
        </w:rPr>
        <w:t xml:space="preserve">in XUAR or to the export of forced </w:t>
      </w:r>
      <w:proofErr w:type="spellStart"/>
      <w:r w:rsidRPr="00D3489F">
        <w:rPr>
          <w:rFonts w:cs="Segoe UI"/>
          <w:color w:val="000000"/>
        </w:rPr>
        <w:t>labour</w:t>
      </w:r>
      <w:proofErr w:type="spellEnd"/>
      <w:r w:rsidRPr="00D3489F">
        <w:rPr>
          <w:rFonts w:cs="Segoe UI"/>
          <w:color w:val="000000"/>
        </w:rPr>
        <w:t xml:space="preserve"> from this region. We continue to work diligently towards that goal and through our regular program of China-based audits, we have found no evidence of Uyghur workers employed in the factories making our finished goods, or fabrics.</w:t>
      </w:r>
    </w:p>
    <w:p w:rsidR="00D3489F" w:rsidP="00CD64B9" w:rsidRDefault="00D3489F" w14:paraId="56405708" w14:textId="180EA248">
      <w:pPr>
        <w:spacing w:after="0" w:line="240" w:lineRule="auto"/>
        <w:jc w:val="both"/>
        <w:rPr>
          <w:rFonts w:cs="Segoe UI"/>
          <w:color w:val="000000"/>
        </w:rPr>
      </w:pPr>
    </w:p>
    <w:p w:rsidRPr="006A280B" w:rsidR="006A280B" w:rsidP="00E562A6" w:rsidRDefault="006A280B" w14:paraId="0474613A" w14:textId="4AC35597">
      <w:pPr>
        <w:spacing w:after="0" w:line="240" w:lineRule="auto"/>
        <w:jc w:val="both"/>
        <w:rPr>
          <w:rFonts w:cs="Segoe UI"/>
          <w:b/>
          <w:bCs/>
          <w:color w:val="000000"/>
        </w:rPr>
      </w:pPr>
      <w:r w:rsidRPr="006A280B">
        <w:rPr>
          <w:rFonts w:cs="Segoe UI"/>
          <w:b/>
          <w:bCs/>
          <w:color w:val="000000"/>
        </w:rPr>
        <w:t xml:space="preserve">Human </w:t>
      </w:r>
      <w:r>
        <w:rPr>
          <w:rFonts w:cs="Segoe UI"/>
          <w:b/>
          <w:bCs/>
          <w:color w:val="000000"/>
        </w:rPr>
        <w:t>r</w:t>
      </w:r>
      <w:r w:rsidRPr="006A280B">
        <w:rPr>
          <w:rFonts w:cs="Segoe UI"/>
          <w:b/>
          <w:bCs/>
          <w:color w:val="000000"/>
        </w:rPr>
        <w:t xml:space="preserve">ights </w:t>
      </w:r>
      <w:r>
        <w:rPr>
          <w:rFonts w:cs="Segoe UI"/>
          <w:b/>
          <w:bCs/>
          <w:color w:val="000000"/>
        </w:rPr>
        <w:t>d</w:t>
      </w:r>
      <w:r w:rsidRPr="006A280B">
        <w:rPr>
          <w:rFonts w:cs="Segoe UI"/>
          <w:b/>
          <w:bCs/>
          <w:color w:val="000000"/>
        </w:rPr>
        <w:t xml:space="preserve">ue </w:t>
      </w:r>
      <w:r>
        <w:rPr>
          <w:rFonts w:cs="Segoe UI"/>
          <w:b/>
          <w:bCs/>
          <w:color w:val="000000"/>
        </w:rPr>
        <w:t>d</w:t>
      </w:r>
      <w:r w:rsidRPr="006A280B">
        <w:rPr>
          <w:rFonts w:cs="Segoe UI"/>
          <w:b/>
          <w:bCs/>
          <w:color w:val="000000"/>
        </w:rPr>
        <w:t>iligence</w:t>
      </w:r>
    </w:p>
    <w:p w:rsidRPr="00D3489F" w:rsidR="006A280B" w:rsidP="00E562A6" w:rsidRDefault="006A280B" w14:paraId="14780445" w14:textId="77777777">
      <w:pPr>
        <w:spacing w:after="0" w:line="240" w:lineRule="auto"/>
        <w:jc w:val="both"/>
        <w:rPr>
          <w:rFonts w:cs="Segoe UI"/>
          <w:color w:val="000000"/>
        </w:rPr>
      </w:pPr>
    </w:p>
    <w:p w:rsidR="006A280B" w:rsidP="00E562A6" w:rsidRDefault="006A280B" w14:paraId="68C0E0F7" w14:textId="77777777">
      <w:pPr>
        <w:spacing w:after="0" w:line="240" w:lineRule="auto"/>
        <w:jc w:val="both"/>
      </w:pPr>
      <w:r>
        <w:t xml:space="preserve">adidas has a long-standing commitment to uphold the OECD Guidelines for Multinational Enterprises and we have modelled our human rights due diligence approach on the OECD’s revised 2011 guidelines. </w:t>
      </w:r>
    </w:p>
    <w:p w:rsidR="006A280B" w:rsidP="00E562A6" w:rsidRDefault="006A280B" w14:paraId="4A835732" w14:textId="77777777">
      <w:pPr>
        <w:spacing w:after="0" w:line="240" w:lineRule="auto"/>
        <w:jc w:val="both"/>
      </w:pPr>
    </w:p>
    <w:p w:rsidR="006A280B" w:rsidP="00E562A6" w:rsidRDefault="006A280B" w14:paraId="2BB4EF7C" w14:textId="77777777">
      <w:pPr>
        <w:spacing w:after="0" w:line="240" w:lineRule="auto"/>
        <w:jc w:val="both"/>
      </w:pPr>
      <w:r>
        <w:t>Our human rights due diligence approach targets those high-risk locations, processes or activities that require the closest attention and where we are able to apply influence to mitigate or remediate issues, where they occur. We also seek to extend our reach by cascading responsibilities to our partners, to capture and address potential and actual human rights issues upstream and downstream of our product creation. Finally, to complement these processes, we have put in place dedicated third-party grievance channels to respond to complaints.</w:t>
      </w:r>
    </w:p>
    <w:p w:rsidR="006A280B" w:rsidP="00E562A6" w:rsidRDefault="006A280B" w14:paraId="5754251D" w14:textId="77777777">
      <w:pPr>
        <w:spacing w:after="0" w:line="240" w:lineRule="auto"/>
        <w:jc w:val="both"/>
      </w:pPr>
      <w:r>
        <w:t xml:space="preserve"> </w:t>
      </w:r>
    </w:p>
    <w:p w:rsidR="006A280B" w:rsidP="00E562A6" w:rsidRDefault="006A280B" w14:paraId="5220A4CC" w14:textId="77777777">
      <w:pPr>
        <w:spacing w:after="0" w:line="240" w:lineRule="auto"/>
        <w:jc w:val="both"/>
      </w:pPr>
      <w:r>
        <w:t xml:space="preserve">Core to our human rights approach is adidas’ commitment to ensuring fair </w:t>
      </w:r>
      <w:proofErr w:type="spellStart"/>
      <w:r>
        <w:t>labour</w:t>
      </w:r>
      <w:proofErr w:type="spellEnd"/>
      <w:r>
        <w:t xml:space="preserve"> practices, fair compensation and safe working conditions in factories throughout our global supply chain. Our active efforts are guided by the adidas’ Workplace Standards and our supply chain code of conduct. adidas regularly rates factories on their ability to comply with these standards by means of conducting announced and unannounced audits. According to the results, and the nature of the </w:t>
      </w:r>
      <w:r>
        <w:lastRenderedPageBreak/>
        <w:t xml:space="preserve">issues to be addressed, we then decide on the appropriate course of action, ranging from the determination and implementation of training needs or other improvements, to applying enforcement actions up to termination of contracts. When non-compliances are identified, we normally give suppliers a certain timeframe for remediation. </w:t>
      </w:r>
    </w:p>
    <w:p w:rsidR="006A280B" w:rsidP="00E562A6" w:rsidRDefault="006A280B" w14:paraId="495F0917" w14:textId="77777777">
      <w:pPr>
        <w:spacing w:after="0" w:line="240" w:lineRule="auto"/>
        <w:jc w:val="both"/>
      </w:pPr>
    </w:p>
    <w:p w:rsidR="009233FA" w:rsidP="00E562A6" w:rsidRDefault="006A280B" w14:paraId="75204A7A" w14:textId="1B15211A">
      <w:pPr>
        <w:spacing w:after="0" w:line="240" w:lineRule="auto"/>
        <w:jc w:val="both"/>
      </w:pPr>
      <w:r>
        <w:t xml:space="preserve">Further detail on our human rights due diligence approach is described here. </w:t>
      </w:r>
      <w:hyperlink w:history="1" w:anchor=":~:text=Core%20to%20the%20human%20rights,supply%20chain%20code%20of%20conduct" r:id="rId16">
        <w:r w:rsidRPr="00DF32FE">
          <w:rPr>
            <w:rStyle w:val="Hyperlink"/>
          </w:rPr>
          <w:t>https://www.adidas-group.com/en/sustainability/managing-sustainability/human-rights/#:~:text=Core%20to%20the%20human%20rights,supply%20chain%20code%20of%20conduct</w:t>
        </w:r>
      </w:hyperlink>
      <w:r>
        <w:t xml:space="preserve"> </w:t>
      </w:r>
    </w:p>
    <w:p w:rsidR="00E562A6" w:rsidP="00E562A6" w:rsidRDefault="00E562A6" w14:paraId="14A3B28C" w14:textId="2770D371">
      <w:pPr>
        <w:spacing w:after="0" w:line="240" w:lineRule="auto"/>
        <w:jc w:val="both"/>
      </w:pPr>
    </w:p>
    <w:p w:rsidRPr="00E562A6" w:rsidR="00E562A6" w:rsidP="00E562A6" w:rsidRDefault="00E562A6" w14:paraId="2E6C65B3" w14:textId="65BCA047">
      <w:pPr>
        <w:spacing w:after="0" w:line="240" w:lineRule="auto"/>
        <w:jc w:val="both"/>
        <w:rPr>
          <w:b/>
          <w:bCs/>
        </w:rPr>
      </w:pPr>
      <w:r w:rsidRPr="00E562A6">
        <w:rPr>
          <w:b/>
          <w:bCs/>
        </w:rPr>
        <w:t>Government engagement</w:t>
      </w:r>
    </w:p>
    <w:p w:rsidR="00E562A6" w:rsidP="00E562A6" w:rsidRDefault="00E562A6" w14:paraId="314779C3" w14:textId="77777777">
      <w:pPr>
        <w:spacing w:after="0" w:line="240" w:lineRule="auto"/>
        <w:jc w:val="both"/>
      </w:pPr>
    </w:p>
    <w:p w:rsidRPr="004234FC" w:rsidR="00E562A6" w:rsidP="00E562A6" w:rsidRDefault="00E562A6" w14:paraId="541A8167" w14:textId="4835D103">
      <w:pPr>
        <w:spacing w:after="0" w:line="240" w:lineRule="auto"/>
        <w:jc w:val="both"/>
      </w:pPr>
      <w:r>
        <w:t>Through our Government Affairs team we maintain relations with government departments and local trade associations in each of our key sourcing countries, including China. As part of our regular engagement, we also use the good offices of the Delegation of the European Union</w:t>
      </w:r>
      <w:r w:rsidR="00234500">
        <w:t xml:space="preserve">, </w:t>
      </w:r>
      <w:r>
        <w:t>as well as the German Government</w:t>
      </w:r>
      <w:r w:rsidR="001C17E5">
        <w:t>,</w:t>
      </w:r>
      <w:r w:rsidR="007A6A53">
        <w:t xml:space="preserve"> </w:t>
      </w:r>
      <w:r>
        <w:t>in our outreach to senior officials.</w:t>
      </w:r>
    </w:p>
    <w:sectPr w:rsidRPr="004234FC" w:rsidR="00E562A6" w:rsidSect="007A6A53">
      <w:headerReference w:type="default" r:id="rId17"/>
      <w:footerReference w:type="default" r:id="rId18"/>
      <w:headerReference w:type="first" r:id="rId19"/>
      <w:footerReference w:type="first" r:id="rId20"/>
      <w:pgSz w:w="11906" w:h="16838" w:code="9"/>
      <w:pgMar w:top="3033" w:right="1417" w:bottom="1417" w:left="1871" w:header="1389" w:footer="408" w:gutter="0"/>
      <w:cols w:space="720"/>
      <w:titlePg/>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9B131" w14:textId="77777777" w:rsidR="0065471C" w:rsidRDefault="0065471C">
      <w:r>
        <w:separator/>
      </w:r>
    </w:p>
  </w:endnote>
  <w:endnote w:type="continuationSeparator" w:id="0">
    <w:p w14:paraId="535873E6" w14:textId="77777777" w:rsidR="0065471C" w:rsidRDefault="0065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ihausDIN">
    <w:altName w:val="AdihausDIN"/>
    <w:panose1 w:val="020B0504020101020102"/>
    <w:charset w:val="00"/>
    <w:family w:val="swiss"/>
    <w:pitch w:val="variable"/>
    <w:sig w:usb0="A00002BF" w:usb1="4000207B" w:usb2="00000008" w:usb3="00000000" w:csb0="0000009F" w:csb1="00000000"/>
  </w:font>
  <w:font w:name="adineue PRO TT Black">
    <w:altName w:val="adineue PRO TT Black"/>
    <w:panose1 w:val="020B0A03020201060004"/>
    <w:charset w:val="4D"/>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dineue PRO TT Light">
    <w:altName w:val="adineue PRO TT Light"/>
    <w:panose1 w:val="020B0303020201060004"/>
    <w:charset w:val="4D"/>
    <w:family w:val="swiss"/>
    <w:pitch w:val="variable"/>
    <w:sig w:usb0="00000007" w:usb1="00000000" w:usb2="00000000" w:usb3="00000000" w:csb0="00000093"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B0D3" w14:textId="77777777" w:rsidR="008E429B" w:rsidRPr="00DF1136" w:rsidRDefault="008E429B" w:rsidP="003E386B">
    <w:pPr>
      <w:pStyle w:val="Footer"/>
      <w:rPr>
        <w:sz w:val="2"/>
        <w:szCs w:val="2"/>
      </w:rPr>
    </w:pPr>
  </w:p>
  <w:tbl>
    <w:tblPr>
      <w:tblStyle w:val="TableGrid"/>
      <w:tblW w:w="9072" w:type="dxa"/>
      <w:tblBorders>
        <w:top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985"/>
      <w:gridCol w:w="6237"/>
      <w:gridCol w:w="850"/>
    </w:tblGrid>
    <w:tr w:rsidR="003E038C" w:rsidRPr="00413559" w14:paraId="5A02C974" w14:textId="77777777" w:rsidTr="00E004A5">
      <w:tc>
        <w:tcPr>
          <w:tcW w:w="1985" w:type="dxa"/>
          <w:tcBorders>
            <w:left w:val="nil"/>
          </w:tcBorders>
          <w:tcMar>
            <w:right w:w="170" w:type="dxa"/>
          </w:tcMar>
        </w:tcPr>
        <w:p w14:paraId="1FFC5802" w14:textId="77777777" w:rsidR="003E038C" w:rsidRPr="00413559" w:rsidRDefault="003E038C" w:rsidP="003E038C">
          <w:pPr>
            <w:tabs>
              <w:tab w:val="center" w:pos="4536"/>
              <w:tab w:val="right" w:pos="9072"/>
            </w:tabs>
            <w:spacing w:after="0" w:line="240" w:lineRule="auto"/>
            <w:rPr>
              <w:noProof/>
              <w:sz w:val="14"/>
              <w:szCs w:val="14"/>
            </w:rPr>
          </w:pPr>
        </w:p>
      </w:tc>
      <w:tc>
        <w:tcPr>
          <w:tcW w:w="6237" w:type="dxa"/>
        </w:tcPr>
        <w:p w14:paraId="2EC917E6" w14:textId="77777777" w:rsidR="003E038C" w:rsidRPr="00083D25" w:rsidRDefault="003E038C" w:rsidP="003E038C">
          <w:pPr>
            <w:tabs>
              <w:tab w:val="center" w:pos="4536"/>
              <w:tab w:val="right" w:pos="9072"/>
            </w:tabs>
            <w:spacing w:after="0" w:line="240" w:lineRule="auto"/>
            <w:rPr>
              <w:noProof/>
              <w:sz w:val="13"/>
              <w:szCs w:val="13"/>
            </w:rPr>
          </w:pPr>
        </w:p>
      </w:tc>
      <w:tc>
        <w:tcPr>
          <w:tcW w:w="850" w:type="dxa"/>
        </w:tcPr>
        <w:p w14:paraId="73A69DDB" w14:textId="77777777" w:rsidR="003E038C" w:rsidRPr="00083D25" w:rsidRDefault="003E038C" w:rsidP="003E038C">
          <w:pPr>
            <w:pStyle w:val="Pa1"/>
            <w:spacing w:line="240" w:lineRule="auto"/>
            <w:jc w:val="right"/>
            <w:rPr>
              <w:noProof/>
              <w:sz w:val="15"/>
              <w:szCs w:val="13"/>
            </w:rPr>
          </w:pPr>
          <w:r w:rsidRPr="00083D25">
            <w:rPr>
              <w:rStyle w:val="A0"/>
              <w:color w:val="000000"/>
              <w:spacing w:val="2"/>
              <w:sz w:val="15"/>
            </w:rPr>
            <w:t xml:space="preserve">Page </w:t>
          </w:r>
          <w:r w:rsidRPr="00083D25">
            <w:rPr>
              <w:rStyle w:val="A0"/>
              <w:color w:val="000000"/>
              <w:spacing w:val="2"/>
              <w:sz w:val="15"/>
            </w:rPr>
            <w:fldChar w:fldCharType="begin"/>
          </w:r>
          <w:r w:rsidRPr="00083D25">
            <w:rPr>
              <w:rStyle w:val="A0"/>
              <w:color w:val="000000"/>
              <w:spacing w:val="2"/>
              <w:sz w:val="15"/>
            </w:rPr>
            <w:instrText xml:space="preserve"> PAGE </w:instrText>
          </w:r>
          <w:r w:rsidRPr="00083D25">
            <w:rPr>
              <w:rStyle w:val="A0"/>
              <w:color w:val="000000"/>
              <w:spacing w:val="2"/>
              <w:sz w:val="15"/>
            </w:rPr>
            <w:fldChar w:fldCharType="separate"/>
          </w:r>
          <w:r w:rsidRPr="00083D25">
            <w:rPr>
              <w:rStyle w:val="A0"/>
              <w:color w:val="000000"/>
              <w:spacing w:val="2"/>
              <w:sz w:val="15"/>
            </w:rPr>
            <w:t>1</w:t>
          </w:r>
          <w:r w:rsidRPr="00083D25">
            <w:rPr>
              <w:rStyle w:val="A0"/>
              <w:color w:val="000000"/>
              <w:spacing w:val="2"/>
              <w:sz w:val="15"/>
            </w:rPr>
            <w:fldChar w:fldCharType="end"/>
          </w:r>
          <w:r w:rsidRPr="00083D25">
            <w:rPr>
              <w:rStyle w:val="A0"/>
              <w:color w:val="000000"/>
              <w:spacing w:val="2"/>
              <w:sz w:val="15"/>
            </w:rPr>
            <w:t>/</w:t>
          </w:r>
          <w:r w:rsidRPr="00083D25">
            <w:rPr>
              <w:rStyle w:val="A0"/>
              <w:color w:val="000000"/>
              <w:spacing w:val="2"/>
              <w:sz w:val="15"/>
            </w:rPr>
            <w:fldChar w:fldCharType="begin"/>
          </w:r>
          <w:r w:rsidRPr="00083D25">
            <w:rPr>
              <w:rStyle w:val="A0"/>
              <w:color w:val="000000"/>
              <w:spacing w:val="2"/>
              <w:sz w:val="15"/>
            </w:rPr>
            <w:instrText xml:space="preserve"> NUMPAGES  \* Arabic  \* MERGEFORMAT </w:instrText>
          </w:r>
          <w:r w:rsidRPr="00083D25">
            <w:rPr>
              <w:rStyle w:val="A0"/>
              <w:color w:val="000000"/>
              <w:spacing w:val="2"/>
              <w:sz w:val="15"/>
            </w:rPr>
            <w:fldChar w:fldCharType="separate"/>
          </w:r>
          <w:r w:rsidRPr="00083D25">
            <w:rPr>
              <w:rStyle w:val="A0"/>
              <w:color w:val="000000"/>
              <w:spacing w:val="2"/>
              <w:sz w:val="15"/>
            </w:rPr>
            <w:t>1</w:t>
          </w:r>
          <w:r w:rsidRPr="00083D25">
            <w:rPr>
              <w:rStyle w:val="A0"/>
              <w:color w:val="000000"/>
              <w:spacing w:val="2"/>
              <w:sz w:val="15"/>
            </w:rPr>
            <w:fldChar w:fldCharType="end"/>
          </w:r>
        </w:p>
      </w:tc>
    </w:tr>
  </w:tbl>
  <w:p w14:paraId="37F73A63" w14:textId="77777777" w:rsidR="008E429B" w:rsidRPr="003E386B" w:rsidRDefault="008E429B" w:rsidP="003E038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E719C" w14:textId="77777777" w:rsidR="00413559" w:rsidRPr="00413559" w:rsidRDefault="00413559" w:rsidP="00413559">
    <w:pPr>
      <w:spacing w:after="0" w:line="240" w:lineRule="auto"/>
      <w:ind w:right="-710"/>
      <w:rPr>
        <w:noProof/>
        <w:sz w:val="12"/>
        <w:szCs w:val="12"/>
      </w:rPr>
    </w:pPr>
  </w:p>
  <w:p w14:paraId="7F094329" w14:textId="77777777" w:rsidR="00413559" w:rsidRDefault="00413559" w:rsidP="00413559">
    <w:pPr>
      <w:spacing w:after="0" w:line="240" w:lineRule="auto"/>
      <w:ind w:right="-710"/>
      <w:rPr>
        <w:noProof/>
        <w:sz w:val="12"/>
        <w:szCs w:val="12"/>
      </w:rPr>
    </w:pPr>
  </w:p>
  <w:p w14:paraId="216285C4" w14:textId="77777777" w:rsidR="005A77FE" w:rsidRPr="00413559" w:rsidRDefault="005A77FE" w:rsidP="00413559">
    <w:pPr>
      <w:spacing w:after="0" w:line="240" w:lineRule="auto"/>
      <w:ind w:right="-710"/>
      <w:rPr>
        <w:noProof/>
        <w:sz w:val="12"/>
        <w:szCs w:val="12"/>
      </w:rPr>
    </w:pPr>
  </w:p>
  <w:p w14:paraId="5BB26C12" w14:textId="77777777" w:rsidR="00413559" w:rsidRPr="00413559" w:rsidRDefault="00413559" w:rsidP="00413559">
    <w:pPr>
      <w:spacing w:after="0" w:line="240" w:lineRule="auto"/>
      <w:ind w:right="-710"/>
      <w:rPr>
        <w:noProof/>
        <w:sz w:val="12"/>
        <w:szCs w:val="12"/>
      </w:rPr>
    </w:pPr>
  </w:p>
  <w:tbl>
    <w:tblPr>
      <w:tblStyle w:val="TableGrid"/>
      <w:tblW w:w="9072" w:type="dxa"/>
      <w:tblBorders>
        <w:top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72"/>
    </w:tblGrid>
    <w:tr w:rsidR="007A6A53" w:rsidRPr="00DB7B90" w14:paraId="7F78CE35" w14:textId="77777777" w:rsidTr="002D7BD4">
      <w:trPr>
        <w:trHeight w:val="1178"/>
      </w:trPr>
      <w:tc>
        <w:tcPr>
          <w:tcW w:w="9072" w:type="dxa"/>
          <w:tcBorders>
            <w:left w:val="nil"/>
          </w:tcBorders>
          <w:tcMar>
            <w:right w:w="170" w:type="dxa"/>
          </w:tcMar>
        </w:tcPr>
        <w:sdt>
          <w:sdtPr>
            <w:rPr>
              <w:rFonts w:ascii="adineue PRO TT Black" w:hAnsi="adineue PRO TT Black"/>
              <w:caps/>
              <w:noProof/>
              <w:spacing w:val="14"/>
              <w:sz w:val="13"/>
              <w:szCs w:val="13"/>
              <w:lang w:eastAsia="de-DE"/>
            </w:rPr>
            <w:alias w:val="UserProfile.Office.Entity"/>
            <w:tag w:val="{&quot;templafy&quot;:{&quot;id&quot;:&quot;ea14eb38-4011-4fa1-8c98-dec1102b85d3&quot;}}"/>
            <w:id w:val="1020047359"/>
            <w:placeholder>
              <w:docPart w:val="EE9AC1008F8A08459E289535847AF45A"/>
            </w:placeholder>
          </w:sdtPr>
          <w:sdtContent>
            <w:p w14:paraId="1C00FF29" w14:textId="1ECE2DD9" w:rsidR="007A6A53" w:rsidRPr="007A6A53" w:rsidRDefault="007A6A53" w:rsidP="004234FC">
              <w:pPr>
                <w:tabs>
                  <w:tab w:val="center" w:pos="4536"/>
                  <w:tab w:val="right" w:pos="9072"/>
                </w:tabs>
                <w:spacing w:after="60" w:line="240" w:lineRule="auto"/>
                <w:rPr>
                  <w:rFonts w:ascii="adineue PRO TT Black" w:hAnsi="adineue PRO TT Black"/>
                  <w:caps/>
                  <w:noProof/>
                  <w:spacing w:val="14"/>
                  <w:sz w:val="13"/>
                  <w:szCs w:val="13"/>
                  <w:lang w:eastAsia="de-DE"/>
                </w:rPr>
              </w:pPr>
              <w:r w:rsidRPr="007A6A53">
                <w:rPr>
                  <w:rFonts w:ascii="adineue PRO TT Black" w:hAnsi="adineue PRO TT Black"/>
                  <w:caps/>
                  <w:noProof/>
                  <w:spacing w:val="14"/>
                  <w:sz w:val="13"/>
                  <w:szCs w:val="13"/>
                  <w:lang w:val="de-DE"/>
                </w:rPr>
                <w:t>adidas INTERNATIONAL BV</w:t>
              </w:r>
            </w:p>
          </w:sdtContent>
        </w:sdt>
        <w:sdt>
          <w:sdtPr>
            <w:rPr>
              <w:caps/>
              <w:noProof/>
              <w:sz w:val="13"/>
              <w:szCs w:val="13"/>
              <w:lang w:eastAsia="de-DE"/>
            </w:rPr>
            <w:alias w:val="UserProfile.Office.Address"/>
            <w:tag w:val="{&quot;templafy&quot;:{&quot;id&quot;:&quot;1f53e338-34cc-461d-89df-d1719a866eea&quot;}}"/>
            <w:id w:val="783233905"/>
            <w:placeholder>
              <w:docPart w:val="32355E1BCB11094ABFEE45B0FA653AD0"/>
            </w:placeholder>
          </w:sdtPr>
          <w:sdtContent>
            <w:p w14:paraId="6D499BD0" w14:textId="77777777" w:rsidR="007A6A53" w:rsidRPr="007A6A53" w:rsidRDefault="007A6A53" w:rsidP="004234FC">
              <w:pPr>
                <w:tabs>
                  <w:tab w:val="center" w:pos="4536"/>
                  <w:tab w:val="right" w:pos="9072"/>
                </w:tabs>
                <w:spacing w:after="20" w:line="252" w:lineRule="auto"/>
                <w:rPr>
                  <w:caps/>
                  <w:noProof/>
                  <w:sz w:val="13"/>
                  <w:szCs w:val="13"/>
                  <w:lang w:val="de-DE"/>
                </w:rPr>
              </w:pPr>
              <w:r w:rsidRPr="007A6A53">
                <w:rPr>
                  <w:caps/>
                  <w:noProof/>
                  <w:sz w:val="13"/>
                  <w:szCs w:val="13"/>
                  <w:lang w:val="de-DE"/>
                </w:rPr>
                <w:t>Hoogoorddreef 9a</w:t>
              </w:r>
            </w:p>
            <w:p w14:paraId="57F46189" w14:textId="77777777" w:rsidR="007A6A53" w:rsidRPr="007A6A53" w:rsidRDefault="007A6A53" w:rsidP="004234FC">
              <w:pPr>
                <w:tabs>
                  <w:tab w:val="center" w:pos="4536"/>
                  <w:tab w:val="right" w:pos="9072"/>
                </w:tabs>
                <w:spacing w:after="20" w:line="252" w:lineRule="auto"/>
                <w:rPr>
                  <w:caps/>
                  <w:noProof/>
                  <w:sz w:val="13"/>
                  <w:szCs w:val="13"/>
                  <w:lang w:val="de-DE"/>
                </w:rPr>
              </w:pPr>
              <w:r w:rsidRPr="007A6A53">
                <w:rPr>
                  <w:caps/>
                  <w:noProof/>
                  <w:sz w:val="13"/>
                  <w:szCs w:val="13"/>
                  <w:lang w:val="de-DE"/>
                </w:rPr>
                <w:t>1101 BA AMSTerdam</w:t>
              </w:r>
            </w:p>
            <w:p w14:paraId="54325357" w14:textId="77777777" w:rsidR="007A6A53" w:rsidRPr="007A6A53" w:rsidRDefault="007A6A53" w:rsidP="004234FC">
              <w:pPr>
                <w:tabs>
                  <w:tab w:val="center" w:pos="4536"/>
                  <w:tab w:val="right" w:pos="9072"/>
                </w:tabs>
                <w:spacing w:after="20" w:line="252" w:lineRule="auto"/>
                <w:rPr>
                  <w:caps/>
                  <w:noProof/>
                  <w:sz w:val="13"/>
                  <w:szCs w:val="13"/>
                  <w:lang w:val="de-DE"/>
                </w:rPr>
              </w:pPr>
            </w:p>
            <w:p w14:paraId="5095A832" w14:textId="583B1F27" w:rsidR="007A6A53" w:rsidRPr="00DB7B90" w:rsidRDefault="007A6A53" w:rsidP="004234FC">
              <w:pPr>
                <w:tabs>
                  <w:tab w:val="center" w:pos="4536"/>
                  <w:tab w:val="right" w:pos="9072"/>
                </w:tabs>
                <w:spacing w:after="20" w:line="252" w:lineRule="auto"/>
                <w:rPr>
                  <w:caps/>
                  <w:noProof/>
                  <w:sz w:val="13"/>
                  <w:szCs w:val="13"/>
                  <w:highlight w:val="yellow"/>
                  <w:lang w:val="de-DE"/>
                </w:rPr>
              </w:pPr>
              <w:r w:rsidRPr="007A6A53">
                <w:rPr>
                  <w:caps/>
                  <w:noProof/>
                  <w:sz w:val="13"/>
                  <w:szCs w:val="13"/>
                  <w:lang w:val="de-DE"/>
                </w:rPr>
                <w:t>adidas-group.com</w:t>
              </w:r>
            </w:p>
          </w:sdtContent>
        </w:sdt>
        <w:p w14:paraId="360015E9" w14:textId="1AD17F30" w:rsidR="007A6A53" w:rsidRPr="007A6A53" w:rsidRDefault="007A6A53">
          <w:pPr>
            <w:tabs>
              <w:tab w:val="center" w:pos="4536"/>
              <w:tab w:val="right" w:pos="9072"/>
            </w:tabs>
            <w:spacing w:after="0" w:line="160" w:lineRule="exact"/>
          </w:pPr>
        </w:p>
        <w:p w14:paraId="2FDBBD7C" w14:textId="77777777" w:rsidR="007A6A53" w:rsidRPr="00DB7B90" w:rsidRDefault="007A6A53" w:rsidP="004234FC">
          <w:pPr>
            <w:tabs>
              <w:tab w:val="center" w:pos="4536"/>
              <w:tab w:val="right" w:pos="9072"/>
            </w:tabs>
            <w:spacing w:after="0" w:line="160" w:lineRule="exact"/>
            <w:rPr>
              <w:noProof/>
              <w:sz w:val="13"/>
              <w:szCs w:val="13"/>
              <w:highlight w:val="yellow"/>
              <w:lang w:val="de-DE"/>
            </w:rPr>
          </w:pPr>
          <w:r w:rsidRPr="00E562A6">
            <w:rPr>
              <w:noProof/>
              <w:sz w:val="13"/>
              <w:szCs w:val="13"/>
              <w:highlight w:val="yellow"/>
              <w:lang w:val="de-DE"/>
            </w:rPr>
            <w:br/>
          </w:r>
        </w:p>
        <w:p w14:paraId="18626420" w14:textId="302F731B" w:rsidR="007A6A53" w:rsidRPr="007A6A53" w:rsidRDefault="007A6A53" w:rsidP="007A6A53">
          <w:pPr>
            <w:pStyle w:val="Pa1"/>
            <w:spacing w:line="240" w:lineRule="auto"/>
            <w:jc w:val="right"/>
            <w:rPr>
              <w:noProof/>
              <w:sz w:val="15"/>
              <w:szCs w:val="13"/>
              <w:highlight w:val="yellow"/>
            </w:rPr>
          </w:pPr>
          <w:r w:rsidRPr="007A6A53">
            <w:rPr>
              <w:rStyle w:val="A0"/>
              <w:color w:val="000000"/>
              <w:spacing w:val="2"/>
              <w:sz w:val="15"/>
            </w:rPr>
            <w:t xml:space="preserve">Page </w:t>
          </w:r>
          <w:r w:rsidRPr="007A6A53">
            <w:rPr>
              <w:rStyle w:val="A0"/>
              <w:color w:val="000000"/>
              <w:spacing w:val="2"/>
              <w:sz w:val="15"/>
            </w:rPr>
            <w:fldChar w:fldCharType="begin"/>
          </w:r>
          <w:r w:rsidRPr="007A6A53">
            <w:rPr>
              <w:rStyle w:val="A0"/>
              <w:color w:val="000000"/>
              <w:spacing w:val="2"/>
              <w:sz w:val="15"/>
            </w:rPr>
            <w:instrText xml:space="preserve"> PAGE </w:instrText>
          </w:r>
          <w:r w:rsidRPr="007A6A53">
            <w:rPr>
              <w:rStyle w:val="A0"/>
              <w:color w:val="000000"/>
              <w:spacing w:val="2"/>
              <w:sz w:val="15"/>
            </w:rPr>
            <w:fldChar w:fldCharType="separate"/>
          </w:r>
          <w:r w:rsidRPr="007A6A53">
            <w:rPr>
              <w:rStyle w:val="A0"/>
              <w:color w:val="000000"/>
              <w:spacing w:val="2"/>
              <w:sz w:val="15"/>
            </w:rPr>
            <w:t>1</w:t>
          </w:r>
          <w:r w:rsidRPr="007A6A53">
            <w:rPr>
              <w:rStyle w:val="A0"/>
              <w:color w:val="000000"/>
              <w:spacing w:val="2"/>
              <w:sz w:val="15"/>
            </w:rPr>
            <w:fldChar w:fldCharType="end"/>
          </w:r>
          <w:r w:rsidRPr="007A6A53">
            <w:rPr>
              <w:rStyle w:val="A0"/>
              <w:color w:val="000000"/>
              <w:spacing w:val="2"/>
              <w:sz w:val="15"/>
            </w:rPr>
            <w:t>/</w:t>
          </w:r>
          <w:r w:rsidRPr="007A6A53">
            <w:rPr>
              <w:rStyle w:val="A0"/>
              <w:color w:val="000000"/>
              <w:spacing w:val="2"/>
              <w:sz w:val="15"/>
            </w:rPr>
            <w:fldChar w:fldCharType="begin"/>
          </w:r>
          <w:r w:rsidRPr="007A6A53">
            <w:rPr>
              <w:rStyle w:val="A0"/>
              <w:color w:val="000000"/>
              <w:spacing w:val="2"/>
              <w:sz w:val="15"/>
            </w:rPr>
            <w:instrText xml:space="preserve"> NUMPAGES  \* Arabic  \* MERGEFORMAT </w:instrText>
          </w:r>
          <w:r w:rsidRPr="007A6A53">
            <w:rPr>
              <w:rStyle w:val="A0"/>
              <w:color w:val="000000"/>
              <w:spacing w:val="2"/>
              <w:sz w:val="15"/>
            </w:rPr>
            <w:fldChar w:fldCharType="separate"/>
          </w:r>
          <w:r w:rsidRPr="007A6A53">
            <w:rPr>
              <w:rStyle w:val="A0"/>
              <w:color w:val="000000"/>
              <w:spacing w:val="2"/>
              <w:sz w:val="15"/>
            </w:rPr>
            <w:t>1</w:t>
          </w:r>
          <w:r w:rsidRPr="007A6A53">
            <w:rPr>
              <w:rStyle w:val="A0"/>
              <w:color w:val="000000"/>
              <w:spacing w:val="2"/>
              <w:sz w:val="15"/>
            </w:rPr>
            <w:fldChar w:fldCharType="end"/>
          </w:r>
        </w:p>
        <w:p w14:paraId="7830B410" w14:textId="11A7F0ED" w:rsidR="007A6A53" w:rsidRPr="00DB7B90" w:rsidRDefault="007A6A53" w:rsidP="004234FC">
          <w:pPr>
            <w:pStyle w:val="Pa1"/>
            <w:spacing w:line="240" w:lineRule="auto"/>
            <w:jc w:val="right"/>
            <w:rPr>
              <w:noProof/>
              <w:sz w:val="15"/>
              <w:szCs w:val="13"/>
              <w:highlight w:val="yellow"/>
            </w:rPr>
          </w:pPr>
          <w:r w:rsidRPr="00DB7B90">
            <w:rPr>
              <w:noProof/>
              <w:sz w:val="13"/>
              <w:szCs w:val="13"/>
              <w:highlight w:val="yellow"/>
            </w:rPr>
            <w:br/>
          </w:r>
        </w:p>
      </w:tc>
    </w:tr>
  </w:tbl>
  <w:p w14:paraId="478DB50A" w14:textId="77777777" w:rsidR="00413559" w:rsidRPr="004234FC" w:rsidRDefault="00413559" w:rsidP="00413559">
    <w:pPr>
      <w:tabs>
        <w:tab w:val="center" w:pos="4536"/>
        <w:tab w:val="right" w:pos="9072"/>
      </w:tabs>
      <w:spacing w:after="0" w:line="240" w:lineRule="auto"/>
      <w:rPr>
        <w:noProof/>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230D3" w14:textId="77777777" w:rsidR="0065471C" w:rsidRDefault="0065471C">
      <w:r>
        <w:separator/>
      </w:r>
    </w:p>
  </w:footnote>
  <w:footnote w:type="continuationSeparator" w:id="0">
    <w:p w14:paraId="2A09FE8D" w14:textId="77777777" w:rsidR="0065471C" w:rsidRDefault="0065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UserProfile.Logo.LogoName"/>
      <w:tag w:val="{&quot;templafy&quot;:{&quot;id&quot;:&quot;278194c3-8a7e-4a09-aca7-48228342c96a&quot;}}"/>
      <w:id w:val="-1237855603"/>
      <w:picture/>
    </w:sdtPr>
    <w:sdtEndPr/>
    <w:sdtContent>
      <w:p w14:paraId="5DB4895F" w14:textId="77777777" w:rsidR="008E429B" w:rsidRPr="002870C9" w:rsidRDefault="008204B3" w:rsidP="008204B3">
        <w:pPr>
          <w:pStyle w:val="Header"/>
          <w:spacing w:after="0" w:line="240" w:lineRule="auto"/>
        </w:pPr>
        <w:r>
          <w:rPr>
            <w:noProof/>
          </w:rPr>
          <w:drawing>
            <wp:inline distT="0" distB="0" distL="0" distR="0" wp14:anchorId="554FE2B2" wp14:editId="74B8A5F8">
              <wp:extent cx="1279238" cy="298800"/>
              <wp:effectExtent l="0" t="0" r="0" b="0"/>
              <wp:docPr id="1847785266" name="Picture 3"/>
              <wp:cNvGraphicFramePr/>
              <a:graphic xmlns:a="http://schemas.openxmlformats.org/drawingml/2006/main">
                <a:graphicData uri="http://schemas.openxmlformats.org/drawingml/2006/picture">
                  <pic:pic xmlns:pic="http://schemas.openxmlformats.org/drawingml/2006/picture">
                    <pic:nvPicPr>
                      <pic:cNvPr id="1847785266" name="Picture 3"/>
                      <pic:cNvPicPr/>
                    </pic:nvPicPr>
                    <pic:blipFill>
                      <a:blip r:embed="rId1"/>
                      <a:srcRect/>
                      <a:stretch/>
                    </pic:blipFill>
                    <pic:spPr>
                      <a:xfrm>
                        <a:off x="0" y="0"/>
                        <a:ext cx="1279238" cy="298800"/>
                      </a:xfrm>
                      <a:prstGeom prst="rect">
                        <a:avLst/>
                      </a:prstGeom>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UserProfile.Logo.LogoName"/>
      <w:tag w:val="{&quot;templafy&quot;:{&quot;id&quot;:&quot;ef590154-0cd4-40bd-aad6-1da0c675e2ad&quot;}}"/>
      <w:id w:val="-756742217"/>
      <w:picture/>
    </w:sdtPr>
    <w:sdtEndPr/>
    <w:sdtContent>
      <w:p w14:paraId="4C007A92" w14:textId="77777777" w:rsidR="00D66513" w:rsidRDefault="008204B3" w:rsidP="00D66513">
        <w:pPr>
          <w:pStyle w:val="Header"/>
          <w:spacing w:after="0" w:line="240" w:lineRule="auto"/>
        </w:pPr>
        <w:r>
          <w:rPr>
            <w:noProof/>
          </w:rPr>
          <w:drawing>
            <wp:inline distT="0" distB="0" distL="0" distR="0" wp14:anchorId="6AC41D18" wp14:editId="009D0142">
              <wp:extent cx="1279238" cy="298800"/>
              <wp:effectExtent l="0" t="0" r="0" b="0"/>
              <wp:docPr id="2113027890" name="Picture 4"/>
              <wp:cNvGraphicFramePr/>
              <a:graphic xmlns:a="http://schemas.openxmlformats.org/drawingml/2006/main">
                <a:graphicData uri="http://schemas.openxmlformats.org/drawingml/2006/picture">
                  <pic:pic xmlns:pic="http://schemas.openxmlformats.org/drawingml/2006/picture">
                    <pic:nvPicPr>
                      <pic:cNvPr id="2113027890" name="Picture 4"/>
                      <pic:cNvPicPr/>
                    </pic:nvPicPr>
                    <pic:blipFill>
                      <a:blip r:embed="rId1"/>
                      <a:srcRect/>
                      <a:stretch/>
                    </pic:blipFill>
                    <pic:spPr>
                      <a:xfrm>
                        <a:off x="0" y="0"/>
                        <a:ext cx="1279238" cy="298800"/>
                      </a:xfrm>
                      <a:prstGeom prst="rect">
                        <a:avLst/>
                      </a:prstGeom>
                    </pic:spPr>
                  </pic:pic>
                </a:graphicData>
              </a:graphic>
            </wp:inline>
          </w:drawing>
        </w:r>
      </w:p>
    </w:sdtContent>
  </w:sdt>
  <w:p w14:paraId="496B06A9" w14:textId="77777777" w:rsidR="00E50948" w:rsidRPr="00D66513" w:rsidRDefault="00E50948" w:rsidP="00D6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B790F"/>
    <w:multiLevelType w:val="hybridMultilevel"/>
    <w:tmpl w:val="CC101C64"/>
    <w:lvl w:ilvl="0" w:tplc="CC78B11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A2A00D1"/>
    <w:multiLevelType w:val="hybridMultilevel"/>
    <w:tmpl w:val="1354D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0D75E0"/>
    <w:multiLevelType w:val="hybridMultilevel"/>
    <w:tmpl w:val="DECE4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D6030E3"/>
    <w:multiLevelType w:val="hybridMultilevel"/>
    <w:tmpl w:val="45785A1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BAB5367"/>
    <w:multiLevelType w:val="hybridMultilevel"/>
    <w:tmpl w:val="F2BA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681F26"/>
    <w:multiLevelType w:val="multilevel"/>
    <w:tmpl w:val="41BC2B6A"/>
    <w:lvl w:ilvl="0">
      <w:start w:val="1"/>
      <w:numFmt w:val="bullet"/>
      <w:pStyle w:val="ListParagraph"/>
      <w:lvlText w:val=""/>
      <w:lvlJc w:val="left"/>
      <w:pPr>
        <w:ind w:left="284" w:hanging="284"/>
      </w:pPr>
      <w:rPr>
        <w:rFonts w:ascii="Wingdings" w:hAnsi="Wingdings" w:hint="default"/>
      </w:rPr>
    </w:lvl>
    <w:lvl w:ilvl="1">
      <w:numFmt w:val="bullet"/>
      <w:lvlText w:val="-"/>
      <w:lvlJc w:val="left"/>
      <w:pPr>
        <w:ind w:left="851" w:hanging="284"/>
      </w:pPr>
      <w:rPr>
        <w:rFonts w:ascii="AdihausDIN" w:hAnsi="AdihausDIN" w:hint="default"/>
        <w:sz w:val="24"/>
      </w:rPr>
    </w:lvl>
    <w:lvl w:ilvl="2">
      <w:numFmt w:val="bullet"/>
      <w:lvlText w:val="-"/>
      <w:lvlJc w:val="left"/>
      <w:pPr>
        <w:ind w:left="1418" w:hanging="284"/>
      </w:pPr>
      <w:rPr>
        <w:rFonts w:ascii="AdihausDIN" w:hAnsi="AdihausDIN" w:hint="default"/>
      </w:rPr>
    </w:lvl>
    <w:lvl w:ilvl="3">
      <w:numFmt w:val="bullet"/>
      <w:lvlText w:val="-"/>
      <w:lvlJc w:val="left"/>
      <w:pPr>
        <w:ind w:left="1985" w:hanging="284"/>
      </w:pPr>
      <w:rPr>
        <w:rFonts w:ascii="AdihausDIN" w:hAnsi="AdihausDIN" w:hint="default"/>
      </w:rPr>
    </w:lvl>
    <w:lvl w:ilvl="4">
      <w:numFmt w:val="bullet"/>
      <w:lvlText w:val="-"/>
      <w:lvlJc w:val="left"/>
      <w:pPr>
        <w:ind w:left="2552" w:hanging="284"/>
      </w:pPr>
      <w:rPr>
        <w:rFonts w:ascii="AdihausDIN" w:eastAsia="Times New Roman" w:hAnsi="AdihausDIN" w:cs="AdihausDIN" w:hint="default"/>
      </w:rPr>
    </w:lvl>
    <w:lvl w:ilvl="5">
      <w:numFmt w:val="bullet"/>
      <w:lvlText w:val="-"/>
      <w:lvlJc w:val="left"/>
      <w:pPr>
        <w:ind w:left="3119" w:hanging="284"/>
      </w:pPr>
      <w:rPr>
        <w:rFonts w:ascii="AdihausDIN" w:eastAsia="Times New Roman" w:hAnsi="AdihausDIN" w:cs="AdihausDIN" w:hint="default"/>
      </w:rPr>
    </w:lvl>
    <w:lvl w:ilvl="6">
      <w:numFmt w:val="bullet"/>
      <w:lvlText w:val="-"/>
      <w:lvlJc w:val="left"/>
      <w:pPr>
        <w:ind w:left="3686" w:hanging="284"/>
      </w:pPr>
      <w:rPr>
        <w:rFonts w:ascii="AdihausDIN" w:eastAsia="Times New Roman" w:hAnsi="AdihausDIN" w:cs="AdihausDIN" w:hint="default"/>
      </w:rPr>
    </w:lvl>
    <w:lvl w:ilvl="7">
      <w:numFmt w:val="bullet"/>
      <w:lvlText w:val="-"/>
      <w:lvlJc w:val="left"/>
      <w:pPr>
        <w:ind w:left="4253" w:hanging="284"/>
      </w:pPr>
      <w:rPr>
        <w:rFonts w:ascii="AdihausDIN" w:eastAsia="Times New Roman" w:hAnsi="AdihausDIN" w:cs="AdihausDIN" w:hint="default"/>
      </w:rPr>
    </w:lvl>
    <w:lvl w:ilvl="8">
      <w:numFmt w:val="bullet"/>
      <w:lvlText w:val="-"/>
      <w:lvlJc w:val="left"/>
      <w:pPr>
        <w:ind w:left="4820" w:hanging="284"/>
      </w:pPr>
      <w:rPr>
        <w:rFonts w:ascii="AdihausDIN" w:eastAsia="Times New Roman" w:hAnsi="AdihausDIN" w:cs="AdihausDIN" w:hint="default"/>
      </w:rPr>
    </w:lvl>
  </w:abstractNum>
  <w:num w:numId="1">
    <w:abstractNumId w:val="5"/>
  </w:num>
  <w:num w:numId="2">
    <w:abstractNumId w:val="5"/>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A2"/>
    <w:rsid w:val="00002F77"/>
    <w:rsid w:val="00005552"/>
    <w:rsid w:val="000059C7"/>
    <w:rsid w:val="000139A3"/>
    <w:rsid w:val="000173A2"/>
    <w:rsid w:val="00023AC3"/>
    <w:rsid w:val="00024F16"/>
    <w:rsid w:val="0002703A"/>
    <w:rsid w:val="000332E5"/>
    <w:rsid w:val="00036526"/>
    <w:rsid w:val="00037112"/>
    <w:rsid w:val="00042C0C"/>
    <w:rsid w:val="000440E5"/>
    <w:rsid w:val="0004466F"/>
    <w:rsid w:val="00050D7C"/>
    <w:rsid w:val="000618E5"/>
    <w:rsid w:val="00070AD6"/>
    <w:rsid w:val="00083D25"/>
    <w:rsid w:val="0008648D"/>
    <w:rsid w:val="000A1856"/>
    <w:rsid w:val="000B49FB"/>
    <w:rsid w:val="000B5DA6"/>
    <w:rsid w:val="000C2106"/>
    <w:rsid w:val="000D59AF"/>
    <w:rsid w:val="000E0B24"/>
    <w:rsid w:val="000E316E"/>
    <w:rsid w:val="000E7197"/>
    <w:rsid w:val="000F4611"/>
    <w:rsid w:val="000F50F7"/>
    <w:rsid w:val="001003E6"/>
    <w:rsid w:val="00104729"/>
    <w:rsid w:val="00105E2E"/>
    <w:rsid w:val="001121E7"/>
    <w:rsid w:val="00123CE5"/>
    <w:rsid w:val="0012456E"/>
    <w:rsid w:val="00124EB8"/>
    <w:rsid w:val="00131054"/>
    <w:rsid w:val="00131497"/>
    <w:rsid w:val="001368C5"/>
    <w:rsid w:val="00140ED0"/>
    <w:rsid w:val="00141BDD"/>
    <w:rsid w:val="00150713"/>
    <w:rsid w:val="00160725"/>
    <w:rsid w:val="00164A21"/>
    <w:rsid w:val="00164BB3"/>
    <w:rsid w:val="00164DBF"/>
    <w:rsid w:val="00172DB3"/>
    <w:rsid w:val="00173A2C"/>
    <w:rsid w:val="001748A3"/>
    <w:rsid w:val="0017697B"/>
    <w:rsid w:val="001A7E6D"/>
    <w:rsid w:val="001B5CE5"/>
    <w:rsid w:val="001B630B"/>
    <w:rsid w:val="001B7D54"/>
    <w:rsid w:val="001C17E5"/>
    <w:rsid w:val="001C2520"/>
    <w:rsid w:val="001C6994"/>
    <w:rsid w:val="001D2112"/>
    <w:rsid w:val="001D4127"/>
    <w:rsid w:val="001D64A2"/>
    <w:rsid w:val="001E2081"/>
    <w:rsid w:val="001E4BC6"/>
    <w:rsid w:val="001F6D93"/>
    <w:rsid w:val="002001F7"/>
    <w:rsid w:val="00216204"/>
    <w:rsid w:val="00217629"/>
    <w:rsid w:val="002223D5"/>
    <w:rsid w:val="00227528"/>
    <w:rsid w:val="00234500"/>
    <w:rsid w:val="002354D0"/>
    <w:rsid w:val="00237E8B"/>
    <w:rsid w:val="00242A96"/>
    <w:rsid w:val="00252A87"/>
    <w:rsid w:val="00254F1B"/>
    <w:rsid w:val="00256225"/>
    <w:rsid w:val="00256613"/>
    <w:rsid w:val="00264957"/>
    <w:rsid w:val="00264E8C"/>
    <w:rsid w:val="002769BC"/>
    <w:rsid w:val="002771E9"/>
    <w:rsid w:val="00280B9E"/>
    <w:rsid w:val="002870C9"/>
    <w:rsid w:val="00290049"/>
    <w:rsid w:val="00292482"/>
    <w:rsid w:val="002A7B80"/>
    <w:rsid w:val="002C08E5"/>
    <w:rsid w:val="002C0B39"/>
    <w:rsid w:val="002C0F22"/>
    <w:rsid w:val="002C1296"/>
    <w:rsid w:val="002D3802"/>
    <w:rsid w:val="002D7C57"/>
    <w:rsid w:val="002F2B4E"/>
    <w:rsid w:val="00302B09"/>
    <w:rsid w:val="0031402D"/>
    <w:rsid w:val="00317969"/>
    <w:rsid w:val="00324C88"/>
    <w:rsid w:val="003349F9"/>
    <w:rsid w:val="00340EE8"/>
    <w:rsid w:val="0035067F"/>
    <w:rsid w:val="0035320B"/>
    <w:rsid w:val="00355FC3"/>
    <w:rsid w:val="00364E00"/>
    <w:rsid w:val="00367652"/>
    <w:rsid w:val="00374597"/>
    <w:rsid w:val="00377C4D"/>
    <w:rsid w:val="003832DE"/>
    <w:rsid w:val="003932EA"/>
    <w:rsid w:val="003A59FC"/>
    <w:rsid w:val="003A6BFF"/>
    <w:rsid w:val="003B591E"/>
    <w:rsid w:val="003C1BDF"/>
    <w:rsid w:val="003C2112"/>
    <w:rsid w:val="003D09C6"/>
    <w:rsid w:val="003D0D44"/>
    <w:rsid w:val="003D5097"/>
    <w:rsid w:val="003E038C"/>
    <w:rsid w:val="003E386B"/>
    <w:rsid w:val="003F0456"/>
    <w:rsid w:val="003F3F7E"/>
    <w:rsid w:val="003F629A"/>
    <w:rsid w:val="00400762"/>
    <w:rsid w:val="00404EB6"/>
    <w:rsid w:val="0041112C"/>
    <w:rsid w:val="00413559"/>
    <w:rsid w:val="00414FA6"/>
    <w:rsid w:val="004166A6"/>
    <w:rsid w:val="004174CB"/>
    <w:rsid w:val="00417DC6"/>
    <w:rsid w:val="004204F4"/>
    <w:rsid w:val="004234FC"/>
    <w:rsid w:val="0045037D"/>
    <w:rsid w:val="00467E58"/>
    <w:rsid w:val="00467FF3"/>
    <w:rsid w:val="00470EEA"/>
    <w:rsid w:val="004804E6"/>
    <w:rsid w:val="00487A09"/>
    <w:rsid w:val="00491AEF"/>
    <w:rsid w:val="004940A5"/>
    <w:rsid w:val="004C5201"/>
    <w:rsid w:val="004C5B1C"/>
    <w:rsid w:val="004D7274"/>
    <w:rsid w:val="004E1F53"/>
    <w:rsid w:val="004F4B24"/>
    <w:rsid w:val="004F7F80"/>
    <w:rsid w:val="0050565D"/>
    <w:rsid w:val="00506C8C"/>
    <w:rsid w:val="005113A8"/>
    <w:rsid w:val="00515742"/>
    <w:rsid w:val="0052125F"/>
    <w:rsid w:val="00524DF6"/>
    <w:rsid w:val="005275E6"/>
    <w:rsid w:val="0052779C"/>
    <w:rsid w:val="00531212"/>
    <w:rsid w:val="0053264C"/>
    <w:rsid w:val="00550807"/>
    <w:rsid w:val="00580725"/>
    <w:rsid w:val="00580916"/>
    <w:rsid w:val="005914C6"/>
    <w:rsid w:val="005A2C34"/>
    <w:rsid w:val="005A3B0F"/>
    <w:rsid w:val="005A4CE0"/>
    <w:rsid w:val="005A77FE"/>
    <w:rsid w:val="005B0EFB"/>
    <w:rsid w:val="005B39BB"/>
    <w:rsid w:val="005D2BA6"/>
    <w:rsid w:val="005D453B"/>
    <w:rsid w:val="005D7882"/>
    <w:rsid w:val="005E34CD"/>
    <w:rsid w:val="00610360"/>
    <w:rsid w:val="0062387C"/>
    <w:rsid w:val="00624F55"/>
    <w:rsid w:val="0064183B"/>
    <w:rsid w:val="006479E1"/>
    <w:rsid w:val="006543AA"/>
    <w:rsid w:val="0065471C"/>
    <w:rsid w:val="00654C35"/>
    <w:rsid w:val="00663055"/>
    <w:rsid w:val="006650FD"/>
    <w:rsid w:val="00666527"/>
    <w:rsid w:val="006777B5"/>
    <w:rsid w:val="00682829"/>
    <w:rsid w:val="00684FC3"/>
    <w:rsid w:val="006A280B"/>
    <w:rsid w:val="006A3D6B"/>
    <w:rsid w:val="006B07A1"/>
    <w:rsid w:val="006B0979"/>
    <w:rsid w:val="006B4BC6"/>
    <w:rsid w:val="006C1C5F"/>
    <w:rsid w:val="006E1048"/>
    <w:rsid w:val="006E2FEA"/>
    <w:rsid w:val="006E376D"/>
    <w:rsid w:val="006E7A11"/>
    <w:rsid w:val="006F48BF"/>
    <w:rsid w:val="006F728A"/>
    <w:rsid w:val="007044A9"/>
    <w:rsid w:val="00710A8F"/>
    <w:rsid w:val="00720D29"/>
    <w:rsid w:val="00723605"/>
    <w:rsid w:val="0073471D"/>
    <w:rsid w:val="007545F5"/>
    <w:rsid w:val="00756EE7"/>
    <w:rsid w:val="0076657D"/>
    <w:rsid w:val="007700E3"/>
    <w:rsid w:val="00773D2E"/>
    <w:rsid w:val="0077719F"/>
    <w:rsid w:val="00781748"/>
    <w:rsid w:val="0078613F"/>
    <w:rsid w:val="007960B9"/>
    <w:rsid w:val="007A0336"/>
    <w:rsid w:val="007A5202"/>
    <w:rsid w:val="007A56D8"/>
    <w:rsid w:val="007A6A53"/>
    <w:rsid w:val="007B7546"/>
    <w:rsid w:val="007C5B63"/>
    <w:rsid w:val="007C6EA0"/>
    <w:rsid w:val="007D1231"/>
    <w:rsid w:val="007D1F3B"/>
    <w:rsid w:val="007D3FB1"/>
    <w:rsid w:val="007E4896"/>
    <w:rsid w:val="007F4200"/>
    <w:rsid w:val="007F79C8"/>
    <w:rsid w:val="00813024"/>
    <w:rsid w:val="008204B3"/>
    <w:rsid w:val="00832267"/>
    <w:rsid w:val="008332BB"/>
    <w:rsid w:val="00837E4F"/>
    <w:rsid w:val="00840D8E"/>
    <w:rsid w:val="00843584"/>
    <w:rsid w:val="00843CBE"/>
    <w:rsid w:val="00844848"/>
    <w:rsid w:val="00846F1D"/>
    <w:rsid w:val="008529F9"/>
    <w:rsid w:val="00852DF8"/>
    <w:rsid w:val="00853559"/>
    <w:rsid w:val="00854C53"/>
    <w:rsid w:val="0085510D"/>
    <w:rsid w:val="00863142"/>
    <w:rsid w:val="00880BE2"/>
    <w:rsid w:val="00883259"/>
    <w:rsid w:val="00883282"/>
    <w:rsid w:val="00883F6A"/>
    <w:rsid w:val="00894F2F"/>
    <w:rsid w:val="008A6031"/>
    <w:rsid w:val="008A71B1"/>
    <w:rsid w:val="008B4CA4"/>
    <w:rsid w:val="008B78E8"/>
    <w:rsid w:val="008C0896"/>
    <w:rsid w:val="008C4482"/>
    <w:rsid w:val="008D14AB"/>
    <w:rsid w:val="008E2C08"/>
    <w:rsid w:val="008E3CCE"/>
    <w:rsid w:val="008E429B"/>
    <w:rsid w:val="008F0561"/>
    <w:rsid w:val="008F32FB"/>
    <w:rsid w:val="008F3A40"/>
    <w:rsid w:val="008F7833"/>
    <w:rsid w:val="00907ED5"/>
    <w:rsid w:val="009115DA"/>
    <w:rsid w:val="00913EB8"/>
    <w:rsid w:val="00916186"/>
    <w:rsid w:val="009167C4"/>
    <w:rsid w:val="00921C15"/>
    <w:rsid w:val="00922CE3"/>
    <w:rsid w:val="009231B0"/>
    <w:rsid w:val="009233FA"/>
    <w:rsid w:val="009354A5"/>
    <w:rsid w:val="00942230"/>
    <w:rsid w:val="0095692C"/>
    <w:rsid w:val="00963363"/>
    <w:rsid w:val="00964945"/>
    <w:rsid w:val="00965075"/>
    <w:rsid w:val="00967559"/>
    <w:rsid w:val="0097003B"/>
    <w:rsid w:val="0097389E"/>
    <w:rsid w:val="00976342"/>
    <w:rsid w:val="00983FD7"/>
    <w:rsid w:val="009842B6"/>
    <w:rsid w:val="009A0B48"/>
    <w:rsid w:val="009A1C22"/>
    <w:rsid w:val="009B4258"/>
    <w:rsid w:val="009B61D8"/>
    <w:rsid w:val="009C50E4"/>
    <w:rsid w:val="009D2A94"/>
    <w:rsid w:val="009D31F5"/>
    <w:rsid w:val="009D7397"/>
    <w:rsid w:val="009F0D2A"/>
    <w:rsid w:val="009F1076"/>
    <w:rsid w:val="009F2A29"/>
    <w:rsid w:val="009F5EA8"/>
    <w:rsid w:val="00A00AA2"/>
    <w:rsid w:val="00A04AE4"/>
    <w:rsid w:val="00A10D5F"/>
    <w:rsid w:val="00A16247"/>
    <w:rsid w:val="00A2643B"/>
    <w:rsid w:val="00A27DAF"/>
    <w:rsid w:val="00A3375D"/>
    <w:rsid w:val="00A42384"/>
    <w:rsid w:val="00A4251D"/>
    <w:rsid w:val="00A44FDD"/>
    <w:rsid w:val="00A46CE9"/>
    <w:rsid w:val="00A5154B"/>
    <w:rsid w:val="00A531B5"/>
    <w:rsid w:val="00A643C7"/>
    <w:rsid w:val="00A64A02"/>
    <w:rsid w:val="00A67E10"/>
    <w:rsid w:val="00A70AE1"/>
    <w:rsid w:val="00A70F5C"/>
    <w:rsid w:val="00A747A0"/>
    <w:rsid w:val="00A81B81"/>
    <w:rsid w:val="00A949B9"/>
    <w:rsid w:val="00A964D4"/>
    <w:rsid w:val="00AB2D06"/>
    <w:rsid w:val="00AC0205"/>
    <w:rsid w:val="00AC2BBA"/>
    <w:rsid w:val="00AC5303"/>
    <w:rsid w:val="00AD1A70"/>
    <w:rsid w:val="00AD5E8A"/>
    <w:rsid w:val="00AD7825"/>
    <w:rsid w:val="00AE07DB"/>
    <w:rsid w:val="00AE4AFF"/>
    <w:rsid w:val="00AE79D2"/>
    <w:rsid w:val="00AF48A3"/>
    <w:rsid w:val="00AF6221"/>
    <w:rsid w:val="00AF6AAA"/>
    <w:rsid w:val="00B00212"/>
    <w:rsid w:val="00B05286"/>
    <w:rsid w:val="00B11841"/>
    <w:rsid w:val="00B1671E"/>
    <w:rsid w:val="00B314D6"/>
    <w:rsid w:val="00B3724F"/>
    <w:rsid w:val="00B40E4E"/>
    <w:rsid w:val="00B42D77"/>
    <w:rsid w:val="00B43A73"/>
    <w:rsid w:val="00B441DA"/>
    <w:rsid w:val="00B50D09"/>
    <w:rsid w:val="00B54843"/>
    <w:rsid w:val="00B62158"/>
    <w:rsid w:val="00B734E8"/>
    <w:rsid w:val="00B83C72"/>
    <w:rsid w:val="00B915F8"/>
    <w:rsid w:val="00B93271"/>
    <w:rsid w:val="00BB418E"/>
    <w:rsid w:val="00BB58A6"/>
    <w:rsid w:val="00BB67A2"/>
    <w:rsid w:val="00BD1FD5"/>
    <w:rsid w:val="00BD604E"/>
    <w:rsid w:val="00BD7F73"/>
    <w:rsid w:val="00BE098D"/>
    <w:rsid w:val="00BE0A80"/>
    <w:rsid w:val="00BF467D"/>
    <w:rsid w:val="00BF7A7C"/>
    <w:rsid w:val="00C17CA2"/>
    <w:rsid w:val="00C24703"/>
    <w:rsid w:val="00C320EF"/>
    <w:rsid w:val="00C32837"/>
    <w:rsid w:val="00C4227A"/>
    <w:rsid w:val="00C430F3"/>
    <w:rsid w:val="00C5397E"/>
    <w:rsid w:val="00C54177"/>
    <w:rsid w:val="00C630DB"/>
    <w:rsid w:val="00C660AF"/>
    <w:rsid w:val="00C70A0B"/>
    <w:rsid w:val="00C739E7"/>
    <w:rsid w:val="00C7629F"/>
    <w:rsid w:val="00C84AC8"/>
    <w:rsid w:val="00C956EE"/>
    <w:rsid w:val="00CA7AA5"/>
    <w:rsid w:val="00CC1FCA"/>
    <w:rsid w:val="00CD64B9"/>
    <w:rsid w:val="00CE0D92"/>
    <w:rsid w:val="00CF4D2A"/>
    <w:rsid w:val="00CF5EDE"/>
    <w:rsid w:val="00D01752"/>
    <w:rsid w:val="00D048E6"/>
    <w:rsid w:val="00D24F14"/>
    <w:rsid w:val="00D30EFB"/>
    <w:rsid w:val="00D3489F"/>
    <w:rsid w:val="00D34FBB"/>
    <w:rsid w:val="00D35764"/>
    <w:rsid w:val="00D45061"/>
    <w:rsid w:val="00D46C51"/>
    <w:rsid w:val="00D4745B"/>
    <w:rsid w:val="00D549F4"/>
    <w:rsid w:val="00D5741C"/>
    <w:rsid w:val="00D66513"/>
    <w:rsid w:val="00D71145"/>
    <w:rsid w:val="00D74D56"/>
    <w:rsid w:val="00D8071F"/>
    <w:rsid w:val="00D833D7"/>
    <w:rsid w:val="00D912CF"/>
    <w:rsid w:val="00DA1B71"/>
    <w:rsid w:val="00DB7B90"/>
    <w:rsid w:val="00DD5655"/>
    <w:rsid w:val="00DE187D"/>
    <w:rsid w:val="00DE751B"/>
    <w:rsid w:val="00DF114B"/>
    <w:rsid w:val="00DF25CB"/>
    <w:rsid w:val="00DF46FE"/>
    <w:rsid w:val="00DF4FBC"/>
    <w:rsid w:val="00DF7904"/>
    <w:rsid w:val="00DF791B"/>
    <w:rsid w:val="00E02514"/>
    <w:rsid w:val="00E06153"/>
    <w:rsid w:val="00E128B0"/>
    <w:rsid w:val="00E138B7"/>
    <w:rsid w:val="00E15071"/>
    <w:rsid w:val="00E217B4"/>
    <w:rsid w:val="00E25C3C"/>
    <w:rsid w:val="00E374EE"/>
    <w:rsid w:val="00E37AD2"/>
    <w:rsid w:val="00E41292"/>
    <w:rsid w:val="00E4230F"/>
    <w:rsid w:val="00E47CCD"/>
    <w:rsid w:val="00E50948"/>
    <w:rsid w:val="00E53FDC"/>
    <w:rsid w:val="00E544C2"/>
    <w:rsid w:val="00E562A6"/>
    <w:rsid w:val="00E56FD6"/>
    <w:rsid w:val="00E61797"/>
    <w:rsid w:val="00E64660"/>
    <w:rsid w:val="00E7099B"/>
    <w:rsid w:val="00E70CD6"/>
    <w:rsid w:val="00E71893"/>
    <w:rsid w:val="00E73515"/>
    <w:rsid w:val="00E74785"/>
    <w:rsid w:val="00E74B4F"/>
    <w:rsid w:val="00E76E29"/>
    <w:rsid w:val="00E805D8"/>
    <w:rsid w:val="00E91652"/>
    <w:rsid w:val="00E9330B"/>
    <w:rsid w:val="00E95ED9"/>
    <w:rsid w:val="00EA0E96"/>
    <w:rsid w:val="00EA388D"/>
    <w:rsid w:val="00EA65DD"/>
    <w:rsid w:val="00EC231F"/>
    <w:rsid w:val="00EC2A00"/>
    <w:rsid w:val="00EC45AC"/>
    <w:rsid w:val="00EC5280"/>
    <w:rsid w:val="00EC5C9D"/>
    <w:rsid w:val="00EC71E2"/>
    <w:rsid w:val="00EE0725"/>
    <w:rsid w:val="00EF0290"/>
    <w:rsid w:val="00F04442"/>
    <w:rsid w:val="00F06462"/>
    <w:rsid w:val="00F256D9"/>
    <w:rsid w:val="00F30FB0"/>
    <w:rsid w:val="00F425F4"/>
    <w:rsid w:val="00F56F65"/>
    <w:rsid w:val="00F61338"/>
    <w:rsid w:val="00F63627"/>
    <w:rsid w:val="00F65955"/>
    <w:rsid w:val="00F66B60"/>
    <w:rsid w:val="00F72982"/>
    <w:rsid w:val="00F756CB"/>
    <w:rsid w:val="00F91B22"/>
    <w:rsid w:val="00F9713C"/>
    <w:rsid w:val="00F974A3"/>
    <w:rsid w:val="00FB38F9"/>
    <w:rsid w:val="00FB43EA"/>
    <w:rsid w:val="00FB7E29"/>
    <w:rsid w:val="00FC3F58"/>
    <w:rsid w:val="00FC4A2D"/>
    <w:rsid w:val="00FC669E"/>
    <w:rsid w:val="00FD4FCE"/>
    <w:rsid w:val="00FD6165"/>
    <w:rsid w:val="00FE24B3"/>
    <w:rsid w:val="00FE3F55"/>
    <w:rsid w:val="00FF29EB"/>
    <w:rsid w:val="00FF57E2"/>
    <w:rsid w:val="00FF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69F2B6"/>
  <w15:docId w15:val="{6FD222E7-45B2-4DB1-9C22-B92BBC0C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4D4"/>
    <w:pPr>
      <w:spacing w:after="120" w:line="360" w:lineRule="auto"/>
    </w:pPr>
    <w:rPr>
      <w:rFonts w:ascii="AdihausDIN" w:hAnsi="AdihausDIN"/>
      <w:szCs w:val="24"/>
    </w:rPr>
  </w:style>
  <w:style w:type="paragraph" w:styleId="Heading1">
    <w:name w:val="heading 1"/>
    <w:basedOn w:val="Normal"/>
    <w:next w:val="Normal"/>
    <w:link w:val="Heading1Char"/>
    <w:qFormat/>
    <w:rsid w:val="001C2520"/>
    <w:pPr>
      <w:keepNext/>
      <w:keepLines/>
      <w:spacing w:before="480"/>
      <w:outlineLvl w:val="0"/>
    </w:pPr>
    <w:rPr>
      <w:rFonts w:asciiTheme="majorHAnsi" w:eastAsiaTheme="majorEastAsia" w:hAnsiTheme="majorHAnsi" w:cstheme="majorBidi"/>
      <w:bCs/>
      <w:caps/>
      <w:color w:val="00000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sid w:val="00D8071F"/>
    <w:rPr>
      <w:rFonts w:ascii="Tahoma" w:hAnsi="Tahoma" w:cs="Tahoma"/>
      <w:sz w:val="16"/>
      <w:szCs w:val="16"/>
    </w:rPr>
  </w:style>
  <w:style w:type="table" w:styleId="TableGrid">
    <w:name w:val="Table Grid"/>
    <w:basedOn w:val="TableNormal"/>
    <w:rsid w:val="00227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54843"/>
    <w:rPr>
      <w:rFonts w:ascii="AdihausDIN" w:hAnsi="AdihausDIN"/>
      <w:lang w:val="en-US"/>
    </w:rPr>
  </w:style>
  <w:style w:type="character" w:customStyle="1" w:styleId="Heading1Char">
    <w:name w:val="Heading 1 Char"/>
    <w:basedOn w:val="DefaultParagraphFont"/>
    <w:link w:val="Heading1"/>
    <w:rsid w:val="001C2520"/>
    <w:rPr>
      <w:rFonts w:asciiTheme="majorHAnsi" w:eastAsiaTheme="majorEastAsia" w:hAnsiTheme="majorHAnsi" w:cstheme="majorBidi"/>
      <w:bCs/>
      <w:caps/>
      <w:color w:val="000000" w:themeColor="accent1" w:themeShade="BF"/>
      <w:sz w:val="28"/>
      <w:szCs w:val="28"/>
      <w:lang w:val="en-US"/>
    </w:rPr>
  </w:style>
  <w:style w:type="paragraph" w:styleId="Title">
    <w:name w:val="Title"/>
    <w:basedOn w:val="Normal"/>
    <w:next w:val="Normal"/>
    <w:link w:val="TitleChar"/>
    <w:qFormat/>
    <w:rsid w:val="001C2520"/>
    <w:pPr>
      <w:spacing w:after="300"/>
      <w:contextualSpacing/>
    </w:pPr>
    <w:rPr>
      <w:rFonts w:asciiTheme="majorHAnsi" w:eastAsiaTheme="majorEastAsia" w:hAnsiTheme="majorHAnsi" w:cstheme="majorBidi"/>
      <w:caps/>
      <w:color w:val="F0554A" w:themeColor="accent2"/>
      <w:spacing w:val="5"/>
      <w:kern w:val="28"/>
      <w:sz w:val="52"/>
      <w:szCs w:val="52"/>
    </w:rPr>
  </w:style>
  <w:style w:type="character" w:customStyle="1" w:styleId="TitleChar">
    <w:name w:val="Title Char"/>
    <w:basedOn w:val="DefaultParagraphFont"/>
    <w:link w:val="Title"/>
    <w:rsid w:val="001C2520"/>
    <w:rPr>
      <w:rFonts w:asciiTheme="majorHAnsi" w:eastAsiaTheme="majorEastAsia" w:hAnsiTheme="majorHAnsi" w:cstheme="majorBidi"/>
      <w:caps/>
      <w:color w:val="F0554A" w:themeColor="accent2"/>
      <w:spacing w:val="5"/>
      <w:kern w:val="28"/>
      <w:sz w:val="52"/>
      <w:szCs w:val="52"/>
      <w:lang w:val="en-US"/>
    </w:rPr>
  </w:style>
  <w:style w:type="paragraph" w:styleId="Subtitle">
    <w:name w:val="Subtitle"/>
    <w:basedOn w:val="Normal"/>
    <w:next w:val="Normal"/>
    <w:link w:val="SubtitleChar"/>
    <w:qFormat/>
    <w:rsid w:val="001C2520"/>
    <w:pPr>
      <w:numPr>
        <w:ilvl w:val="1"/>
      </w:numPr>
    </w:pPr>
    <w:rPr>
      <w:rFonts w:asciiTheme="minorHAnsi" w:eastAsiaTheme="majorEastAsia" w:hAnsiTheme="minorHAnsi" w:cstheme="majorBidi"/>
      <w:iCs/>
      <w:caps/>
      <w:color w:val="000000" w:themeColor="accent1"/>
      <w:spacing w:val="15"/>
      <w:sz w:val="40"/>
    </w:rPr>
  </w:style>
  <w:style w:type="character" w:customStyle="1" w:styleId="SubtitleChar">
    <w:name w:val="Subtitle Char"/>
    <w:basedOn w:val="DefaultParagraphFont"/>
    <w:link w:val="Subtitle"/>
    <w:rsid w:val="001C2520"/>
    <w:rPr>
      <w:rFonts w:asciiTheme="minorHAnsi" w:eastAsiaTheme="majorEastAsia" w:hAnsiTheme="minorHAnsi" w:cstheme="majorBidi"/>
      <w:iCs/>
      <w:caps/>
      <w:color w:val="000000" w:themeColor="accent1"/>
      <w:spacing w:val="15"/>
      <w:sz w:val="40"/>
      <w:szCs w:val="24"/>
      <w:lang w:val="en-US"/>
    </w:rPr>
  </w:style>
  <w:style w:type="character" w:styleId="Emphasis">
    <w:name w:val="Emphasis"/>
    <w:basedOn w:val="DefaultParagraphFont"/>
    <w:qFormat/>
    <w:rsid w:val="001C2520"/>
    <w:rPr>
      <w:rFonts w:ascii="AdihausDIN" w:hAnsi="AdihausDIN"/>
      <w:i w:val="0"/>
      <w:iCs/>
      <w:caps/>
      <w:smallCaps w:val="0"/>
      <w:strike w:val="0"/>
      <w:dstrike w:val="0"/>
      <w:vanish w:val="0"/>
      <w:sz w:val="24"/>
      <w:vertAlign w:val="baseline"/>
      <w:lang w:val="en-US"/>
    </w:rPr>
  </w:style>
  <w:style w:type="paragraph" w:styleId="ListParagraph">
    <w:name w:val="List Paragraph"/>
    <w:basedOn w:val="Normal"/>
    <w:uiPriority w:val="34"/>
    <w:qFormat/>
    <w:rsid w:val="001C2520"/>
    <w:pPr>
      <w:numPr>
        <w:numId w:val="2"/>
      </w:numPr>
      <w:contextualSpacing/>
    </w:pPr>
    <w:rPr>
      <w:noProof/>
      <w:szCs w:val="40"/>
    </w:rPr>
  </w:style>
  <w:style w:type="paragraph" w:styleId="IntenseQuote">
    <w:name w:val="Intense Quote"/>
    <w:basedOn w:val="Normal"/>
    <w:next w:val="Normal"/>
    <w:link w:val="IntenseQuoteChar"/>
    <w:uiPriority w:val="30"/>
    <w:qFormat/>
    <w:rsid w:val="001C2520"/>
    <w:pPr>
      <w:pBdr>
        <w:bottom w:val="single" w:sz="4" w:space="4" w:color="000000" w:themeColor="accent1"/>
      </w:pBdr>
      <w:spacing w:before="200" w:after="280"/>
      <w:ind w:left="936" w:right="936"/>
    </w:pPr>
    <w:rPr>
      <w:b/>
      <w:bCs/>
      <w:iCs/>
      <w:color w:val="000000" w:themeColor="accent1"/>
    </w:rPr>
  </w:style>
  <w:style w:type="character" w:customStyle="1" w:styleId="IntenseQuoteChar">
    <w:name w:val="Intense Quote Char"/>
    <w:basedOn w:val="DefaultParagraphFont"/>
    <w:link w:val="IntenseQuote"/>
    <w:uiPriority w:val="30"/>
    <w:rsid w:val="001C2520"/>
    <w:rPr>
      <w:rFonts w:ascii="AdihausDIN" w:hAnsi="AdihausDIN"/>
      <w:b/>
      <w:bCs/>
      <w:iCs/>
      <w:color w:val="000000" w:themeColor="accent1"/>
      <w:sz w:val="24"/>
      <w:szCs w:val="24"/>
      <w:lang w:val="en-US"/>
    </w:rPr>
  </w:style>
  <w:style w:type="character" w:styleId="SubtleEmphasis">
    <w:name w:val="Subtle Emphasis"/>
    <w:basedOn w:val="DefaultParagraphFont"/>
    <w:uiPriority w:val="19"/>
    <w:qFormat/>
    <w:rsid w:val="001C2520"/>
    <w:rPr>
      <w:rFonts w:ascii="AdihausDIN" w:hAnsi="AdihausDIN"/>
      <w:b/>
      <w:i w:val="0"/>
      <w:iCs/>
      <w:caps/>
      <w:smallCaps w:val="0"/>
      <w:strike w:val="0"/>
      <w:dstrike w:val="0"/>
      <w:vanish w:val="0"/>
      <w:color w:val="B3ACAD" w:themeColor="accent6"/>
      <w:vertAlign w:val="baseline"/>
      <w:lang w:val="en-US"/>
    </w:rPr>
  </w:style>
  <w:style w:type="character" w:styleId="IntenseEmphasis">
    <w:name w:val="Intense Emphasis"/>
    <w:basedOn w:val="DefaultParagraphFont"/>
    <w:uiPriority w:val="21"/>
    <w:qFormat/>
    <w:rsid w:val="001C2520"/>
    <w:rPr>
      <w:rFonts w:ascii="AdihausDIN" w:hAnsi="AdihausDIN"/>
      <w:b/>
      <w:bCs/>
      <w:i w:val="0"/>
      <w:iCs/>
      <w:caps/>
      <w:smallCaps w:val="0"/>
      <w:strike w:val="0"/>
      <w:dstrike w:val="0"/>
      <w:vanish w:val="0"/>
      <w:color w:val="F0554A" w:themeColor="accent2"/>
      <w:sz w:val="24"/>
      <w:vertAlign w:val="baseline"/>
      <w:lang w:val="en-US"/>
    </w:rPr>
  </w:style>
  <w:style w:type="character" w:styleId="SubtleReference">
    <w:name w:val="Subtle Reference"/>
    <w:basedOn w:val="DefaultParagraphFont"/>
    <w:uiPriority w:val="31"/>
    <w:qFormat/>
    <w:rsid w:val="001C2520"/>
    <w:rPr>
      <w:rFonts w:asciiTheme="minorHAnsi" w:hAnsiTheme="minorHAnsi"/>
      <w:b/>
      <w:caps/>
      <w:smallCaps w:val="0"/>
      <w:strike w:val="0"/>
      <w:dstrike w:val="0"/>
      <w:vanish w:val="0"/>
      <w:color w:val="B3ACAD" w:themeColor="accent6"/>
      <w:sz w:val="24"/>
      <w:u w:val="none"/>
      <w:vertAlign w:val="baseline"/>
      <w:lang w:val="en-US"/>
    </w:rPr>
  </w:style>
  <w:style w:type="character" w:styleId="IntenseReference">
    <w:name w:val="Intense Reference"/>
    <w:basedOn w:val="DefaultParagraphFont"/>
    <w:uiPriority w:val="32"/>
    <w:qFormat/>
    <w:rsid w:val="001C2520"/>
    <w:rPr>
      <w:rFonts w:ascii="AdihausDIN" w:hAnsi="AdihausDIN"/>
      <w:b/>
      <w:bCs/>
      <w:caps/>
      <w:smallCaps w:val="0"/>
      <w:strike w:val="0"/>
      <w:dstrike w:val="0"/>
      <w:vanish w:val="0"/>
      <w:color w:val="F0554A" w:themeColor="accent2"/>
      <w:spacing w:val="5"/>
      <w:sz w:val="24"/>
      <w:u w:val="none"/>
      <w:vertAlign w:val="baseline"/>
      <w:lang w:val="en-US"/>
    </w:rPr>
  </w:style>
  <w:style w:type="character" w:styleId="BookTitle">
    <w:name w:val="Book Title"/>
    <w:basedOn w:val="DefaultParagraphFont"/>
    <w:uiPriority w:val="33"/>
    <w:qFormat/>
    <w:rsid w:val="001C2520"/>
    <w:rPr>
      <w:rFonts w:asciiTheme="majorHAnsi" w:hAnsiTheme="majorHAnsi"/>
      <w:b w:val="0"/>
      <w:bCs/>
      <w:caps/>
      <w:smallCaps w:val="0"/>
      <w:strike w:val="0"/>
      <w:dstrike w:val="0"/>
      <w:vanish w:val="0"/>
      <w:spacing w:val="5"/>
      <w:sz w:val="24"/>
      <w:vertAlign w:val="baseline"/>
      <w:lang w:val="en-US"/>
    </w:rPr>
  </w:style>
  <w:style w:type="character" w:styleId="Strong">
    <w:name w:val="Strong"/>
    <w:basedOn w:val="DefaultParagraphFont"/>
    <w:qFormat/>
    <w:rsid w:val="001C2520"/>
    <w:rPr>
      <w:b/>
      <w:bCs/>
      <w:lang w:val="en-US"/>
    </w:rPr>
  </w:style>
  <w:style w:type="paragraph" w:customStyle="1" w:styleId="Default">
    <w:name w:val="Default"/>
    <w:rsid w:val="00E73515"/>
    <w:pPr>
      <w:autoSpaceDE w:val="0"/>
      <w:autoSpaceDN w:val="0"/>
      <w:adjustRightInd w:val="0"/>
    </w:pPr>
    <w:rPr>
      <w:rFonts w:ascii="AdihausDIN" w:hAnsi="AdihausDIN" w:cs="AdihausDIN"/>
      <w:color w:val="000000"/>
      <w:sz w:val="24"/>
      <w:szCs w:val="24"/>
    </w:rPr>
  </w:style>
  <w:style w:type="paragraph" w:customStyle="1" w:styleId="Pa1">
    <w:name w:val="Pa1"/>
    <w:basedOn w:val="Default"/>
    <w:next w:val="Default"/>
    <w:uiPriority w:val="99"/>
    <w:rsid w:val="00E73515"/>
    <w:pPr>
      <w:spacing w:line="241" w:lineRule="atLeast"/>
    </w:pPr>
    <w:rPr>
      <w:rFonts w:cs="Times New Roman"/>
      <w:color w:val="auto"/>
    </w:rPr>
  </w:style>
  <w:style w:type="character" w:customStyle="1" w:styleId="A0">
    <w:name w:val="A0"/>
    <w:uiPriority w:val="99"/>
    <w:rsid w:val="00E73515"/>
    <w:rPr>
      <w:rFonts w:cs="AdihausDIN"/>
      <w:color w:val="211D1E"/>
      <w:sz w:val="13"/>
      <w:szCs w:val="13"/>
      <w:lang w:val="en-US"/>
    </w:rPr>
  </w:style>
  <w:style w:type="paragraph" w:customStyle="1" w:styleId="PersonAdress">
    <w:name w:val="Person + Adress"/>
    <w:basedOn w:val="Heading1"/>
    <w:link w:val="PersonAdressZchn"/>
    <w:qFormat/>
    <w:rsid w:val="00AD1A70"/>
    <w:pPr>
      <w:spacing w:before="0" w:after="0" w:line="221" w:lineRule="auto"/>
    </w:pPr>
    <w:rPr>
      <w:rFonts w:cstheme="majorHAnsi"/>
      <w:b/>
      <w:caps w:val="0"/>
      <w:color w:val="000000" w:themeColor="text1"/>
      <w:sz w:val="20"/>
      <w:szCs w:val="20"/>
    </w:rPr>
  </w:style>
  <w:style w:type="character" w:customStyle="1" w:styleId="PersonAdressZchn">
    <w:name w:val="Person + Adress Zchn"/>
    <w:basedOn w:val="DefaultParagraphFont"/>
    <w:link w:val="PersonAdress"/>
    <w:rsid w:val="00AD1A70"/>
    <w:rPr>
      <w:rFonts w:asciiTheme="majorHAnsi" w:eastAsiaTheme="majorEastAsia" w:hAnsiTheme="majorHAnsi" w:cstheme="majorHAnsi"/>
      <w:b/>
      <w:bCs/>
      <w:color w:val="000000" w:themeColor="text1"/>
      <w:lang w:val="en-US"/>
    </w:rPr>
  </w:style>
  <w:style w:type="paragraph" w:customStyle="1" w:styleId="KeinAbsatzformat">
    <w:name w:val="[Kein Absatzformat]"/>
    <w:rsid w:val="009115DA"/>
    <w:pPr>
      <w:autoSpaceDE w:val="0"/>
      <w:autoSpaceDN w:val="0"/>
      <w:adjustRightInd w:val="0"/>
      <w:spacing w:line="288" w:lineRule="auto"/>
      <w:textAlignment w:val="center"/>
    </w:pPr>
    <w:rPr>
      <w:rFonts w:ascii="Times" w:hAnsi="Times" w:cs="Times"/>
      <w:color w:val="000000"/>
      <w:sz w:val="24"/>
      <w:szCs w:val="24"/>
    </w:rPr>
  </w:style>
  <w:style w:type="character" w:styleId="PlaceholderText">
    <w:name w:val="Placeholder Text"/>
    <w:basedOn w:val="DefaultParagraphFont"/>
    <w:uiPriority w:val="99"/>
    <w:semiHidden/>
    <w:rsid w:val="00D66513"/>
    <w:rPr>
      <w:color w:val="808080"/>
      <w:lang w:val="en-US"/>
    </w:rPr>
  </w:style>
  <w:style w:type="paragraph" w:styleId="EndnoteText">
    <w:name w:val="endnote text"/>
    <w:basedOn w:val="Normal"/>
    <w:link w:val="EndnoteTextChar"/>
    <w:semiHidden/>
    <w:unhideWhenUsed/>
    <w:rsid w:val="00A949B9"/>
    <w:pPr>
      <w:spacing w:after="0" w:line="240" w:lineRule="auto"/>
    </w:pPr>
    <w:rPr>
      <w:szCs w:val="20"/>
    </w:rPr>
  </w:style>
  <w:style w:type="character" w:customStyle="1" w:styleId="EndnoteTextChar">
    <w:name w:val="Endnote Text Char"/>
    <w:basedOn w:val="DefaultParagraphFont"/>
    <w:link w:val="EndnoteText"/>
    <w:semiHidden/>
    <w:rsid w:val="00A949B9"/>
    <w:rPr>
      <w:rFonts w:ascii="AdihausDIN" w:hAnsi="AdihausDIN"/>
      <w:lang w:val="en-US"/>
    </w:rPr>
  </w:style>
  <w:style w:type="character" w:styleId="EndnoteReference">
    <w:name w:val="endnote reference"/>
    <w:basedOn w:val="DefaultParagraphFont"/>
    <w:semiHidden/>
    <w:unhideWhenUsed/>
    <w:rsid w:val="00A949B9"/>
    <w:rPr>
      <w:vertAlign w:val="superscript"/>
      <w:lang w:val="en-US"/>
    </w:rPr>
  </w:style>
  <w:style w:type="character" w:styleId="Hyperlink">
    <w:name w:val="Hyperlink"/>
    <w:basedOn w:val="DefaultParagraphFont"/>
    <w:rsid w:val="00DB7B90"/>
    <w:rPr>
      <w:color w:val="0000FF"/>
      <w:u w:val="single"/>
    </w:rPr>
  </w:style>
  <w:style w:type="paragraph" w:styleId="FootnoteText">
    <w:name w:val="footnote text"/>
    <w:basedOn w:val="Normal"/>
    <w:link w:val="FootnoteTextChar"/>
    <w:uiPriority w:val="99"/>
    <w:semiHidden/>
    <w:unhideWhenUsed/>
    <w:rsid w:val="00DB7B90"/>
    <w:pPr>
      <w:spacing w:after="0" w:line="240" w:lineRule="auto"/>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DB7B90"/>
    <w:rPr>
      <w:rFonts w:asciiTheme="minorHAnsi" w:eastAsiaTheme="minorHAnsi" w:hAnsiTheme="minorHAnsi" w:cstheme="minorBidi"/>
    </w:rPr>
  </w:style>
  <w:style w:type="paragraph" w:customStyle="1" w:styleId="gmail-m-7152090527882188530msolistparagraph">
    <w:name w:val="gmail-m_-7152090527882188530msolistparagraph"/>
    <w:basedOn w:val="Normal"/>
    <w:rsid w:val="00DB7B90"/>
    <w:pPr>
      <w:spacing w:before="100" w:beforeAutospacing="1" w:after="100" w:afterAutospacing="1" w:line="240" w:lineRule="auto"/>
    </w:pPr>
    <w:rPr>
      <w:rFonts w:ascii="Calibri" w:eastAsiaTheme="minorHAnsi" w:hAnsi="Calibri" w:cs="Calibri"/>
      <w:sz w:val="22"/>
      <w:szCs w:val="22"/>
    </w:rPr>
  </w:style>
  <w:style w:type="character" w:styleId="FootnoteReference">
    <w:name w:val="footnote reference"/>
    <w:basedOn w:val="DefaultParagraphFont"/>
    <w:uiPriority w:val="99"/>
    <w:semiHidden/>
    <w:unhideWhenUsed/>
    <w:rsid w:val="00DB7B90"/>
    <w:rPr>
      <w:vertAlign w:val="superscript"/>
    </w:rPr>
  </w:style>
  <w:style w:type="character" w:styleId="UnresolvedMention">
    <w:name w:val="Unresolved Mention"/>
    <w:basedOn w:val="DefaultParagraphFont"/>
    <w:uiPriority w:val="99"/>
    <w:semiHidden/>
    <w:unhideWhenUsed/>
    <w:rsid w:val="00DB7B90"/>
    <w:rPr>
      <w:color w:val="605E5C"/>
      <w:shd w:val="clear" w:color="auto" w:fill="E1DFDD"/>
    </w:rPr>
  </w:style>
  <w:style w:type="character" w:customStyle="1" w:styleId="spelle">
    <w:name w:val="spelle"/>
    <w:basedOn w:val="DefaultParagraphFont"/>
    <w:rsid w:val="0064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43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adidas-group.com/en/sustainability/reporting/policies-and-standards/" TargetMode="External" Id="rId13" /><Relationship Type="http://schemas.openxmlformats.org/officeDocument/2006/relationships/footer" Target="footer1.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hyperlink" Target="https://www.adidas-group.com/en/sustainability/managing-sustainability/human-rights/" TargetMode="External" Id="rId16" /><Relationship Type="http://schemas.openxmlformats.org/officeDocument/2006/relationships/footer" Target="footer2.xml" Id="rId20" /><Relationship Type="http://schemas.openxmlformats.org/officeDocument/2006/relationships/footnotes" Target="footnotes.xml" Id="rId11" /><Relationship Type="http://schemas.openxmlformats.org/officeDocument/2006/relationships/hyperlink" Target="https://www.business-humanrights.org/en/latest-news/adidas-invitation-for-stakeholder-engagement-on-modern-slavery-risks-in-hot-spot-countries/"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settings" Target="settings.xml" Id="rId9" /><Relationship Type="http://schemas.openxmlformats.org/officeDocument/2006/relationships/hyperlink" Target="https://www.adidas-group.com/media/filer_public/2013/11/25/enforcement_guideline_nov_2013_en.pdf" TargetMode="External" Id="rId14" /><Relationship Type="http://schemas.openxmlformats.org/officeDocument/2006/relationships/glossaryDocument" Target="glossary/document.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9AC1008F8A08459E289535847AF45A"/>
        <w:category>
          <w:name w:val="General"/>
          <w:gallery w:val="placeholder"/>
        </w:category>
        <w:types>
          <w:type w:val="bbPlcHdr"/>
        </w:types>
        <w:behaviors>
          <w:behavior w:val="content"/>
        </w:behaviors>
        <w:guid w:val="{E7033993-A7E6-9140-B469-CF30F9FB0483}"/>
      </w:docPartPr>
      <w:docPartBody>
        <w:p w:rsidR="00000000" w:rsidRDefault="001970B3" w:rsidP="001970B3">
          <w:pPr>
            <w:pStyle w:val="EE9AC1008F8A08459E289535847AF45A"/>
          </w:pPr>
          <w:r w:rsidRPr="00205420">
            <w:rPr>
              <w:rStyle w:val="PlaceholderText"/>
            </w:rPr>
            <w:t>Click or tap here to enter text.</w:t>
          </w:r>
        </w:p>
      </w:docPartBody>
    </w:docPart>
    <w:docPart>
      <w:docPartPr>
        <w:name w:val="32355E1BCB11094ABFEE45B0FA653AD0"/>
        <w:category>
          <w:name w:val="General"/>
          <w:gallery w:val="placeholder"/>
        </w:category>
        <w:types>
          <w:type w:val="bbPlcHdr"/>
        </w:types>
        <w:behaviors>
          <w:behavior w:val="content"/>
        </w:behaviors>
        <w:guid w:val="{3CA604E4-C6D2-FB42-8C4A-6302A36BE4F3}"/>
      </w:docPartPr>
      <w:docPartBody>
        <w:p w:rsidR="00000000" w:rsidRDefault="001970B3" w:rsidP="001970B3">
          <w:pPr>
            <w:pStyle w:val="32355E1BCB11094ABFEE45B0FA653AD0"/>
          </w:pPr>
          <w:r w:rsidRPr="002666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ihausDIN">
    <w:altName w:val="AdihausDIN"/>
    <w:panose1 w:val="020B0504020101020102"/>
    <w:charset w:val="00"/>
    <w:family w:val="swiss"/>
    <w:pitch w:val="variable"/>
    <w:sig w:usb0="A00002BF" w:usb1="4000207B" w:usb2="00000008" w:usb3="00000000" w:csb0="0000009F" w:csb1="00000000"/>
  </w:font>
  <w:font w:name="adineue PRO TT Black">
    <w:altName w:val="adineue PRO TT Black"/>
    <w:panose1 w:val="020B0A03020201060004"/>
    <w:charset w:val="4D"/>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dineue PRO TT Light">
    <w:altName w:val="adineue PRO TT Light"/>
    <w:panose1 w:val="020B0303020201060004"/>
    <w:charset w:val="4D"/>
    <w:family w:val="swiss"/>
    <w:pitch w:val="variable"/>
    <w:sig w:usb0="00000007" w:usb1="00000000" w:usb2="00000000" w:usb3="00000000" w:csb0="00000093"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90"/>
    <w:rsid w:val="00044883"/>
    <w:rsid w:val="000677AB"/>
    <w:rsid w:val="0007732C"/>
    <w:rsid w:val="000911F5"/>
    <w:rsid w:val="000A520E"/>
    <w:rsid w:val="000C7F53"/>
    <w:rsid w:val="00151B86"/>
    <w:rsid w:val="001553FD"/>
    <w:rsid w:val="001970B3"/>
    <w:rsid w:val="00220B4D"/>
    <w:rsid w:val="00276B25"/>
    <w:rsid w:val="002A3E86"/>
    <w:rsid w:val="00366C81"/>
    <w:rsid w:val="003F38FB"/>
    <w:rsid w:val="005A5E77"/>
    <w:rsid w:val="005C7543"/>
    <w:rsid w:val="00630BBC"/>
    <w:rsid w:val="006E6557"/>
    <w:rsid w:val="00730103"/>
    <w:rsid w:val="007660DE"/>
    <w:rsid w:val="00787A76"/>
    <w:rsid w:val="007C63F3"/>
    <w:rsid w:val="008E5890"/>
    <w:rsid w:val="00954D50"/>
    <w:rsid w:val="00A22125"/>
    <w:rsid w:val="00B40BAE"/>
    <w:rsid w:val="00B55FC4"/>
    <w:rsid w:val="00BB08C2"/>
    <w:rsid w:val="00CA63E5"/>
    <w:rsid w:val="00E21083"/>
    <w:rsid w:val="00E447A5"/>
    <w:rsid w:val="00E975B3"/>
    <w:rsid w:val="00F97F3F"/>
    <w:rsid w:val="00FA438E"/>
    <w:rsid w:val="00FD6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9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0B3"/>
    <w:rPr>
      <w:color w:val="808080"/>
    </w:rPr>
  </w:style>
  <w:style w:type="paragraph" w:customStyle="1" w:styleId="EE9AC1008F8A08459E289535847AF45A">
    <w:name w:val="EE9AC1008F8A08459E289535847AF45A"/>
    <w:rsid w:val="001970B3"/>
    <w:pPr>
      <w:spacing w:after="0" w:line="240" w:lineRule="auto"/>
    </w:pPr>
    <w:rPr>
      <w:sz w:val="24"/>
      <w:szCs w:val="24"/>
      <w:lang w:val="en-NL"/>
    </w:rPr>
  </w:style>
  <w:style w:type="paragraph" w:customStyle="1" w:styleId="32355E1BCB11094ABFEE45B0FA653AD0">
    <w:name w:val="32355E1BCB11094ABFEE45B0FA653AD0"/>
    <w:rsid w:val="001970B3"/>
    <w:pPr>
      <w:spacing w:after="0" w:line="240" w:lineRule="auto"/>
    </w:pPr>
    <w:rPr>
      <w:sz w:val="24"/>
      <w:szCs w:val="24"/>
      <w:lang w:val="en-NL"/>
    </w:rPr>
  </w:style>
  <w:style w:type="paragraph" w:customStyle="1" w:styleId="E035A39E65DED44FA0A63613B09F4489">
    <w:name w:val="E035A39E65DED44FA0A63613B09F4489"/>
    <w:rsid w:val="001970B3"/>
    <w:pPr>
      <w:spacing w:after="0" w:line="240" w:lineRule="auto"/>
    </w:pPr>
    <w:rPr>
      <w:sz w:val="24"/>
      <w:szCs w:val="24"/>
      <w:lang w:val="en-NL"/>
    </w:rPr>
  </w:style>
  <w:style w:type="paragraph" w:customStyle="1" w:styleId="4A261C9F866F46D1959BB5D1EC83F987">
    <w:name w:val="4A261C9F866F46D1959BB5D1EC83F987"/>
    <w:rsid w:val="001553FD"/>
  </w:style>
  <w:style w:type="paragraph" w:customStyle="1" w:styleId="4CD1C01C2C7A4609AC4117EEECC34DAF">
    <w:name w:val="4CD1C01C2C7A4609AC4117EEECC34DAF"/>
    <w:rsid w:val="001553FD"/>
  </w:style>
  <w:style w:type="paragraph" w:customStyle="1" w:styleId="B2DCA20B98BE410899695678F99497A5">
    <w:name w:val="B2DCA20B98BE410899695678F99497A5"/>
    <w:rsid w:val="001553FD"/>
  </w:style>
  <w:style w:type="paragraph" w:customStyle="1" w:styleId="1EAFB5C8C9A547CDB94AF52A2D132B2F">
    <w:name w:val="1EAFB5C8C9A547CDB94AF52A2D132B2F"/>
    <w:rsid w:val="001553FD"/>
  </w:style>
  <w:style w:type="paragraph" w:customStyle="1" w:styleId="93C4C9EE893D477B9C6476157F1A07C8">
    <w:name w:val="93C4C9EE893D477B9C6476157F1A07C8"/>
    <w:rsid w:val="001553FD"/>
  </w:style>
  <w:style w:type="paragraph" w:customStyle="1" w:styleId="8B99A29515924D86B2E9DB70F2A17AF6">
    <w:name w:val="8B99A29515924D86B2E9DB70F2A17AF6"/>
    <w:rsid w:val="001553FD"/>
  </w:style>
  <w:style w:type="paragraph" w:customStyle="1" w:styleId="EB4CF172FA844D2C888B31E062DD0869">
    <w:name w:val="EB4CF172FA844D2C888B31E062DD0869"/>
    <w:rsid w:val="001553FD"/>
  </w:style>
  <w:style w:type="paragraph" w:customStyle="1" w:styleId="C1F179455E884060A30DA5218A6C0B96">
    <w:name w:val="C1F179455E884060A30DA5218A6C0B96"/>
    <w:rsid w:val="001553FD"/>
  </w:style>
  <w:style w:type="paragraph" w:customStyle="1" w:styleId="18EEF952C9604E1B859BA46FFCC53F2F">
    <w:name w:val="18EEF952C9604E1B859BA46FFCC53F2F"/>
    <w:rsid w:val="001553FD"/>
  </w:style>
  <w:style w:type="paragraph" w:customStyle="1" w:styleId="B5C88D1FD56F4233BFC053DCA3B08B93">
    <w:name w:val="B5C88D1FD56F4233BFC053DCA3B08B93"/>
    <w:rsid w:val="00155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_ADIDAS BRAND">
      <a:dk1>
        <a:sysClr val="windowText" lastClr="000000"/>
      </a:dk1>
      <a:lt1>
        <a:sysClr val="window" lastClr="FFFFFF"/>
      </a:lt1>
      <a:dk2>
        <a:srgbClr val="FFFFFF"/>
      </a:dk2>
      <a:lt2>
        <a:srgbClr val="FFFFFF"/>
      </a:lt2>
      <a:accent1>
        <a:srgbClr val="000000"/>
      </a:accent1>
      <a:accent2>
        <a:srgbClr val="F0554A"/>
      </a:accent2>
      <a:accent3>
        <a:srgbClr val="1B6DB6"/>
      </a:accent3>
      <a:accent4>
        <a:srgbClr val="BED631"/>
      </a:accent4>
      <a:accent5>
        <a:srgbClr val="F39323"/>
      </a:accent5>
      <a:accent6>
        <a:srgbClr val="B3ACAD"/>
      </a:accent6>
      <a:hlink>
        <a:srgbClr val="000000"/>
      </a:hlink>
      <a:folHlink>
        <a:srgbClr val="000000"/>
      </a:folHlink>
    </a:clrScheme>
    <a:fontScheme name="_ADIDAS BRAND">
      <a:majorFont>
        <a:latin typeface="adineue PRO TT Black"/>
        <a:ea typeface=""/>
        <a:cs typeface=""/>
      </a:majorFont>
      <a:minorFont>
        <a:latin typeface="adineue PRO TT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1109</ap:Words>
  <ap:Characters>6323</ap:Characters>
  <ap:DocSecurity>0</ap:DocSecurity>
  <ap:Lines>52</ap:Lines>
  <ap:Paragraphs>14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Mrs</vt:lpstr>
    </vt:vector>
  </ap:TitlesOfParts>
  <ap:LinksUpToDate>false</ap:LinksUpToDate>
  <ap:CharactersWithSpaces>7418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2015-11-26T11:07:00.0000000Z</lastPrinted>
  <dcterms:created xsi:type="dcterms:W3CDTF">2020-11-16T13:22:00.0000000Z</dcterms:created>
  <dcterms:modified xsi:type="dcterms:W3CDTF">2020-11-16T13:22:00.0000000Z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2019-04-25T08:41:40.2237471</vt:lpwstr>
  </property>
  <property fmtid="{D5CDD505-2E9C-101B-9397-08002B2CF9AE}" pid="3" name="ContentTypeId">
    <vt:lpwstr>0x0101007AA4771EA6A2BA43A8D60CFCEA644517</vt:lpwstr>
  </property>
  <property fmtid="{D5CDD505-2E9C-101B-9397-08002B2CF9AE}" pid="4" name="TemplafyTenantId">
    <vt:lpwstr>adidas</vt:lpwstr>
  </property>
  <property fmtid="{D5CDD505-2E9C-101B-9397-08002B2CF9AE}" pid="5" name="TemplafyTemplateId">
    <vt:lpwstr>636743264820562117</vt:lpwstr>
  </property>
  <property fmtid="{D5CDD505-2E9C-101B-9397-08002B2CF9AE}" pid="6" name="TemplafyUserProfileId">
    <vt:lpwstr>636960251903410487</vt:lpwstr>
  </property>
  <property fmtid="{D5CDD505-2E9C-101B-9397-08002B2CF9AE}" pid="7" name="TemplafyLanguageCode">
    <vt:lpwstr>en-US</vt:lpwstr>
  </property>
</Properties>
</file>