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page" w:horzAnchor="margin" w:tblpXSpec="center" w:tblpY="442"/>
        <w:tblOverlap w:val="never"/>
        <w:tblW w:w="91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9"/>
        <w:gridCol w:w="6459"/>
        <w:gridCol w:w="1563"/>
      </w:tblGrid>
      <w:tr w:rsidRPr="00A126E1" w:rsidR="009C6854" w:rsidTr="009C6854">
        <w:trPr>
          <w:trHeight w:val="957"/>
        </w:trPr>
        <w:tc>
          <w:tcPr>
            <w:tcW w:w="7538" w:type="dxa"/>
            <w:gridSpan w:val="2"/>
          </w:tcPr>
          <w:p w:rsidR="009C6854" w:rsidP="008879D5" w:rsidRDefault="009C6854">
            <w:pPr>
              <w:pStyle w:val="Koptekst"/>
              <w:rPr>
                <w:szCs w:val="20"/>
              </w:rPr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59264" behindDoc="1" locked="0" layoutInCell="1" allowOverlap="0" wp14:editId="37B9F311" wp14:anchorId="6CF2BFEE">
                  <wp:simplePos x="0" y="0"/>
                  <wp:positionH relativeFrom="page">
                    <wp:posOffset>75330</wp:posOffset>
                  </wp:positionH>
                  <wp:positionV relativeFrom="page">
                    <wp:posOffset>-1096</wp:posOffset>
                  </wp:positionV>
                  <wp:extent cx="1285875" cy="967740"/>
                  <wp:effectExtent l="0" t="0" r="0" b="3810"/>
                  <wp:wrapNone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967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C6854" w:rsidP="008879D5" w:rsidRDefault="009C6854">
            <w:pPr>
              <w:tabs>
                <w:tab w:val="left" w:pos="2835"/>
              </w:tabs>
            </w:pPr>
            <w:r>
              <w:tab/>
            </w:r>
          </w:p>
          <w:p w:rsidRPr="00EF1D57" w:rsidR="009C6854" w:rsidP="008879D5" w:rsidRDefault="009C6854">
            <w:pPr>
              <w:tabs>
                <w:tab w:val="left" w:pos="460"/>
              </w:tabs>
            </w:pPr>
            <w:r>
              <w:tab/>
            </w:r>
          </w:p>
          <w:p w:rsidRPr="00EF1D57" w:rsidR="009C6854" w:rsidP="008879D5" w:rsidRDefault="009C6854"/>
          <w:p w:rsidRPr="00EF1D57" w:rsidR="009C6854" w:rsidP="008879D5" w:rsidRDefault="009C6854">
            <w:pPr>
              <w:tabs>
                <w:tab w:val="left" w:pos="1395"/>
              </w:tabs>
            </w:pPr>
          </w:p>
        </w:tc>
        <w:tc>
          <w:tcPr>
            <w:tcW w:w="1563" w:type="dxa"/>
          </w:tcPr>
          <w:p w:rsidR="009C6854" w:rsidP="008879D5" w:rsidRDefault="009C6854">
            <w:pPr>
              <w:pStyle w:val="Koptekst"/>
              <w:spacing w:line="240" w:lineRule="atLeas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Bezoekadres</w:t>
            </w:r>
          </w:p>
          <w:p w:rsidRPr="00A40291" w:rsidR="009C6854" w:rsidP="008879D5" w:rsidRDefault="009C6854">
            <w:pPr>
              <w:pStyle w:val="Koptekst"/>
              <w:spacing w:line="240" w:lineRule="atLeast"/>
              <w:rPr>
                <w:sz w:val="17"/>
                <w:szCs w:val="17"/>
              </w:rPr>
            </w:pPr>
            <w:r>
              <w:rPr>
                <w:rFonts w:eastAsia="Times New Roman" w:cs="Arial"/>
                <w:color w:val="000000"/>
                <w:sz w:val="17"/>
                <w:szCs w:val="17"/>
                <w:lang w:eastAsia="nl-NL"/>
              </w:rPr>
              <w:t>Amstel 1</w:t>
            </w:r>
          </w:p>
          <w:p w:rsidR="009C6854" w:rsidP="008879D5" w:rsidRDefault="009C6854">
            <w:pPr>
              <w:spacing w:after="0" w:line="240" w:lineRule="exact"/>
              <w:rPr>
                <w:rFonts w:eastAsia="Times New Roman" w:cs="Arial"/>
                <w:color w:val="000000"/>
                <w:sz w:val="17"/>
                <w:szCs w:val="17"/>
                <w:lang w:eastAsia="nl-NL"/>
              </w:rPr>
            </w:pPr>
            <w:r>
              <w:rPr>
                <w:rFonts w:eastAsia="Times New Roman" w:cs="Arial"/>
                <w:color w:val="000000"/>
                <w:sz w:val="17"/>
                <w:szCs w:val="17"/>
                <w:lang w:eastAsia="nl-NL"/>
              </w:rPr>
              <w:t>1011 PN Amsterdam</w:t>
            </w:r>
          </w:p>
          <w:p w:rsidR="009C6854" w:rsidP="008879D5" w:rsidRDefault="009C6854">
            <w:pPr>
              <w:spacing w:after="0" w:line="240" w:lineRule="exact"/>
              <w:rPr>
                <w:rFonts w:eastAsia="Times New Roman" w:cs="Arial"/>
                <w:color w:val="000000"/>
                <w:sz w:val="17"/>
                <w:szCs w:val="17"/>
                <w:lang w:eastAsia="nl-NL"/>
              </w:rPr>
            </w:pPr>
          </w:p>
          <w:p w:rsidR="009C6854" w:rsidP="008879D5" w:rsidRDefault="009C6854">
            <w:pPr>
              <w:spacing w:after="0" w:line="240" w:lineRule="exact"/>
              <w:rPr>
                <w:rFonts w:eastAsia="Times New Roman" w:cs="Arial"/>
                <w:color w:val="000000"/>
                <w:sz w:val="17"/>
                <w:szCs w:val="17"/>
                <w:lang w:eastAsia="nl-NL"/>
              </w:rPr>
            </w:pPr>
            <w:r>
              <w:rPr>
                <w:rFonts w:eastAsia="Times New Roman" w:cs="Arial"/>
                <w:color w:val="000000"/>
                <w:sz w:val="17"/>
                <w:szCs w:val="17"/>
                <w:lang w:eastAsia="nl-NL"/>
              </w:rPr>
              <w:t>Postbus 202</w:t>
            </w:r>
          </w:p>
          <w:p w:rsidR="009C6854" w:rsidP="008879D5" w:rsidRDefault="009C6854">
            <w:pPr>
              <w:spacing w:after="0" w:line="240" w:lineRule="exact"/>
              <w:rPr>
                <w:rFonts w:eastAsia="Times New Roman" w:cs="Arial"/>
                <w:color w:val="000000"/>
                <w:sz w:val="17"/>
                <w:szCs w:val="17"/>
                <w:lang w:eastAsia="nl-NL"/>
              </w:rPr>
            </w:pPr>
            <w:r>
              <w:rPr>
                <w:rFonts w:eastAsia="Times New Roman" w:cs="Arial"/>
                <w:color w:val="000000"/>
                <w:sz w:val="17"/>
                <w:szCs w:val="17"/>
                <w:lang w:eastAsia="nl-NL"/>
              </w:rPr>
              <w:t>1000 AE Amsterdam</w:t>
            </w:r>
          </w:p>
          <w:p w:rsidR="009C6854" w:rsidP="008879D5" w:rsidRDefault="009C6854">
            <w:pPr>
              <w:spacing w:after="0" w:line="240" w:lineRule="exact"/>
              <w:rPr>
                <w:rFonts w:eastAsia="Times New Roman" w:cs="Arial"/>
                <w:color w:val="000000"/>
                <w:sz w:val="17"/>
                <w:szCs w:val="17"/>
                <w:lang w:eastAsia="nl-NL"/>
              </w:rPr>
            </w:pPr>
            <w:r>
              <w:rPr>
                <w:rFonts w:eastAsia="Times New Roman" w:cs="Arial"/>
                <w:color w:val="000000"/>
                <w:sz w:val="17"/>
                <w:szCs w:val="17"/>
                <w:lang w:eastAsia="nl-NL"/>
              </w:rPr>
              <w:t>Telefoon 14 020</w:t>
            </w:r>
          </w:p>
          <w:p w:rsidRPr="00A126E1" w:rsidR="009C6854" w:rsidP="008879D5" w:rsidRDefault="009C6854">
            <w:pPr>
              <w:spacing w:after="0" w:line="240" w:lineRule="exact"/>
              <w:rPr>
                <w:rFonts w:eastAsia="Times New Roman" w:cs="Arial"/>
                <w:color w:val="000000"/>
                <w:sz w:val="17"/>
                <w:szCs w:val="17"/>
                <w:lang w:eastAsia="nl-NL"/>
              </w:rPr>
            </w:pPr>
            <w:r>
              <w:rPr>
                <w:rFonts w:eastAsia="Times New Roman" w:cs="Arial"/>
                <w:color w:val="000000"/>
                <w:sz w:val="17"/>
                <w:szCs w:val="17"/>
                <w:lang w:eastAsia="nl-NL"/>
              </w:rPr>
              <w:t>amsterdam.nl</w:t>
            </w:r>
          </w:p>
        </w:tc>
      </w:tr>
      <w:tr w:rsidRPr="006D02F6" w:rsidR="009C6854" w:rsidTr="009C6854">
        <w:trPr>
          <w:trHeight w:val="40"/>
        </w:trPr>
        <w:tc>
          <w:tcPr>
            <w:tcW w:w="1079" w:type="dxa"/>
          </w:tcPr>
          <w:p w:rsidRPr="00635DBC" w:rsidR="009C6854" w:rsidP="008879D5" w:rsidRDefault="009C6854">
            <w:pPr>
              <w:pStyle w:val="Koptekst"/>
              <w:rPr>
                <w:szCs w:val="17"/>
              </w:rPr>
            </w:pPr>
          </w:p>
        </w:tc>
        <w:tc>
          <w:tcPr>
            <w:tcW w:w="8022" w:type="dxa"/>
            <w:gridSpan w:val="2"/>
          </w:tcPr>
          <w:p w:rsidRPr="006D02F6" w:rsidR="009C6854" w:rsidP="008879D5" w:rsidRDefault="009C6854">
            <w:pPr>
              <w:pStyle w:val="Koptekst"/>
              <w:spacing w:line="240" w:lineRule="atLeast"/>
              <w:rPr>
                <w:szCs w:val="20"/>
              </w:rPr>
            </w:pPr>
          </w:p>
        </w:tc>
      </w:tr>
    </w:tbl>
    <w:p w:rsidRPr="009C6854" w:rsidR="0002315B" w:rsidP="0002315B" w:rsidRDefault="0002315B">
      <w:pPr>
        <w:jc w:val="center"/>
        <w:rPr>
          <w:b/>
          <w:sz w:val="24"/>
          <w:szCs w:val="24"/>
          <w:u w:val="single"/>
        </w:rPr>
      </w:pPr>
      <w:proofErr w:type="spellStart"/>
      <w:r w:rsidRPr="009C6854">
        <w:rPr>
          <w:b/>
          <w:sz w:val="24"/>
          <w:szCs w:val="24"/>
          <w:u w:val="single"/>
        </w:rPr>
        <w:t>Position</w:t>
      </w:r>
      <w:proofErr w:type="spellEnd"/>
      <w:r w:rsidRPr="009C6854">
        <w:rPr>
          <w:b/>
          <w:sz w:val="24"/>
          <w:szCs w:val="24"/>
          <w:u w:val="single"/>
        </w:rPr>
        <w:t xml:space="preserve"> paper gemeente Amsterdam voor het rondetafelgesprek nachtleven, festivals en culturele instellingen</w:t>
      </w:r>
    </w:p>
    <w:p w:rsidRPr="000040B0" w:rsidR="000040B0" w:rsidP="000040B0" w:rsidRDefault="000040B0">
      <w:r>
        <w:t xml:space="preserve">Amsterdam </w:t>
      </w:r>
      <w:r w:rsidR="0002315B">
        <w:t xml:space="preserve">is </w:t>
      </w:r>
      <w:r>
        <w:t>blij met de steun die de culturele sector vanuit het Rijk krijgt. U</w:t>
      </w:r>
      <w:r w:rsidRPr="000040B0">
        <w:t xml:space="preserve">itbreiding van het derde steunpakket met hierbij extra aandacht voor cultuur en de evenementenbranche, stemt ons hoopvol. </w:t>
      </w:r>
      <w:r>
        <w:t xml:space="preserve">De steunpakketten zijn belangrijk, omdat </w:t>
      </w:r>
      <w:r w:rsidRPr="000040B0">
        <w:t>de financiële mogelijkheden van gemeenten om steun te verlenen inmiddels grotendeels zijn uitgeput.</w:t>
      </w:r>
      <w:r>
        <w:t xml:space="preserve"> Tegelijkertijd heeft Amsterdam wel zorgen</w:t>
      </w:r>
      <w:r w:rsidR="00E17DC7">
        <w:t>.</w:t>
      </w:r>
    </w:p>
    <w:p w:rsidR="000040B0" w:rsidP="000040B0" w:rsidRDefault="000040B0">
      <w:r w:rsidRPr="000040B0">
        <w:t>De cultuursector is per 4 november 2020 weer een aantal weken gesloten. Een harde klap, di</w:t>
      </w:r>
      <w:r w:rsidR="00162D46">
        <w:t>e ook financiële gevolgen heeft en</w:t>
      </w:r>
      <w:r w:rsidRPr="000040B0">
        <w:t xml:space="preserve"> hard is aangekomen in de cultuursector. Net als andere sectoren, die wel geopend kunnen blijven zoals detailhandel en sportscholen, heeft de cultuursector heldere protocollen die strikt worden gehandhaafd. </w:t>
      </w:r>
      <w:r>
        <w:t xml:space="preserve">Onze bijzondere zorg gaat </w:t>
      </w:r>
      <w:r w:rsidR="0002315B">
        <w:t>uit naar</w:t>
      </w:r>
      <w:r>
        <w:t xml:space="preserve"> de </w:t>
      </w:r>
      <w:r w:rsidR="00937357">
        <w:t xml:space="preserve">festivals, pop en </w:t>
      </w:r>
      <w:r w:rsidR="00E17DC7">
        <w:t xml:space="preserve">de </w:t>
      </w:r>
      <w:r>
        <w:t>nachtcultuur</w:t>
      </w:r>
      <w:r w:rsidR="009A67F6">
        <w:t>, waarvan</w:t>
      </w:r>
      <w:r w:rsidR="008E6574">
        <w:t xml:space="preserve"> een groot deel al</w:t>
      </w:r>
      <w:r w:rsidR="009A67F6">
        <w:t xml:space="preserve"> sinds maart op slot zit </w:t>
      </w:r>
      <w:r w:rsidRPr="009A67F6" w:rsidR="009A67F6">
        <w:t>voor de gezondheid van iedereen.</w:t>
      </w:r>
    </w:p>
    <w:p w:rsidRPr="002A1B94" w:rsidR="009A67F6" w:rsidP="00845D17" w:rsidRDefault="009A67F6">
      <w:pPr>
        <w:rPr>
          <w:b/>
        </w:rPr>
      </w:pPr>
      <w:r w:rsidRPr="002A1B94">
        <w:rPr>
          <w:b/>
        </w:rPr>
        <w:t>Wij will</w:t>
      </w:r>
      <w:r w:rsidR="002A1B94">
        <w:rPr>
          <w:b/>
        </w:rPr>
        <w:t>en</w:t>
      </w:r>
      <w:r w:rsidRPr="002A1B94">
        <w:rPr>
          <w:b/>
        </w:rPr>
        <w:t xml:space="preserve"> graag het volgende meegeven:</w:t>
      </w:r>
    </w:p>
    <w:p w:rsidRPr="00845D17" w:rsidR="009A67F6" w:rsidP="009A67F6" w:rsidRDefault="0002315B">
      <w:pPr>
        <w:pStyle w:val="Lijstalinea"/>
        <w:numPr>
          <w:ilvl w:val="0"/>
          <w:numId w:val="1"/>
        </w:numPr>
      </w:pPr>
      <w:r>
        <w:rPr>
          <w:b/>
        </w:rPr>
        <w:t>Ook v</w:t>
      </w:r>
      <w:r w:rsidRPr="009A67F6" w:rsidR="009A67F6">
        <w:rPr>
          <w:b/>
        </w:rPr>
        <w:t>oldoende ondersteuning</w:t>
      </w:r>
      <w:r>
        <w:rPr>
          <w:b/>
        </w:rPr>
        <w:t xml:space="preserve"> </w:t>
      </w:r>
      <w:r w:rsidR="00D82448">
        <w:rPr>
          <w:b/>
        </w:rPr>
        <w:t xml:space="preserve">voor de </w:t>
      </w:r>
      <w:r>
        <w:rPr>
          <w:b/>
        </w:rPr>
        <w:t>niet gesubsidieerde sector</w:t>
      </w:r>
      <w:r w:rsidRPr="009A67F6" w:rsidR="009A67F6">
        <w:rPr>
          <w:b/>
        </w:rPr>
        <w:t>:</w:t>
      </w:r>
      <w:r w:rsidR="009A67F6">
        <w:t xml:space="preserve"> </w:t>
      </w:r>
      <w:r>
        <w:t>M</w:t>
      </w:r>
      <w:r w:rsidRPr="009A67F6" w:rsidR="009A67F6">
        <w:t xml:space="preserve">et het derde steunpakket is extra aandacht gekomen voor het niet-gesubsidieerde deel van de </w:t>
      </w:r>
      <w:r w:rsidR="009A67F6">
        <w:t xml:space="preserve">culturele </w:t>
      </w:r>
      <w:r w:rsidRPr="009A67F6" w:rsidR="009A67F6">
        <w:t>sector. In de culturele infras</w:t>
      </w:r>
      <w:r w:rsidR="009A67F6">
        <w:t xml:space="preserve">tructuur van veel </w:t>
      </w:r>
      <w:r w:rsidRPr="009A67F6" w:rsidR="009A67F6">
        <w:t xml:space="preserve">steden is dit deel van de sector even belangrijk als het gesubsidieerde deel. Het één kan niet zonder het ander. </w:t>
      </w:r>
      <w:r w:rsidR="009A67F6">
        <w:t xml:space="preserve">Bij </w:t>
      </w:r>
      <w:r w:rsidR="00162D46">
        <w:t>(</w:t>
      </w:r>
      <w:r w:rsidR="009A67F6">
        <w:t>de uitwerking van</w:t>
      </w:r>
      <w:r w:rsidR="00162D46">
        <w:t>)</w:t>
      </w:r>
      <w:bookmarkStart w:name="_GoBack" w:id="0"/>
      <w:bookmarkEnd w:id="0"/>
      <w:r w:rsidR="009A67F6">
        <w:t xml:space="preserve"> de steunmaatregelen moet hiervoor aandacht blijven en ook deze sector voldoende ondersteund worden. </w:t>
      </w:r>
    </w:p>
    <w:p w:rsidRPr="000040B0" w:rsidR="000040B0" w:rsidP="000040B0" w:rsidRDefault="000040B0">
      <w:pPr>
        <w:pStyle w:val="Lijstalinea"/>
        <w:numPr>
          <w:ilvl w:val="0"/>
          <w:numId w:val="1"/>
        </w:numPr>
        <w:rPr>
          <w:bCs/>
        </w:rPr>
      </w:pPr>
      <w:r w:rsidRPr="000040B0">
        <w:rPr>
          <w:b/>
          <w:bCs/>
        </w:rPr>
        <w:t>Cultuur apart op de Routekaart</w:t>
      </w:r>
      <w:r>
        <w:rPr>
          <w:b/>
          <w:bCs/>
        </w:rPr>
        <w:t xml:space="preserve">: </w:t>
      </w:r>
      <w:r w:rsidR="00E17DC7">
        <w:rPr>
          <w:bCs/>
        </w:rPr>
        <w:t>In de r</w:t>
      </w:r>
      <w:r w:rsidRPr="000040B0">
        <w:rPr>
          <w:bCs/>
        </w:rPr>
        <w:t>outekaart waarin het dreigingsniveau van het virus correspondeert met maatre</w:t>
      </w:r>
      <w:r>
        <w:rPr>
          <w:bCs/>
        </w:rPr>
        <w:t>gelen voo</w:t>
      </w:r>
      <w:r w:rsidR="00E17DC7">
        <w:rPr>
          <w:bCs/>
        </w:rPr>
        <w:t>r de bevolking is c</w:t>
      </w:r>
      <w:r w:rsidR="0002315B">
        <w:rPr>
          <w:bCs/>
        </w:rPr>
        <w:t xml:space="preserve">ultuur (en </w:t>
      </w:r>
      <w:r>
        <w:rPr>
          <w:bCs/>
        </w:rPr>
        <w:t>ook de</w:t>
      </w:r>
      <w:r w:rsidR="0002315B">
        <w:rPr>
          <w:bCs/>
        </w:rPr>
        <w:t xml:space="preserve"> </w:t>
      </w:r>
      <w:r>
        <w:rPr>
          <w:bCs/>
        </w:rPr>
        <w:t>nachtcultuur)</w:t>
      </w:r>
      <w:r w:rsidRPr="000040B0">
        <w:rPr>
          <w:bCs/>
        </w:rPr>
        <w:t xml:space="preserve"> niet a</w:t>
      </w:r>
      <w:r w:rsidR="008E6574">
        <w:rPr>
          <w:bCs/>
        </w:rPr>
        <w:t>part</w:t>
      </w:r>
      <w:r w:rsidR="00162D46">
        <w:rPr>
          <w:bCs/>
        </w:rPr>
        <w:t xml:space="preserve"> meegenomen. D</w:t>
      </w:r>
      <w:r w:rsidRPr="000040B0">
        <w:rPr>
          <w:bCs/>
        </w:rPr>
        <w:t>aardoor</w:t>
      </w:r>
      <w:r w:rsidR="00E17DC7">
        <w:rPr>
          <w:bCs/>
        </w:rPr>
        <w:t xml:space="preserve"> blijft de onduidelijkheid bestaan</w:t>
      </w:r>
      <w:r w:rsidRPr="000040B0">
        <w:rPr>
          <w:bCs/>
        </w:rPr>
        <w:t xml:space="preserve">. </w:t>
      </w:r>
      <w:r>
        <w:rPr>
          <w:bCs/>
        </w:rPr>
        <w:t xml:space="preserve">Wij pleiten, net als de </w:t>
      </w:r>
      <w:r w:rsidRPr="000040B0">
        <w:rPr>
          <w:bCs/>
        </w:rPr>
        <w:t>Taskforce Cultuur, voor een meer voorspelbaar proces</w:t>
      </w:r>
      <w:r>
        <w:rPr>
          <w:bCs/>
        </w:rPr>
        <w:t>.</w:t>
      </w:r>
    </w:p>
    <w:p w:rsidRPr="002A1B94" w:rsidR="002A1B94" w:rsidP="000040B0" w:rsidRDefault="000040B0">
      <w:pPr>
        <w:pStyle w:val="Lijstalinea"/>
        <w:numPr>
          <w:ilvl w:val="0"/>
          <w:numId w:val="1"/>
        </w:numPr>
        <w:rPr>
          <w:b/>
        </w:rPr>
      </w:pPr>
      <w:r w:rsidRPr="000040B0">
        <w:rPr>
          <w:b/>
        </w:rPr>
        <w:t>Ruimte voor innovatie</w:t>
      </w:r>
      <w:r w:rsidR="009A67F6">
        <w:rPr>
          <w:b/>
        </w:rPr>
        <w:t xml:space="preserve">: </w:t>
      </w:r>
      <w:r w:rsidRPr="0002315B" w:rsidR="0002315B">
        <w:t>Gezondheid en</w:t>
      </w:r>
      <w:r w:rsidR="0002315B">
        <w:rPr>
          <w:b/>
        </w:rPr>
        <w:t xml:space="preserve"> </w:t>
      </w:r>
      <w:r w:rsidR="00E17DC7">
        <w:t>v</w:t>
      </w:r>
      <w:r w:rsidR="0002315B">
        <w:t>eiligheid sta</w:t>
      </w:r>
      <w:r w:rsidR="00E17DC7">
        <w:t>an</w:t>
      </w:r>
      <w:r w:rsidR="0002315B">
        <w:t xml:space="preserve"> voorop, daar mag geen twijfel over zijn.</w:t>
      </w:r>
      <w:r w:rsidRPr="0002315B" w:rsidR="0002315B">
        <w:t xml:space="preserve"> </w:t>
      </w:r>
      <w:r w:rsidR="0002315B">
        <w:t xml:space="preserve">Er zijn echter wel mogelijkheden om </w:t>
      </w:r>
      <w:r w:rsidRPr="0002315B" w:rsidR="0002315B">
        <w:t xml:space="preserve">te experimenteren in wat wel kan of mogelijk is – uiteraard binnen alle kaders en richtlijnen </w:t>
      </w:r>
      <w:r w:rsidR="0002315B">
        <w:t>die gelden. Zowel de sector als verschillende gemeenten</w:t>
      </w:r>
      <w:r w:rsidRPr="0002315B" w:rsidR="0002315B">
        <w:t xml:space="preserve"> nemen hierin initiatief. Bijvoorbeeld door te onderzoeken hoe met slimme technologie grotere groepen mensen veilig samen kunnen komen op drukbezochte locati</w:t>
      </w:r>
      <w:r w:rsidR="0002315B">
        <w:t>es en bij publieksevenementen (</w:t>
      </w:r>
      <w:r w:rsidRPr="0002315B" w:rsidR="0002315B">
        <w:t>een samenwerking tussen TNO, de gemeente Amsterdam</w:t>
      </w:r>
      <w:r w:rsidR="0002315B">
        <w:t xml:space="preserve"> en de sector)</w:t>
      </w:r>
      <w:r w:rsidRPr="0002315B" w:rsidR="0002315B">
        <w:t>. Tegelijkertijd experimenteren partnersteden</w:t>
      </w:r>
      <w:r w:rsidR="008E6574">
        <w:t>,</w:t>
      </w:r>
      <w:r w:rsidRPr="0002315B" w:rsidR="0002315B">
        <w:t xml:space="preserve"> zoals Barcelona en Berlijn</w:t>
      </w:r>
      <w:r w:rsidR="008E6574">
        <w:t>,</w:t>
      </w:r>
      <w:r w:rsidRPr="0002315B" w:rsidR="0002315B">
        <w:t xml:space="preserve"> met het mogelijk maken van gecontroleerde, gezonde en veilige omgevingen v</w:t>
      </w:r>
      <w:r w:rsidR="00E17DC7">
        <w:t>oor evenementen en nachtcultuur</w:t>
      </w:r>
      <w:r w:rsidRPr="0002315B" w:rsidR="0002315B">
        <w:t>. Wij vragen u daarom om – wanneer het risiconiveau in Nederland dit weer toelaat – samen met ons meer ruimte te geven aan de sector voor experiment en innovatie in de vorm van proeftuinen en pilots. Altijd veilig en gezond.</w:t>
      </w:r>
    </w:p>
    <w:p w:rsidRPr="008E6574" w:rsidR="000B4D83" w:rsidP="008E6574" w:rsidRDefault="002A1B94">
      <w:pPr>
        <w:pStyle w:val="Lijstalinea"/>
        <w:numPr>
          <w:ilvl w:val="0"/>
          <w:numId w:val="1"/>
        </w:numPr>
      </w:pPr>
      <w:r>
        <w:rPr>
          <w:b/>
        </w:rPr>
        <w:t>Blik vooruit:</w:t>
      </w:r>
      <w:r>
        <w:t xml:space="preserve"> </w:t>
      </w:r>
      <w:r w:rsidR="00E17DC7">
        <w:t>D</w:t>
      </w:r>
      <w:r>
        <w:t>it jaar</w:t>
      </w:r>
      <w:r w:rsidRPr="002A1B94">
        <w:t xml:space="preserve"> </w:t>
      </w:r>
      <w:r>
        <w:t xml:space="preserve">is een ongekend </w:t>
      </w:r>
      <w:r w:rsidR="00E17DC7">
        <w:t>zwaar</w:t>
      </w:r>
      <w:r>
        <w:t xml:space="preserve"> jaar voor de sector. M</w:t>
      </w:r>
      <w:r w:rsidRPr="002A1B94">
        <w:t xml:space="preserve">aar </w:t>
      </w:r>
      <w:r>
        <w:t xml:space="preserve">mocht </w:t>
      </w:r>
      <w:r w:rsidRPr="002A1B94">
        <w:t xml:space="preserve">er een vaccin komen of op een andere manier de bezetting weer naar 100% kunnen, dan nog </w:t>
      </w:r>
      <w:r w:rsidR="00E17DC7">
        <w:t xml:space="preserve">zullen de komende jaren </w:t>
      </w:r>
      <w:r w:rsidRPr="002A1B94">
        <w:t>zeer moeilijk worden voor de culturele sector</w:t>
      </w:r>
      <w:r>
        <w:t xml:space="preserve">. </w:t>
      </w:r>
      <w:r w:rsidR="00395FC9">
        <w:t>I</w:t>
      </w:r>
      <w:r w:rsidRPr="00395FC9" w:rsidR="00395FC9">
        <w:t>nstellingen hebben door coron</w:t>
      </w:r>
      <w:r w:rsidR="00395FC9">
        <w:t>a geen financiële reserves meer</w:t>
      </w:r>
      <w:r>
        <w:t>, dus pleiten we voor een actieplan waarin in het Rijk samen met gemeenten, regio’s en de sector werken aan herstel</w:t>
      </w:r>
      <w:r w:rsidR="00E17DC7">
        <w:t>.</w:t>
      </w:r>
    </w:p>
    <w:sectPr w:rsidRPr="008E6574" w:rsidR="000B4D8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873B1"/>
    <w:multiLevelType w:val="hybridMultilevel"/>
    <w:tmpl w:val="AB8832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2A2027"/>
    <w:multiLevelType w:val="hybridMultilevel"/>
    <w:tmpl w:val="DD34AF72"/>
    <w:lvl w:ilvl="0" w:tplc="A5CAC56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0B0"/>
    <w:rsid w:val="000040B0"/>
    <w:rsid w:val="00007A58"/>
    <w:rsid w:val="0002315B"/>
    <w:rsid w:val="00162D46"/>
    <w:rsid w:val="00254452"/>
    <w:rsid w:val="002A1B94"/>
    <w:rsid w:val="00395FC9"/>
    <w:rsid w:val="00845D17"/>
    <w:rsid w:val="008E6574"/>
    <w:rsid w:val="00937357"/>
    <w:rsid w:val="009A67F6"/>
    <w:rsid w:val="009C6854"/>
    <w:rsid w:val="00C85758"/>
    <w:rsid w:val="00D82448"/>
    <w:rsid w:val="00D8484D"/>
    <w:rsid w:val="00E1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4DA1E"/>
  <w15:chartTrackingRefBased/>
  <w15:docId w15:val="{2A052349-6015-417C-AC67-B09CE4D1E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040B0"/>
    <w:pPr>
      <w:ind w:left="720"/>
      <w:contextualSpacing/>
    </w:pPr>
  </w:style>
  <w:style w:type="paragraph" w:styleId="Koptekst">
    <w:name w:val="header"/>
    <w:basedOn w:val="Standaard"/>
    <w:link w:val="KoptekstChar"/>
    <w:unhideWhenUsed/>
    <w:rsid w:val="009C6854"/>
    <w:pPr>
      <w:tabs>
        <w:tab w:val="center" w:pos="4536"/>
        <w:tab w:val="right" w:pos="9072"/>
      </w:tabs>
      <w:spacing w:after="0" w:line="240" w:lineRule="auto"/>
    </w:pPr>
    <w:rPr>
      <w:rFonts w:ascii="Corbel" w:eastAsia="Calibri" w:hAnsi="Corbel" w:cs="Times New Roman"/>
      <w:sz w:val="21"/>
      <w:szCs w:val="21"/>
    </w:rPr>
  </w:style>
  <w:style w:type="character" w:customStyle="1" w:styleId="KoptekstChar">
    <w:name w:val="Koptekst Char"/>
    <w:basedOn w:val="Standaardalinea-lettertype"/>
    <w:link w:val="Koptekst"/>
    <w:rsid w:val="009C6854"/>
    <w:rPr>
      <w:rFonts w:ascii="Corbel" w:eastAsia="Calibri" w:hAnsi="Corbel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501</ap:Words>
  <ap:Characters>2756</ap:Characters>
  <ap:DocSecurity>0</ap:DocSecurity>
  <ap:Lines>22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3251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2020-11-11T19:25:00.0000000Z</dcterms:created>
  <dcterms:modified xsi:type="dcterms:W3CDTF">2020-11-11T19:25:00.0000000Z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0x010100C9A738E88814B4468EAEF0C4E01F07A3</vt:lpwstr>
  </property>
</Properties>
</file>