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  <w:r w:rsidRPr="00F92EA5">
        <w:rPr>
          <w:sz w:val="20"/>
          <w:szCs w:val="20"/>
        </w:rPr>
        <w:t>De Tweede Kamer der Staten-</w:t>
      </w:r>
      <w:r w:rsidRPr="00F92EA5">
        <w:rPr>
          <w:sz w:val="20"/>
          <w:szCs w:val="20"/>
        </w:rPr>
        <w:fldChar w:fldCharType="begin"/>
      </w:r>
      <w:r w:rsidRPr="00F92EA5">
        <w:rPr>
          <w:sz w:val="20"/>
          <w:szCs w:val="20"/>
        </w:rPr>
        <w:instrText xml:space="preserve">PRIVATE </w:instrText>
      </w:r>
      <w:r w:rsidRPr="00F92EA5">
        <w:rPr>
          <w:sz w:val="20"/>
          <w:szCs w:val="20"/>
        </w:rPr>
        <w:fldChar w:fldCharType="end"/>
      </w: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  <w:r w:rsidRPr="00F92EA5">
        <w:rPr>
          <w:sz w:val="20"/>
          <w:szCs w:val="20"/>
        </w:rPr>
        <w:t>Generaal zendt bijgaand door</w:t>
      </w: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  <w:r w:rsidRPr="00F92EA5">
        <w:rPr>
          <w:sz w:val="20"/>
          <w:szCs w:val="20"/>
        </w:rPr>
        <w:t>haar aangenomen wetsvoorstel</w:t>
      </w:r>
    </w:p>
    <w:p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  <w:r w:rsidRPr="00F92EA5">
        <w:rPr>
          <w:sz w:val="20"/>
          <w:szCs w:val="20"/>
        </w:rPr>
        <w:t>aan de Eerste Kamer</w:t>
      </w:r>
      <w:r>
        <w:rPr>
          <w:sz w:val="20"/>
          <w:szCs w:val="20"/>
        </w:rPr>
        <w:t xml:space="preserve">. Zij heeft </w:t>
      </w:r>
    </w:p>
    <w:p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de initiatiefnemers opgedragen</w:t>
      </w:r>
    </w:p>
    <w:p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het voorstel in die Kamer te</w:t>
      </w: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>verdedigen</w:t>
      </w:r>
      <w:bookmarkStart w:name="_GoBack" w:id="0"/>
      <w:bookmarkEnd w:id="0"/>
      <w:r w:rsidRPr="00F92EA5">
        <w:rPr>
          <w:sz w:val="20"/>
          <w:szCs w:val="20"/>
        </w:rPr>
        <w:t>.</w:t>
      </w: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  <w:r w:rsidRPr="00F92EA5">
        <w:rPr>
          <w:sz w:val="20"/>
          <w:szCs w:val="20"/>
        </w:rPr>
        <w:t>De Voorzitter,</w:t>
      </w: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tabs>
          <w:tab w:val="left" w:pos="-1440"/>
          <w:tab w:val="left" w:pos="-720"/>
        </w:tabs>
        <w:suppressAutoHyphens/>
        <w:rPr>
          <w:sz w:val="20"/>
          <w:szCs w:val="20"/>
        </w:rPr>
      </w:pPr>
    </w:p>
    <w:p w:rsidRPr="00F92EA5" w:rsidR="00F92EA5" w:rsidP="000D0DF5" w:rsidRDefault="00F92EA5">
      <w:pPr>
        <w:rPr>
          <w:sz w:val="20"/>
          <w:szCs w:val="20"/>
        </w:rPr>
      </w:pPr>
    </w:p>
    <w:p w:rsidR="002A54C2" w:rsidP="00F92EA5" w:rsidRDefault="00F92EA5">
      <w:pPr>
        <w:rPr>
          <w:sz w:val="20"/>
          <w:szCs w:val="20"/>
        </w:rPr>
      </w:pPr>
      <w:r>
        <w:rPr>
          <w:sz w:val="20"/>
          <w:szCs w:val="20"/>
        </w:rPr>
        <w:t>3 november 2020</w:t>
      </w:r>
    </w:p>
    <w:p w:rsidRPr="00F92EA5" w:rsidR="00F92EA5" w:rsidP="00F92EA5" w:rsidRDefault="00F92EA5">
      <w:pPr>
        <w:rPr>
          <w:rFonts w:asciiTheme="minorHAnsi" w:hAnsiTheme="minorHAnsi"/>
          <w:b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A54C2" w:rsidR="00F92EA5" w:rsidTr="008744F0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54C2" w:rsidR="00F92EA5" w:rsidP="0085307C" w:rsidRDefault="00F92EA5">
            <w:pPr>
              <w:rPr>
                <w:b/>
              </w:rPr>
            </w:pPr>
            <w:r w:rsidRPr="002A54C2">
              <w:rPr>
                <w:b/>
              </w:rPr>
              <w:t>Voorstel van wet van de leden Van den Bosch en Van der Molen tot wijziging van de Gemeentewet</w:t>
            </w:r>
            <w:r>
              <w:rPr>
                <w:b/>
              </w:rPr>
              <w:t>,</w:t>
            </w:r>
            <w:r w:rsidRPr="002A54C2">
              <w:rPr>
                <w:b/>
              </w:rPr>
              <w:t xml:space="preserve"> de</w:t>
            </w:r>
            <w:r>
              <w:rPr>
                <w:b/>
              </w:rPr>
              <w:t xml:space="preserve"> </w:t>
            </w:r>
            <w:r w:rsidRPr="002A54C2">
              <w:rPr>
                <w:b/>
              </w:rPr>
              <w:t>Provinciewet</w:t>
            </w:r>
            <w:r>
              <w:rPr>
                <w:b/>
              </w:rPr>
              <w:t xml:space="preserve"> en de </w:t>
            </w:r>
            <w:r w:rsidRPr="003C78DC">
              <w:rPr>
                <w:b/>
              </w:rPr>
              <w:t>Wet openbare lichamen Bonaire, Sint Eustatius en Saba</w:t>
            </w:r>
            <w:r w:rsidRPr="002A54C2">
              <w:rPr>
                <w:b/>
              </w:rPr>
              <w:t xml:space="preserve"> in verband met het laten vervallen van het verplicht voorzitterschap door raadsleden</w:t>
            </w:r>
            <w:r>
              <w:rPr>
                <w:b/>
              </w:rPr>
              <w:t>,</w:t>
            </w:r>
            <w:r w:rsidRPr="002A54C2">
              <w:rPr>
                <w:b/>
              </w:rPr>
              <w:t xml:space="preserve"> statenleden </w:t>
            </w:r>
            <w:r>
              <w:rPr>
                <w:b/>
              </w:rPr>
              <w:t xml:space="preserve">en eilandsraadsleden </w:t>
            </w:r>
            <w:r w:rsidRPr="002A54C2">
              <w:rPr>
                <w:b/>
              </w:rPr>
              <w:t xml:space="preserve">van raads-, </w:t>
            </w:r>
            <w:r>
              <w:rPr>
                <w:b/>
              </w:rPr>
              <w:t>s</w:t>
            </w:r>
            <w:r w:rsidRPr="002A54C2">
              <w:rPr>
                <w:b/>
              </w:rPr>
              <w:t>taten</w:t>
            </w:r>
            <w:r>
              <w:rPr>
                <w:b/>
              </w:rPr>
              <w:t>- en eilandsraads</w:t>
            </w:r>
            <w:r w:rsidRPr="002A54C2">
              <w:rPr>
                <w:b/>
              </w:rPr>
              <w:t>commissies</w:t>
            </w:r>
          </w:p>
        </w:tc>
      </w:tr>
      <w:tr w:rsidRPr="002A54C2" w:rsidR="002A54C2" w:rsidTr="00482F3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54C2" w:rsidR="002A54C2" w:rsidP="002A54C2" w:rsidRDefault="002A54C2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54C2" w:rsidR="002A54C2" w:rsidP="002A54C2" w:rsidRDefault="002A54C2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</w:tr>
      <w:tr w:rsidRPr="002A54C2" w:rsidR="002A54C2" w:rsidTr="00482F3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54C2" w:rsidR="002A54C2" w:rsidP="002A54C2" w:rsidRDefault="002A54C2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54C2" w:rsidR="002A54C2" w:rsidP="002A54C2" w:rsidRDefault="002A54C2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</w:tr>
      <w:tr w:rsidRPr="002A54C2" w:rsidR="00F92EA5" w:rsidTr="000A076C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54C2" w:rsidR="00F92EA5" w:rsidP="002A54C2" w:rsidRDefault="00F92EA5">
            <w:pPr>
              <w:rPr>
                <w:b/>
              </w:rPr>
            </w:pPr>
            <w:r w:rsidRPr="002A54C2">
              <w:rPr>
                <w:b/>
              </w:rPr>
              <w:t>VOORSTEL VAN WET</w:t>
            </w:r>
          </w:p>
        </w:tc>
      </w:tr>
      <w:tr w:rsidRPr="002A54C2" w:rsidR="002A54C2" w:rsidTr="00482F3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54C2" w:rsidR="002A54C2" w:rsidP="002A54C2" w:rsidRDefault="002A54C2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54C2" w:rsidR="002A54C2" w:rsidP="002A54C2" w:rsidRDefault="002A54C2">
            <w:pPr>
              <w:widowControl w:val="0"/>
              <w:tabs>
                <w:tab w:val="left" w:pos="3310"/>
                <w:tab w:val="left" w:pos="3600"/>
              </w:tabs>
              <w:suppressAutoHyphens/>
              <w:rPr>
                <w:b/>
                <w:bCs/>
              </w:rPr>
            </w:pPr>
          </w:p>
        </w:tc>
      </w:tr>
    </w:tbl>
    <w:p w:rsidRPr="002A54C2" w:rsidR="002A54C2" w:rsidP="002A54C2" w:rsidRDefault="002A54C2"/>
    <w:p w:rsidRPr="002A54C2" w:rsidR="002A54C2" w:rsidP="002A54C2" w:rsidRDefault="002A54C2">
      <w:pPr>
        <w:ind w:firstLine="284"/>
      </w:pPr>
      <w:r w:rsidRPr="002A54C2">
        <w:t>Wij Willem-Alexander, bij de gratie Gods, Koning der Nederlanden, Prins van Oranje-Nassau, enz. enz. enz.</w:t>
      </w:r>
    </w:p>
    <w:p w:rsidRPr="002A54C2" w:rsidR="002A54C2" w:rsidP="002A54C2" w:rsidRDefault="002A54C2"/>
    <w:p w:rsidRPr="002A54C2" w:rsidR="002A54C2" w:rsidP="002A54C2" w:rsidRDefault="002A54C2">
      <w:pPr>
        <w:ind w:firstLine="284"/>
      </w:pPr>
      <w:r w:rsidRPr="002A54C2">
        <w:t>Allen, die deze zullen zien of horen lezen, saluut! doen te weten:</w:t>
      </w:r>
    </w:p>
    <w:p w:rsidRPr="0032004C" w:rsidR="002A54C2" w:rsidP="002A54C2" w:rsidRDefault="002A54C2">
      <w:pPr>
        <w:ind w:firstLine="284"/>
      </w:pPr>
      <w:r w:rsidRPr="002A54C2">
        <w:t xml:space="preserve">Alzo Wij in overweging genomen hebben, dat </w:t>
      </w:r>
      <w:r w:rsidRPr="0032004C" w:rsidR="00F12956">
        <w:t>het</w:t>
      </w:r>
      <w:r w:rsidRPr="0032004C" w:rsidR="00F12956">
        <w:rPr>
          <w:rFonts w:asciiTheme="minorHAnsi" w:hAnsiTheme="minorHAnsi"/>
        </w:rPr>
        <w:t xml:space="preserve"> </w:t>
      </w:r>
      <w:r w:rsidRPr="0032004C" w:rsidR="00F12956">
        <w:t>wenselijk is gemeenten</w:t>
      </w:r>
      <w:r w:rsidR="00BD3769">
        <w:t xml:space="preserve">, </w:t>
      </w:r>
      <w:r w:rsidRPr="0032004C" w:rsidR="0032004C">
        <w:t xml:space="preserve">provincies </w:t>
      </w:r>
      <w:r w:rsidR="00BD3769">
        <w:t xml:space="preserve">en de </w:t>
      </w:r>
      <w:r w:rsidR="003C78DC">
        <w:t xml:space="preserve">openbare lichamen </w:t>
      </w:r>
      <w:r w:rsidR="00BD3769">
        <w:t>Bonaire, Sint Eus</w:t>
      </w:r>
      <w:r w:rsidR="003C78DC">
        <w:t>t</w:t>
      </w:r>
      <w:r w:rsidR="00BD3769">
        <w:t xml:space="preserve">atius en Saba </w:t>
      </w:r>
      <w:r w:rsidRPr="0032004C" w:rsidR="00F12956">
        <w:t>meer ruimte voor maatwerk te geven en het aan de gemeenteraad</w:t>
      </w:r>
      <w:r w:rsidR="00BD3769">
        <w:t xml:space="preserve">, </w:t>
      </w:r>
      <w:r w:rsidRPr="0032004C" w:rsidR="0032004C">
        <w:t xml:space="preserve">provinciale staten </w:t>
      </w:r>
      <w:r w:rsidR="00BD3769">
        <w:t>en de eilandsraad t</w:t>
      </w:r>
      <w:r w:rsidRPr="0032004C" w:rsidR="00F12956">
        <w:t>e laten een voorzitter van een raadscommissie</w:t>
      </w:r>
      <w:r w:rsidR="00BD3769">
        <w:t>, een</w:t>
      </w:r>
      <w:r w:rsidR="0032004C">
        <w:t xml:space="preserve"> </w:t>
      </w:r>
      <w:r w:rsidR="003C78DC">
        <w:t>s</w:t>
      </w:r>
      <w:r w:rsidR="0032004C">
        <w:t xml:space="preserve">tatencommissie </w:t>
      </w:r>
      <w:r w:rsidR="00BD3769">
        <w:t xml:space="preserve">en een eilandsraadscommissie </w:t>
      </w:r>
      <w:r w:rsidRPr="0032004C" w:rsidR="00F12956">
        <w:t>te benoemen en daartoe de Gemeentewet</w:t>
      </w:r>
      <w:r w:rsidR="003C78DC">
        <w:t>,</w:t>
      </w:r>
      <w:r w:rsidRPr="0032004C" w:rsidR="0032004C">
        <w:t xml:space="preserve"> de Provinciewet</w:t>
      </w:r>
      <w:r w:rsidR="003C78DC">
        <w:t xml:space="preserve"> en de </w:t>
      </w:r>
      <w:r w:rsidRPr="003C78DC" w:rsidR="003C78DC">
        <w:t>Wet openbare lichamen Bonaire, Sint Eustatius en Saba</w:t>
      </w:r>
      <w:r w:rsidRPr="0032004C" w:rsidR="0032004C">
        <w:t xml:space="preserve"> </w:t>
      </w:r>
      <w:r w:rsidRPr="0032004C" w:rsidR="00F12956">
        <w:t>te wijzigen;</w:t>
      </w:r>
    </w:p>
    <w:p w:rsidRPr="002A54C2" w:rsidR="002A54C2" w:rsidP="002A54C2" w:rsidRDefault="002A54C2">
      <w:pPr>
        <w:ind w:firstLine="284"/>
      </w:pPr>
      <w:r w:rsidRPr="002A54C2">
        <w:t>Zo is het, dat Wij, de Afdeling advisering van de Raad van State gehoord, en met gemeen overleg der Staten-Generaal, hebben goedgevonden en verstaan, gelijk Wij goedvinden en verstaan bij deze:</w:t>
      </w:r>
    </w:p>
    <w:p w:rsidR="002A54C2" w:rsidP="002A54C2" w:rsidRDefault="002A54C2"/>
    <w:p w:rsidRPr="002A54C2" w:rsidR="003C78DC" w:rsidP="002A54C2" w:rsidRDefault="003C78DC"/>
    <w:p w:rsidRPr="002A54C2" w:rsidR="002A54C2" w:rsidP="002A54C2" w:rsidRDefault="002A54C2">
      <w:r w:rsidRPr="002A54C2">
        <w:rPr>
          <w:b/>
        </w:rPr>
        <w:t>ARTIKEL I</w:t>
      </w:r>
    </w:p>
    <w:p w:rsidRPr="002A54C2" w:rsidR="002A54C2" w:rsidP="002A54C2" w:rsidRDefault="002A54C2"/>
    <w:p w:rsidR="009B47F8" w:rsidP="002A54C2" w:rsidRDefault="009B47F8">
      <w:pPr>
        <w:ind w:firstLine="284"/>
      </w:pPr>
      <w:r>
        <w:t>A</w:t>
      </w:r>
      <w:r w:rsidRPr="002A54C2" w:rsidR="002A54C2">
        <w:t>rtikel 82</w:t>
      </w:r>
      <w:r>
        <w:t>, vierde lid,</w:t>
      </w:r>
      <w:r w:rsidRPr="002A54C2" w:rsidR="002A54C2">
        <w:t xml:space="preserve"> van de Gemeentewet </w:t>
      </w:r>
      <w:r>
        <w:t>komt te luiden:</w:t>
      </w:r>
    </w:p>
    <w:p w:rsidR="002A54C2" w:rsidP="000F5BBA" w:rsidRDefault="009B47F8">
      <w:pPr>
        <w:ind w:firstLine="284"/>
        <w:rPr>
          <w:color w:val="FF0000"/>
        </w:rPr>
      </w:pPr>
      <w:r>
        <w:t xml:space="preserve">4. Op de voorzitter van een raadscommissie die niet tevens lid </w:t>
      </w:r>
      <w:r w:rsidR="00155B84">
        <w:t xml:space="preserve">van de raad </w:t>
      </w:r>
      <w:r>
        <w:t>is, is artikel 13 van overeenkomstige toepassing.</w:t>
      </w:r>
    </w:p>
    <w:p w:rsidR="002D33B3" w:rsidP="002A54C2" w:rsidRDefault="002D33B3"/>
    <w:p w:rsidRPr="002A54C2" w:rsidR="009B47F8" w:rsidP="002A54C2" w:rsidRDefault="009B47F8"/>
    <w:p w:rsidRPr="002A54C2" w:rsidR="002A54C2" w:rsidP="002A54C2" w:rsidRDefault="002A54C2">
      <w:pPr>
        <w:rPr>
          <w:b/>
        </w:rPr>
      </w:pPr>
      <w:r w:rsidRPr="002A54C2">
        <w:rPr>
          <w:b/>
        </w:rPr>
        <w:t>ARTIKEL II</w:t>
      </w:r>
    </w:p>
    <w:p w:rsidRPr="002A54C2" w:rsidR="002A54C2" w:rsidP="002A54C2" w:rsidRDefault="002A54C2">
      <w:pPr>
        <w:rPr>
          <w:b/>
        </w:rPr>
      </w:pPr>
    </w:p>
    <w:p w:rsidR="009B47F8" w:rsidP="000F5BBA" w:rsidRDefault="009B47F8">
      <w:pPr>
        <w:ind w:firstLine="284"/>
      </w:pPr>
      <w:r>
        <w:lastRenderedPageBreak/>
        <w:t>A</w:t>
      </w:r>
      <w:r w:rsidRPr="002A54C2" w:rsidR="002A54C2">
        <w:t>rtikel 80</w:t>
      </w:r>
      <w:r>
        <w:t>, vierde lid,</w:t>
      </w:r>
      <w:r w:rsidRPr="002A54C2" w:rsidR="002A54C2">
        <w:t xml:space="preserve"> van de Provinciewet </w:t>
      </w:r>
      <w:r>
        <w:t>komt te luiden:</w:t>
      </w:r>
    </w:p>
    <w:p w:rsidRPr="00A84CE4" w:rsidR="00A84CE4" w:rsidP="000F5BBA" w:rsidRDefault="009B47F8">
      <w:pPr>
        <w:ind w:firstLine="284"/>
        <w:rPr>
          <w:color w:val="FF0000"/>
        </w:rPr>
      </w:pPr>
      <w:r>
        <w:t xml:space="preserve">4. Op de voorzitter van een statencommissie die niet tevens lid </w:t>
      </w:r>
      <w:r w:rsidR="00155B84">
        <w:t xml:space="preserve">van </w:t>
      </w:r>
      <w:r w:rsidR="00D44AF7">
        <w:t xml:space="preserve">provinciale </w:t>
      </w:r>
      <w:r w:rsidR="00155B84">
        <w:t xml:space="preserve">staten </w:t>
      </w:r>
      <w:r>
        <w:t>is, is artikel 13 van overeenkomstige toepassing.</w:t>
      </w:r>
      <w:r w:rsidR="00A84CE4">
        <w:rPr>
          <w:color w:val="FF0000"/>
        </w:rPr>
        <w:t xml:space="preserve"> </w:t>
      </w:r>
    </w:p>
    <w:p w:rsidR="00A84CE4" w:rsidP="002A54C2" w:rsidRDefault="00A84CE4"/>
    <w:p w:rsidRPr="002A54C2" w:rsidR="009B47F8" w:rsidP="002A54C2" w:rsidRDefault="009B47F8"/>
    <w:p w:rsidRPr="00BD3769" w:rsidR="002A54C2" w:rsidP="002A54C2" w:rsidRDefault="00BD3769">
      <w:pPr>
        <w:rPr>
          <w:b/>
        </w:rPr>
      </w:pPr>
      <w:r>
        <w:rPr>
          <w:b/>
        </w:rPr>
        <w:t>ARTIKEL III</w:t>
      </w:r>
    </w:p>
    <w:p w:rsidR="00BD3769" w:rsidP="002A54C2" w:rsidRDefault="00BD3769"/>
    <w:p w:rsidR="009B47F8" w:rsidP="000F5BBA" w:rsidRDefault="009B47F8">
      <w:pPr>
        <w:ind w:firstLine="284"/>
      </w:pPr>
      <w:r>
        <w:t>A</w:t>
      </w:r>
      <w:r w:rsidR="00BD3769">
        <w:t>rtikel 117</w:t>
      </w:r>
      <w:r>
        <w:t>, vierde lid,</w:t>
      </w:r>
      <w:r w:rsidR="00BD3769">
        <w:t xml:space="preserve"> van de Wet openbare lichamen Bonaire, Sint Eustatius en Saba </w:t>
      </w:r>
      <w:r>
        <w:t xml:space="preserve">komt te luiden: </w:t>
      </w:r>
    </w:p>
    <w:p w:rsidRPr="00A84CE4" w:rsidR="00A84CE4" w:rsidP="000F5BBA" w:rsidRDefault="009B47F8">
      <w:pPr>
        <w:ind w:firstLine="284"/>
        <w:rPr>
          <w:color w:val="FF0000"/>
        </w:rPr>
      </w:pPr>
      <w:r>
        <w:t xml:space="preserve">4. Op de voorzitter van een eilandsraadscommissie die niet tevens lid </w:t>
      </w:r>
      <w:r w:rsidR="00155B84">
        <w:t xml:space="preserve">van de eilandsraad </w:t>
      </w:r>
      <w:r>
        <w:t>is, is artikel 14 van overeenkomstige toepassing.</w:t>
      </w:r>
    </w:p>
    <w:p w:rsidR="00A84CE4" w:rsidP="002A54C2" w:rsidRDefault="00A84CE4"/>
    <w:p w:rsidR="009B47F8" w:rsidP="002A54C2" w:rsidRDefault="009B47F8"/>
    <w:p w:rsidRPr="002A54C2" w:rsidR="002A54C2" w:rsidP="002A54C2" w:rsidRDefault="002A54C2">
      <w:pPr>
        <w:rPr>
          <w:b/>
        </w:rPr>
      </w:pPr>
      <w:r w:rsidRPr="002A54C2">
        <w:rPr>
          <w:b/>
        </w:rPr>
        <w:t xml:space="preserve">ARTIKEL </w:t>
      </w:r>
      <w:r w:rsidR="00BD3769">
        <w:rPr>
          <w:b/>
        </w:rPr>
        <w:t xml:space="preserve">IV </w:t>
      </w:r>
    </w:p>
    <w:p w:rsidRPr="002A54C2" w:rsidR="002A54C2" w:rsidP="002A54C2" w:rsidRDefault="002A54C2"/>
    <w:p w:rsidRPr="002A54C2" w:rsidR="002A54C2" w:rsidP="002A54C2" w:rsidRDefault="002A54C2">
      <w:pPr>
        <w:ind w:firstLine="284"/>
      </w:pPr>
      <w:r w:rsidRPr="002A54C2">
        <w:t>Deze wet treedt in werking op een bij koninklijk besluit te bepalen tijdstip.</w:t>
      </w:r>
      <w:r w:rsidRPr="002A54C2">
        <w:fldChar w:fldCharType="begin"/>
      </w:r>
      <w:r w:rsidRPr="002A54C2">
        <w:instrText xml:space="preserve"> =  \* MERGEFORMAT </w:instrText>
      </w:r>
      <w:r w:rsidRPr="002A54C2">
        <w:fldChar w:fldCharType="end"/>
      </w:r>
    </w:p>
    <w:p w:rsidRPr="002A54C2" w:rsidR="002A54C2" w:rsidP="002A54C2" w:rsidRDefault="002A54C2"/>
    <w:p w:rsidRPr="002A54C2" w:rsidR="002A54C2" w:rsidP="002A54C2" w:rsidRDefault="002A54C2"/>
    <w:p w:rsidRPr="002A54C2" w:rsidR="002A54C2" w:rsidP="000F5BBA" w:rsidRDefault="002A54C2">
      <w:pPr>
        <w:ind w:firstLine="284"/>
      </w:pPr>
      <w:r w:rsidRPr="002A54C2">
        <w:t>Lasten en bevelen dat deze in het Staatsblad zal worden geplaatst en dat alle ministeries, autoriteiten, colleges en ambtenaren die zulks aangaat, aan de nauwkeurige uitvoering de hand zullen houden.</w:t>
      </w:r>
    </w:p>
    <w:p w:rsidRPr="002A54C2" w:rsidR="002A54C2" w:rsidP="002A54C2" w:rsidRDefault="002A54C2"/>
    <w:p w:rsidRPr="002A54C2" w:rsidR="002A54C2" w:rsidP="002A54C2" w:rsidRDefault="002A54C2">
      <w:r w:rsidRPr="002A54C2">
        <w:t>Gegeven</w:t>
      </w:r>
    </w:p>
    <w:p w:rsidR="002A54C2" w:rsidP="002A54C2" w:rsidRDefault="002A54C2"/>
    <w:p w:rsidR="009B47F8" w:rsidP="002A54C2" w:rsidRDefault="009B47F8"/>
    <w:p w:rsidRPr="002A54C2" w:rsidR="009B47F8" w:rsidP="002A54C2" w:rsidRDefault="009B47F8"/>
    <w:p w:rsidR="002A54C2" w:rsidP="002A54C2" w:rsidRDefault="002A54C2"/>
    <w:p w:rsidR="009B47F8" w:rsidP="002A54C2" w:rsidRDefault="009B47F8"/>
    <w:p w:rsidR="009B47F8" w:rsidP="002A54C2" w:rsidRDefault="009B47F8"/>
    <w:p w:rsidR="009B47F8" w:rsidP="002A54C2" w:rsidRDefault="009B47F8"/>
    <w:p w:rsidR="009B47F8" w:rsidP="002A54C2" w:rsidRDefault="009B47F8"/>
    <w:p w:rsidR="009B47F8" w:rsidP="002A54C2" w:rsidRDefault="009B47F8"/>
    <w:p w:rsidR="002A54C2" w:rsidP="002A54C2" w:rsidRDefault="002A54C2">
      <w:r w:rsidRPr="002A54C2">
        <w:t>De Minister van Binnenlandse Zaken en Koninkrijksrelaties,</w:t>
      </w:r>
    </w:p>
    <w:p w:rsidR="00F92EA5" w:rsidP="00F92EA5" w:rsidRDefault="00F92EA5"/>
    <w:p w:rsidR="00F92EA5" w:rsidP="00F92EA5" w:rsidRDefault="00F92EA5"/>
    <w:p w:rsidRPr="002A54C2" w:rsidR="00F92EA5" w:rsidP="00F92EA5" w:rsidRDefault="00F92EA5"/>
    <w:p w:rsidR="00F92EA5" w:rsidP="00F92EA5" w:rsidRDefault="00F92EA5"/>
    <w:p w:rsidR="00F92EA5" w:rsidP="00F92EA5" w:rsidRDefault="00F92EA5"/>
    <w:p w:rsidR="00F92EA5" w:rsidP="00F92EA5" w:rsidRDefault="00F92EA5"/>
    <w:p w:rsidR="00F92EA5" w:rsidP="00F92EA5" w:rsidRDefault="00F92EA5"/>
    <w:p w:rsidR="00F92EA5" w:rsidP="00F92EA5" w:rsidRDefault="00F92EA5"/>
    <w:p w:rsidR="00F92EA5" w:rsidP="00F92EA5" w:rsidRDefault="00F92EA5"/>
    <w:p w:rsidRPr="002A54C2" w:rsidR="00F92EA5" w:rsidP="00F92EA5" w:rsidRDefault="00F92EA5">
      <w:r w:rsidRPr="002A54C2">
        <w:t>De Minister van Binnenlandse Zaken en Koninkrijksrelaties,</w:t>
      </w:r>
    </w:p>
    <w:p w:rsidRPr="002A54C2" w:rsidR="00F92EA5" w:rsidP="002A54C2" w:rsidRDefault="00F92EA5"/>
    <w:p w:rsidRPr="00F12956" w:rsidR="007A67D1" w:rsidP="0090751B" w:rsidRDefault="007A67D1">
      <w:pPr>
        <w:rPr>
          <w:rFonts w:asciiTheme="minorHAnsi" w:hAnsiTheme="minorHAnsi"/>
          <w:b/>
          <w:color w:val="000000" w:themeColor="text1"/>
        </w:rPr>
      </w:pPr>
    </w:p>
    <w:p w:rsidR="009B7C90" w:rsidP="0090751B" w:rsidRDefault="009B7C90">
      <w:pPr>
        <w:rPr>
          <w:rFonts w:asciiTheme="minorHAnsi" w:hAnsiTheme="minorHAnsi"/>
        </w:rPr>
      </w:pPr>
    </w:p>
    <w:sectPr w:rsidR="009B7C9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096" w:rsidRDefault="00ED0096" w:rsidP="003F3BB0">
      <w:r>
        <w:separator/>
      </w:r>
    </w:p>
  </w:endnote>
  <w:endnote w:type="continuationSeparator" w:id="0">
    <w:p w:rsidR="00ED0096" w:rsidRDefault="00ED0096" w:rsidP="003F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096" w:rsidRDefault="00ED0096" w:rsidP="003F3BB0">
      <w:r>
        <w:separator/>
      </w:r>
    </w:p>
  </w:footnote>
  <w:footnote w:type="continuationSeparator" w:id="0">
    <w:p w:rsidR="00ED0096" w:rsidRDefault="00ED0096" w:rsidP="003F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4A0F"/>
    <w:multiLevelType w:val="hybridMultilevel"/>
    <w:tmpl w:val="6C5EB3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15"/>
    <w:rsid w:val="00047833"/>
    <w:rsid w:val="00050E4A"/>
    <w:rsid w:val="000562CD"/>
    <w:rsid w:val="0007022E"/>
    <w:rsid w:val="000703A9"/>
    <w:rsid w:val="000C1303"/>
    <w:rsid w:val="000D668E"/>
    <w:rsid w:val="000F5BBA"/>
    <w:rsid w:val="0012006F"/>
    <w:rsid w:val="00130AA2"/>
    <w:rsid w:val="001445BE"/>
    <w:rsid w:val="00155B84"/>
    <w:rsid w:val="00171333"/>
    <w:rsid w:val="00176BCB"/>
    <w:rsid w:val="001B2852"/>
    <w:rsid w:val="001E7E80"/>
    <w:rsid w:val="00202DBA"/>
    <w:rsid w:val="00207756"/>
    <w:rsid w:val="00214F06"/>
    <w:rsid w:val="00222DCC"/>
    <w:rsid w:val="00234F2D"/>
    <w:rsid w:val="002A54C2"/>
    <w:rsid w:val="002D33B3"/>
    <w:rsid w:val="002E2890"/>
    <w:rsid w:val="00314138"/>
    <w:rsid w:val="0032004C"/>
    <w:rsid w:val="003250C0"/>
    <w:rsid w:val="00373377"/>
    <w:rsid w:val="003C2250"/>
    <w:rsid w:val="003C78DC"/>
    <w:rsid w:val="003F3BB0"/>
    <w:rsid w:val="003F7E0B"/>
    <w:rsid w:val="00420001"/>
    <w:rsid w:val="00433D6E"/>
    <w:rsid w:val="00436AA2"/>
    <w:rsid w:val="00477312"/>
    <w:rsid w:val="0051350F"/>
    <w:rsid w:val="00540C66"/>
    <w:rsid w:val="005577B6"/>
    <w:rsid w:val="00613034"/>
    <w:rsid w:val="006369FA"/>
    <w:rsid w:val="006C2093"/>
    <w:rsid w:val="006C4907"/>
    <w:rsid w:val="006D2BC4"/>
    <w:rsid w:val="006E1BF5"/>
    <w:rsid w:val="006E5204"/>
    <w:rsid w:val="006E5E1E"/>
    <w:rsid w:val="007238D8"/>
    <w:rsid w:val="00745E32"/>
    <w:rsid w:val="00750708"/>
    <w:rsid w:val="00782BF2"/>
    <w:rsid w:val="007A67D1"/>
    <w:rsid w:val="007D00A9"/>
    <w:rsid w:val="007D3CA7"/>
    <w:rsid w:val="007F74FE"/>
    <w:rsid w:val="0085307C"/>
    <w:rsid w:val="008A5715"/>
    <w:rsid w:val="008F3EEC"/>
    <w:rsid w:val="0090751B"/>
    <w:rsid w:val="00916481"/>
    <w:rsid w:val="0092685F"/>
    <w:rsid w:val="009348D2"/>
    <w:rsid w:val="00995BCA"/>
    <w:rsid w:val="009B47B9"/>
    <w:rsid w:val="009B47F8"/>
    <w:rsid w:val="009B7C90"/>
    <w:rsid w:val="00A42879"/>
    <w:rsid w:val="00A6498E"/>
    <w:rsid w:val="00A72EDD"/>
    <w:rsid w:val="00A84CE4"/>
    <w:rsid w:val="00AE06D3"/>
    <w:rsid w:val="00B00E37"/>
    <w:rsid w:val="00BD3769"/>
    <w:rsid w:val="00C06F53"/>
    <w:rsid w:val="00C21F37"/>
    <w:rsid w:val="00C63ECF"/>
    <w:rsid w:val="00C90F0A"/>
    <w:rsid w:val="00C96764"/>
    <w:rsid w:val="00CA4268"/>
    <w:rsid w:val="00CB1BA9"/>
    <w:rsid w:val="00CC5E7B"/>
    <w:rsid w:val="00CE6B07"/>
    <w:rsid w:val="00D44AF7"/>
    <w:rsid w:val="00D67BF8"/>
    <w:rsid w:val="00D85A8A"/>
    <w:rsid w:val="00D978A3"/>
    <w:rsid w:val="00DB6477"/>
    <w:rsid w:val="00E27049"/>
    <w:rsid w:val="00EA1BA3"/>
    <w:rsid w:val="00ED0096"/>
    <w:rsid w:val="00ED7681"/>
    <w:rsid w:val="00F12956"/>
    <w:rsid w:val="00F147FD"/>
    <w:rsid w:val="00F36292"/>
    <w:rsid w:val="00F84196"/>
    <w:rsid w:val="00F9055C"/>
    <w:rsid w:val="00F92EA5"/>
    <w:rsid w:val="00F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FADA3"/>
  <w15:docId w15:val="{806FA3EB-640D-4C31-B680-2A9CD3E3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3F3BB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3F3BB0"/>
  </w:style>
  <w:style w:type="character" w:styleId="Voetnootmarkering">
    <w:name w:val="footnote reference"/>
    <w:basedOn w:val="Standaardalinea-lettertype"/>
    <w:rsid w:val="003F3BB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50E4A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FC08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379</ap:Words>
  <ap:Characters>2189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2019-11-28T09:58:00.0000000Z</lastPrinted>
  <dcterms:created xsi:type="dcterms:W3CDTF">2020-11-04T11:46:00.0000000Z</dcterms:created>
  <dcterms:modified xsi:type="dcterms:W3CDTF">2020-11-04T11:46:00.0000000Z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0x010100544DFA3D8A132D49A27B77FF277911AF</vt:lpwstr>
  </property>
</Properties>
</file>