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65A" w:rsidP="003F365A" w:rsidRDefault="003F365A">
      <w:pPr>
        <w:spacing w:before="100" w:beforeAutospacing="1" w:after="100" w:afterAutospacing="1"/>
        <w:rPr>
          <w:rFonts w:eastAsia="Times New Roman"/>
        </w:rPr>
      </w:pPr>
      <w:r>
        <w:rPr>
          <w:rFonts w:eastAsia="Times New Roman"/>
        </w:rPr>
        <w:t xml:space="preserve">Inbreng Jan Tamerus in RTG Uitwerking Pensioenakkoord </w:t>
      </w:r>
      <w:proofErr w:type="spellStart"/>
      <w:r>
        <w:rPr>
          <w:rFonts w:eastAsia="Times New Roman"/>
        </w:rPr>
        <w:t>dd</w:t>
      </w:r>
      <w:proofErr w:type="spellEnd"/>
      <w:r>
        <w:rPr>
          <w:rFonts w:eastAsia="Times New Roman"/>
        </w:rPr>
        <w:t xml:space="preserve"> 4 november 2020</w:t>
      </w:r>
    </w:p>
    <w:p w:rsidR="00A81317" w:rsidP="00A81317" w:rsidRDefault="00A81317">
      <w:pPr>
        <w:rPr>
          <w:rFonts w:eastAsia="Times New Roman"/>
        </w:rPr>
      </w:pPr>
      <w:r>
        <w:rPr>
          <w:rFonts w:eastAsia="Times New Roman"/>
        </w:rPr>
        <w:t>Motto</w:t>
      </w:r>
    </w:p>
    <w:p w:rsidRPr="00191FAC" w:rsidR="00A81317" w:rsidP="00A81317" w:rsidRDefault="00757EC1">
      <w:pPr>
        <w:rPr>
          <w:rFonts w:eastAsia="Times New Roman"/>
          <w:b/>
        </w:rPr>
      </w:pPr>
      <w:r w:rsidRPr="00191FAC">
        <w:rPr>
          <w:rFonts w:eastAsia="Times New Roman"/>
          <w:b/>
        </w:rPr>
        <w:t>Vergroot draagvlak en rust door het geven van duidelijkheid en ruimte</w:t>
      </w:r>
      <w:r w:rsidRPr="00191FAC" w:rsidR="002215A4">
        <w:rPr>
          <w:rFonts w:eastAsia="Times New Roman"/>
          <w:b/>
        </w:rPr>
        <w:t>!</w:t>
      </w:r>
    </w:p>
    <w:p w:rsidR="00A81317" w:rsidP="00A81317" w:rsidRDefault="00A81317">
      <w:pPr>
        <w:rPr>
          <w:rFonts w:eastAsia="Times New Roman"/>
        </w:rPr>
      </w:pPr>
    </w:p>
    <w:p w:rsidRPr="008F30EE" w:rsidR="00757EC1" w:rsidP="00757EC1" w:rsidRDefault="00757EC1">
      <w:pPr>
        <w:ind w:right="525"/>
        <w:rPr>
          <w:rFonts w:eastAsia="Times New Roman" w:cstheme="minorHAnsi"/>
          <w:color w:val="202124"/>
          <w:u w:val="single"/>
        </w:rPr>
      </w:pPr>
      <w:r w:rsidRPr="00DE35A0">
        <w:rPr>
          <w:rFonts w:eastAsia="Times New Roman" w:cstheme="minorHAnsi"/>
          <w:color w:val="202124"/>
          <w:u w:val="single"/>
        </w:rPr>
        <w:t>Blij met de uitwerking van het pensioenakkoord</w:t>
      </w:r>
      <w:r>
        <w:rPr>
          <w:rFonts w:eastAsia="Times New Roman" w:cstheme="minorHAnsi"/>
          <w:color w:val="202124"/>
          <w:u w:val="single"/>
        </w:rPr>
        <w:t>,………</w:t>
      </w:r>
    </w:p>
    <w:p w:rsidR="00757EC1" w:rsidP="00757EC1" w:rsidRDefault="00757EC1">
      <w:pPr>
        <w:pStyle w:val="Geenafstand"/>
      </w:pPr>
      <w:r>
        <w:t xml:space="preserve">Ik ben blij met het feit dat sociale partners met het kabinet tot een uitwerking zijn gekomen van het pensioenakkoord. Blij </w:t>
      </w:r>
      <w:r w:rsidR="00834501">
        <w:t xml:space="preserve">dat </w:t>
      </w:r>
      <w:r>
        <w:t>de nominale garantie wordt ingeruild voor een reële ambitie. Daardoor kunnen we – eindelijk! - de doodlopende weg van marktwaardering van pensioenverplichtingen verlaten. Doodlopend omdat we daarmee onze pensioenen tot speelbal hebben laten worden van de marktrente.</w:t>
      </w:r>
      <w:r w:rsidR="00FF614B">
        <w:t xml:space="preserve"> En we nu al jaren zeggen dat de </w:t>
      </w:r>
      <w:r w:rsidR="00B92272">
        <w:t>financiële</w:t>
      </w:r>
      <w:r w:rsidR="00FF614B">
        <w:t xml:space="preserve"> positie van onze pensioenfondsen slecht is, dat we daarom de pensioenen niet kunnen indexeren en mogelijk zelfs moeten korten. Het gaat onder de huidige omstandigheden helemaal niet slecht met onze pensioenfondsen. Een dekkingsgraad tussen de 85 en 90% bij een rekenrente van 0,25% (PFZW 20 okt), dat is gewoon een prima prestatie.</w:t>
      </w:r>
    </w:p>
    <w:p w:rsidR="00757EC1" w:rsidP="00757EC1" w:rsidRDefault="00757EC1">
      <w:pPr>
        <w:pStyle w:val="Geenafstand"/>
      </w:pPr>
    </w:p>
    <w:p w:rsidR="00757EC1" w:rsidP="00757EC1" w:rsidRDefault="00757EC1">
      <w:pPr>
        <w:pStyle w:val="Geenafstand"/>
      </w:pPr>
      <w:r>
        <w:t>We slaan een nieuwe weg in. Een weg waarin geen aanspraken meer worden toegezegd, waardoor we niet meer hoeven te waarderen tegen de marktrente. Een weg waarin de sterke punten collectiviteit, solidariteit en verplichtstelling daadwerkelijk worden</w:t>
      </w:r>
      <w:r w:rsidR="00834501">
        <w:t xml:space="preserve">  behouden</w:t>
      </w:r>
      <w:r>
        <w:t>. Een weg ook waarin de 31-12 zekerheid plaats maakt voor een continuïteitsdoelstelling en een beleggingsbeleid waarin het financiële rendement hand in hand kan gaan met het behalen van maatschappelijk rendement.</w:t>
      </w:r>
    </w:p>
    <w:p w:rsidR="00757EC1" w:rsidP="00757EC1" w:rsidRDefault="00757EC1">
      <w:pPr>
        <w:pStyle w:val="Geenafstand"/>
      </w:pPr>
    </w:p>
    <w:p w:rsidRPr="00EC0BC1" w:rsidR="00757EC1" w:rsidP="00757EC1" w:rsidRDefault="00757EC1">
      <w:pPr>
        <w:pStyle w:val="Geenafstand"/>
        <w:rPr>
          <w:u w:val="single"/>
        </w:rPr>
      </w:pPr>
      <w:r w:rsidRPr="00EC0BC1">
        <w:rPr>
          <w:u w:val="single"/>
        </w:rPr>
        <w:t xml:space="preserve">……… maar wel zorgen </w:t>
      </w:r>
      <w:r w:rsidR="00507F46">
        <w:rPr>
          <w:u w:val="single"/>
        </w:rPr>
        <w:t>over</w:t>
      </w:r>
      <w:r w:rsidRPr="00EC0BC1">
        <w:rPr>
          <w:u w:val="single"/>
        </w:rPr>
        <w:t xml:space="preserve"> het draagvlak</w:t>
      </w:r>
    </w:p>
    <w:p w:rsidR="00757EC1" w:rsidP="00757EC1" w:rsidRDefault="00757EC1">
      <w:pPr>
        <w:pStyle w:val="Geenafstand"/>
      </w:pPr>
      <w:r>
        <w:t xml:space="preserve">Dat betekent niet dat ik geen zorgen heb en geen verbeterpunten zie; punten om </w:t>
      </w:r>
      <w:r w:rsidR="00834501">
        <w:t>het draagvlak zo groot mogelijk te maken</w:t>
      </w:r>
      <w:r>
        <w:t>. Voor dat laatste is vooral ook nodig dat er snel duidelijkheid komt over de overgangsperiode en de transitie. Daartoe zou de Kamer de Minister kunnen aanmoedigen om decentrale partijen (cao-tafel(s) en hun pensioenfondsen) ruimte te geven voor maatwerk om het stelsel, de overgangsperiode en de transitie zodanig in te richten dat het hun deelnemers het beste dient.</w:t>
      </w:r>
      <w:r w:rsidRPr="00B331FE">
        <w:t xml:space="preserve"> </w:t>
      </w:r>
      <w:r w:rsidRPr="004769BF">
        <w:rPr>
          <w:i/>
        </w:rPr>
        <w:t xml:space="preserve">Heb de moed om in deze tijd van ongekende </w:t>
      </w:r>
      <w:proofErr w:type="spellStart"/>
      <w:r w:rsidRPr="004769BF">
        <w:rPr>
          <w:i/>
        </w:rPr>
        <w:t>disruptie</w:t>
      </w:r>
      <w:proofErr w:type="spellEnd"/>
      <w:r w:rsidRPr="004769BF">
        <w:rPr>
          <w:i/>
        </w:rPr>
        <w:t xml:space="preserve"> en radicale onzekerheid juist zo min mogelijk dicht te regelen; om te voorkomen dat onverwachte omstandigheden tot ongewenste en onbillijke uitkomsten leiden</w:t>
      </w:r>
      <w:r>
        <w:t>.</w:t>
      </w:r>
    </w:p>
    <w:p w:rsidRPr="008F17CA" w:rsidR="00757EC1" w:rsidP="00757EC1" w:rsidRDefault="00757EC1">
      <w:pPr>
        <w:pStyle w:val="Geenafstand"/>
      </w:pPr>
    </w:p>
    <w:p w:rsidR="003F365A" w:rsidP="00507F46" w:rsidRDefault="00191FAC">
      <w:pPr>
        <w:rPr>
          <w:rFonts w:eastAsia="Times New Roman"/>
        </w:rPr>
      </w:pPr>
      <w:r>
        <w:rPr>
          <w:rFonts w:eastAsia="Times New Roman"/>
        </w:rPr>
        <w:t xml:space="preserve">Ik noem </w:t>
      </w:r>
      <w:r w:rsidR="00B92272">
        <w:rPr>
          <w:rFonts w:eastAsia="Times New Roman"/>
        </w:rPr>
        <w:t>vier</w:t>
      </w:r>
      <w:r w:rsidR="006254AD">
        <w:rPr>
          <w:rFonts w:eastAsia="Times New Roman"/>
        </w:rPr>
        <w:t xml:space="preserve"> </w:t>
      </w:r>
      <w:r w:rsidR="004769BF">
        <w:rPr>
          <w:rFonts w:eastAsia="Times New Roman"/>
        </w:rPr>
        <w:t xml:space="preserve">punten </w:t>
      </w:r>
      <w:r w:rsidR="006254AD">
        <w:rPr>
          <w:rFonts w:eastAsia="Times New Roman"/>
        </w:rPr>
        <w:t>die het draagvlak voor de invoering kunnen vergroten</w:t>
      </w:r>
      <w:r w:rsidR="003F365A">
        <w:rPr>
          <w:rFonts w:eastAsia="Times New Roman"/>
        </w:rPr>
        <w:t>.</w:t>
      </w:r>
    </w:p>
    <w:p w:rsidR="00507F46" w:rsidP="00507F46" w:rsidRDefault="00507F46">
      <w:pPr>
        <w:rPr>
          <w:rFonts w:eastAsia="Times New Roman"/>
        </w:rPr>
      </w:pPr>
      <w:r>
        <w:rPr>
          <w:rFonts w:eastAsia="Times New Roman"/>
        </w:rPr>
        <w:t>In een bijlage ga ik nader op elk van de punten in en laat ik zien wat we kunnen winnen met deze punten.</w:t>
      </w:r>
    </w:p>
    <w:p w:rsidR="00174A79" w:rsidP="00507F46" w:rsidRDefault="00174A79">
      <w:pPr>
        <w:rPr>
          <w:rFonts w:eastAsia="Times New Roman"/>
        </w:rPr>
      </w:pPr>
    </w:p>
    <w:p w:rsidRPr="00E95E43" w:rsidR="003F365A" w:rsidP="00E95E43" w:rsidRDefault="003F365A">
      <w:pPr>
        <w:pStyle w:val="Lijstalinea"/>
        <w:numPr>
          <w:ilvl w:val="0"/>
          <w:numId w:val="16"/>
        </w:numPr>
        <w:rPr>
          <w:rFonts w:eastAsia="Times New Roman"/>
          <w:i/>
        </w:rPr>
      </w:pPr>
      <w:r w:rsidRPr="00E95E43">
        <w:rPr>
          <w:rFonts w:eastAsia="Times New Roman"/>
          <w:i/>
        </w:rPr>
        <w:t>Wees eerlijk over het loslaten van de zekerheid, ook over het verleden en r</w:t>
      </w:r>
      <w:r w:rsidRPr="00E95E43" w:rsidR="00507F46">
        <w:rPr>
          <w:rFonts w:eastAsia="Times New Roman"/>
          <w:i/>
        </w:rPr>
        <w:t xml:space="preserve">icht </w:t>
      </w:r>
      <w:r w:rsidRPr="00E95E43">
        <w:rPr>
          <w:rFonts w:eastAsia="Times New Roman"/>
          <w:i/>
        </w:rPr>
        <w:t xml:space="preserve">een </w:t>
      </w:r>
      <w:r w:rsidRPr="00E95E43" w:rsidR="00507F46">
        <w:rPr>
          <w:rFonts w:eastAsia="Times New Roman"/>
          <w:i/>
        </w:rPr>
        <w:t>overgangsregime in</w:t>
      </w:r>
      <w:r w:rsidRPr="00E95E43" w:rsidR="000E301F">
        <w:rPr>
          <w:rFonts w:eastAsia="Times New Roman"/>
          <w:i/>
        </w:rPr>
        <w:t>,</w:t>
      </w:r>
      <w:r w:rsidRPr="00E95E43" w:rsidR="00507F46">
        <w:rPr>
          <w:rFonts w:eastAsia="Times New Roman"/>
          <w:i/>
        </w:rPr>
        <w:t xml:space="preserve"> zoveel mogelijk anticiperend op de regelgeving in de nieuwe pensioencontracten. </w:t>
      </w:r>
    </w:p>
    <w:p w:rsidR="003F365A" w:rsidP="000E301F" w:rsidRDefault="003F365A">
      <w:pPr>
        <w:rPr>
          <w:rFonts w:eastAsia="Times New Roman"/>
        </w:rPr>
      </w:pPr>
    </w:p>
    <w:p w:rsidR="000E301F" w:rsidP="000E301F" w:rsidRDefault="00507F46">
      <w:pPr>
        <w:rPr>
          <w:rFonts w:eastAsia="Times New Roman"/>
        </w:rPr>
      </w:pPr>
      <w:r w:rsidRPr="00174A79">
        <w:rPr>
          <w:rFonts w:eastAsia="Times New Roman"/>
        </w:rPr>
        <w:t xml:space="preserve">We hebben de knoop doorgehakt, we gaan stoppen met </w:t>
      </w:r>
      <w:proofErr w:type="spellStart"/>
      <w:r w:rsidRPr="00174A79">
        <w:rPr>
          <w:rFonts w:eastAsia="Times New Roman"/>
        </w:rPr>
        <w:t>defined</w:t>
      </w:r>
      <w:proofErr w:type="spellEnd"/>
      <w:r w:rsidRPr="00174A79">
        <w:rPr>
          <w:rFonts w:eastAsia="Times New Roman"/>
        </w:rPr>
        <w:t xml:space="preserve"> benefit. Ook over het verleden, althans voor fondsen die kiezen voor invaren. Dat betekent dat we met terugwerkende kracht de zekerheid onder de aanspraken vandaan halen. En na het invaren kennen we zelfs helemaal geen aanspraken meer. </w:t>
      </w:r>
    </w:p>
    <w:p w:rsidR="003F365A" w:rsidP="000E301F" w:rsidRDefault="003F365A">
      <w:pPr>
        <w:rPr>
          <w:rFonts w:eastAsia="Times New Roman"/>
        </w:rPr>
      </w:pPr>
    </w:p>
    <w:p w:rsidR="000E301F" w:rsidP="000E301F" w:rsidRDefault="00507F46">
      <w:pPr>
        <w:rPr>
          <w:rFonts w:eastAsia="Times New Roman"/>
        </w:rPr>
      </w:pPr>
      <w:r w:rsidRPr="00174A79">
        <w:rPr>
          <w:rFonts w:eastAsia="Times New Roman"/>
        </w:rPr>
        <w:t xml:space="preserve">Dat vraagt een statement. Dat statement zou als volgt kunnen luiden: wij zijn gezamenlijk tot de conclusie gekomen dat de zekerheid van </w:t>
      </w:r>
      <w:proofErr w:type="spellStart"/>
      <w:r w:rsidRPr="00174A79">
        <w:rPr>
          <w:rFonts w:eastAsia="Times New Roman"/>
        </w:rPr>
        <w:t>defined</w:t>
      </w:r>
      <w:proofErr w:type="spellEnd"/>
      <w:r w:rsidRPr="00174A79">
        <w:rPr>
          <w:rFonts w:eastAsia="Times New Roman"/>
        </w:rPr>
        <w:t xml:space="preserve"> benefit niet langer is vol te houden. De aanhoudend lage rente maakt deze zekerheid prohibitief duur en leidt tot een langjarig niet geïndexeerd pensioen. Dat is niet wat wij beogen met het arbeidspensioen. De statement </w:t>
      </w:r>
      <w:r w:rsidRPr="00174A79">
        <w:rPr>
          <w:rFonts w:eastAsia="Times New Roman"/>
        </w:rPr>
        <w:lastRenderedPageBreak/>
        <w:t>wordt onderschreven door de Minister, DNB en door alle fondsen en hun cao-tafel(s) die kiezen voor het overgangsregime.</w:t>
      </w:r>
    </w:p>
    <w:p w:rsidR="003F365A" w:rsidP="000E301F" w:rsidRDefault="003F365A">
      <w:pPr>
        <w:rPr>
          <w:rFonts w:eastAsia="Times New Roman"/>
        </w:rPr>
      </w:pPr>
    </w:p>
    <w:p w:rsidR="003F365A" w:rsidP="000E301F" w:rsidRDefault="003F365A">
      <w:pPr>
        <w:rPr>
          <w:rFonts w:eastAsia="Times New Roman"/>
        </w:rPr>
      </w:pPr>
      <w:r>
        <w:rPr>
          <w:rFonts w:eastAsia="Times New Roman"/>
        </w:rPr>
        <w:t xml:space="preserve">Werk in zo’n overgangsregime zoveel mogelijk vanuit de filosofie van de nieuwe contracten. In het bijzonder door voor de ‘waardering van de aanspraken’ te werken met een projectierendement en dat ook te hanteren in de transitie bij het omrekenen van de opgebouwde </w:t>
      </w:r>
      <w:proofErr w:type="spellStart"/>
      <w:r>
        <w:rPr>
          <w:rFonts w:eastAsia="Times New Roman"/>
        </w:rPr>
        <w:t>defined</w:t>
      </w:r>
      <w:proofErr w:type="spellEnd"/>
      <w:r>
        <w:rPr>
          <w:rFonts w:eastAsia="Times New Roman"/>
        </w:rPr>
        <w:t xml:space="preserve"> benefit aanspraken naar vermogen. De aanspraken worden daarbij niet aangetast, alleen de waarde verandert.</w:t>
      </w:r>
      <w:r w:rsidR="004769BF">
        <w:rPr>
          <w:rFonts w:eastAsia="Times New Roman"/>
        </w:rPr>
        <w:t xml:space="preserve"> </w:t>
      </w:r>
    </w:p>
    <w:p w:rsidR="00174A79" w:rsidP="000E301F" w:rsidRDefault="00174A79">
      <w:pPr>
        <w:rPr>
          <w:rFonts w:eastAsia="Times New Roman"/>
        </w:rPr>
      </w:pPr>
    </w:p>
    <w:p w:rsidRPr="00E95E43" w:rsidR="0055775F" w:rsidP="00E95E43" w:rsidRDefault="006254AD">
      <w:pPr>
        <w:pStyle w:val="Lijstalinea"/>
        <w:numPr>
          <w:ilvl w:val="0"/>
          <w:numId w:val="16"/>
        </w:numPr>
        <w:rPr>
          <w:rFonts w:eastAsia="Times New Roman"/>
          <w:i/>
        </w:rPr>
      </w:pPr>
      <w:r w:rsidRPr="00E95E43">
        <w:rPr>
          <w:rFonts w:eastAsia="Times New Roman"/>
          <w:i/>
        </w:rPr>
        <w:t xml:space="preserve">Geef partijen en hun fondsen die daarom vragen </w:t>
      </w:r>
      <w:r w:rsidRPr="00E95E43" w:rsidR="00E56A1F">
        <w:rPr>
          <w:rFonts w:eastAsia="Times New Roman"/>
          <w:i/>
        </w:rPr>
        <w:t xml:space="preserve">extra </w:t>
      </w:r>
      <w:r w:rsidRPr="00E95E43">
        <w:rPr>
          <w:rFonts w:eastAsia="Times New Roman"/>
          <w:i/>
        </w:rPr>
        <w:t xml:space="preserve">financiële ruimte </w:t>
      </w:r>
      <w:r w:rsidRPr="00E95E43" w:rsidR="00E56A1F">
        <w:rPr>
          <w:rFonts w:eastAsia="Times New Roman"/>
          <w:i/>
        </w:rPr>
        <w:t>i</w:t>
      </w:r>
      <w:r w:rsidRPr="00E95E43">
        <w:rPr>
          <w:rFonts w:eastAsia="Times New Roman"/>
          <w:i/>
        </w:rPr>
        <w:t>n de vorm van een overheidslening voor de compensatie voor het afschaffen van de doorsneesystematiek.</w:t>
      </w:r>
      <w:r w:rsidRPr="00E95E43" w:rsidR="00507F46">
        <w:rPr>
          <w:rFonts w:eastAsia="Times New Roman"/>
          <w:i/>
        </w:rPr>
        <w:t xml:space="preserve"> </w:t>
      </w:r>
    </w:p>
    <w:p w:rsidR="0055775F" w:rsidP="000E301F" w:rsidRDefault="0055775F">
      <w:pPr>
        <w:rPr>
          <w:rFonts w:eastAsia="Times New Roman"/>
        </w:rPr>
      </w:pPr>
    </w:p>
    <w:p w:rsidR="00174A79" w:rsidP="000E301F" w:rsidRDefault="00507F46">
      <w:pPr>
        <w:rPr>
          <w:rFonts w:eastAsia="Times New Roman"/>
        </w:rPr>
      </w:pPr>
      <w:r>
        <w:rPr>
          <w:rFonts w:eastAsia="Times New Roman"/>
        </w:rPr>
        <w:t>Laat fondsen die een lening willen in hun jaarrekening over 2020 het bedrag opnemen ter grootte van de compensatie die zij in totaal zouden moeten geven om alle deelnemers volledig te compenseren. Daarnaast vermelden zij het bedrag dat zij in evenwichtige afweging zouden willen compenseren. Dit bedrag zetten zij als ‘Nog te betalen aan deelnemers’ op de passiefzijde van hun balans. Ten slotte vermelden zij het bedrag dat zij willen lenen. Dat zetten zij op de actiefzijde van hun balans</w:t>
      </w:r>
      <w:r w:rsidR="00174A79">
        <w:rPr>
          <w:rFonts w:eastAsia="Times New Roman"/>
        </w:rPr>
        <w:t>.</w:t>
      </w:r>
    </w:p>
    <w:p w:rsidR="00174A79" w:rsidP="000E301F" w:rsidRDefault="00174A79">
      <w:pPr>
        <w:rPr>
          <w:rFonts w:eastAsia="Times New Roman"/>
        </w:rPr>
      </w:pPr>
    </w:p>
    <w:p w:rsidRPr="00E95E43" w:rsidR="00174A79" w:rsidP="00E95E43" w:rsidRDefault="006254AD">
      <w:pPr>
        <w:pStyle w:val="Lijstalinea"/>
        <w:numPr>
          <w:ilvl w:val="0"/>
          <w:numId w:val="16"/>
        </w:numPr>
        <w:rPr>
          <w:rFonts w:eastAsia="Times New Roman"/>
          <w:i/>
        </w:rPr>
      </w:pPr>
      <w:r w:rsidRPr="00E95E43">
        <w:rPr>
          <w:rFonts w:eastAsia="Times New Roman"/>
          <w:i/>
        </w:rPr>
        <w:t>Geef partijen en hun fondsen de ruimte om het beleggingsbeleid incl</w:t>
      </w:r>
      <w:r w:rsidRPr="00E95E43" w:rsidR="00E56A1F">
        <w:rPr>
          <w:rFonts w:eastAsia="Times New Roman"/>
          <w:i/>
        </w:rPr>
        <w:t>usief</w:t>
      </w:r>
      <w:r w:rsidRPr="00E95E43">
        <w:rPr>
          <w:rFonts w:eastAsia="Times New Roman"/>
          <w:i/>
        </w:rPr>
        <w:t xml:space="preserve"> life </w:t>
      </w:r>
      <w:proofErr w:type="spellStart"/>
      <w:r w:rsidRPr="00E95E43">
        <w:rPr>
          <w:rFonts w:eastAsia="Times New Roman"/>
          <w:i/>
        </w:rPr>
        <w:t>cycle</w:t>
      </w:r>
      <w:proofErr w:type="spellEnd"/>
      <w:r w:rsidRPr="00E95E43">
        <w:rPr>
          <w:rFonts w:eastAsia="Times New Roman"/>
          <w:i/>
        </w:rPr>
        <w:t xml:space="preserve"> toedeling van rendementen, de regels voor de omvang en vullen </w:t>
      </w:r>
      <w:proofErr w:type="spellStart"/>
      <w:r w:rsidRPr="00E95E43">
        <w:rPr>
          <w:rFonts w:eastAsia="Times New Roman"/>
          <w:i/>
        </w:rPr>
        <w:t>cq</w:t>
      </w:r>
      <w:proofErr w:type="spellEnd"/>
      <w:r w:rsidRPr="00E95E43">
        <w:rPr>
          <w:rFonts w:eastAsia="Times New Roman"/>
          <w:i/>
        </w:rPr>
        <w:t xml:space="preserve"> onttrekken van de solidariteitsreserve en de spreidingsperiode van schokken in samenhang in te vullen. Geef partijen en hun fondsen daarbij ook de ruimte om in het bijzonder keuzes te maken in wat zij willen beschermen in het beschermingsrendement.</w:t>
      </w:r>
      <w:r w:rsidRPr="00E95E43" w:rsidR="00507F46">
        <w:rPr>
          <w:rFonts w:eastAsia="Times New Roman"/>
          <w:i/>
        </w:rPr>
        <w:t xml:space="preserve"> </w:t>
      </w:r>
    </w:p>
    <w:p w:rsidR="00174A79" w:rsidP="000E301F" w:rsidRDefault="00174A79">
      <w:pPr>
        <w:rPr>
          <w:rFonts w:eastAsia="Times New Roman"/>
        </w:rPr>
      </w:pPr>
    </w:p>
    <w:p w:rsidR="00174A79" w:rsidP="000E301F" w:rsidRDefault="00507F46">
      <w:pPr>
        <w:rPr>
          <w:rFonts w:eastAsia="Times New Roman"/>
        </w:rPr>
      </w:pPr>
      <w:r>
        <w:rPr>
          <w:rFonts w:eastAsia="Times New Roman"/>
        </w:rPr>
        <w:t xml:space="preserve">We moeten snel af van de idee - en regel in het huidige toezicht - dat staatsobligaties risicovrij zijn. Doordat de rente zo extreem laag is geworden, zijn zij eerder een groot risico. </w:t>
      </w:r>
      <w:r w:rsidR="0055775F">
        <w:rPr>
          <w:rFonts w:eastAsia="Times New Roman"/>
        </w:rPr>
        <w:t xml:space="preserve">Dat betekent </w:t>
      </w:r>
      <w:r>
        <w:rPr>
          <w:rFonts w:eastAsia="Times New Roman"/>
        </w:rPr>
        <w:t>dat we niet alleen moeten stoppen met het toezeggen van aanspraken, maar dat ook het beleggingsbeleid op de schop moet. Niet de dekkingsgraad en de rente zijn het grootste risico maar een bestendig en stabiel reëel rendement.</w:t>
      </w:r>
      <w:r w:rsidRPr="000E301F" w:rsidR="000E301F">
        <w:rPr>
          <w:rFonts w:eastAsia="Times New Roman"/>
        </w:rPr>
        <w:t xml:space="preserve"> </w:t>
      </w:r>
    </w:p>
    <w:p w:rsidR="00174A79" w:rsidP="000E301F" w:rsidRDefault="00174A79">
      <w:pPr>
        <w:rPr>
          <w:rFonts w:eastAsia="Times New Roman"/>
        </w:rPr>
      </w:pPr>
    </w:p>
    <w:p w:rsidR="000E301F" w:rsidP="000E301F" w:rsidRDefault="000E301F">
      <w:pPr>
        <w:rPr>
          <w:rFonts w:eastAsia="Times New Roman"/>
        </w:rPr>
      </w:pPr>
      <w:r>
        <w:rPr>
          <w:rFonts w:eastAsia="Times New Roman"/>
        </w:rPr>
        <w:t>Dat we de solidariteit als pijler handhaven moeten we niet alleen met de mond belijden, we moeten de risicodeling en –spreiding ook echt body geven. Een solidariteitsreserve die gemiddeld in de tijd een omvang heeft van 3% van de som van de persoonlijke pensioenvermogens zoals het CPB, op basis van de regels die nu zijn opgenomen in het uitwerkingsakkoord, heeft berekend, is daartoe onvoldoende. Bedacht dient te worden dat deze solidariteitsreserve het cement is dat de persoonlijke pensioenvermogens bij elkaar moet hou</w:t>
      </w:r>
      <w:r w:rsidR="00174A79">
        <w:rPr>
          <w:rFonts w:eastAsia="Times New Roman"/>
        </w:rPr>
        <w:t>den.</w:t>
      </w:r>
      <w:r>
        <w:rPr>
          <w:rFonts w:eastAsia="Times New Roman"/>
        </w:rPr>
        <w:t xml:space="preserve">  </w:t>
      </w:r>
    </w:p>
    <w:p w:rsidR="000E301F" w:rsidP="000E301F" w:rsidRDefault="000E301F">
      <w:pPr>
        <w:rPr>
          <w:rFonts w:eastAsia="Times New Roman"/>
        </w:rPr>
      </w:pPr>
    </w:p>
    <w:p w:rsidRPr="00E95E43" w:rsidR="0055775F" w:rsidP="00E95E43" w:rsidRDefault="00B92272">
      <w:pPr>
        <w:pStyle w:val="Lijstalinea"/>
        <w:numPr>
          <w:ilvl w:val="0"/>
          <w:numId w:val="16"/>
        </w:numPr>
        <w:rPr>
          <w:rFonts w:eastAsia="Times New Roman"/>
        </w:rPr>
      </w:pPr>
      <w:r w:rsidRPr="00E95E43">
        <w:rPr>
          <w:rFonts w:eastAsia="Times New Roman"/>
          <w:i/>
        </w:rPr>
        <w:t>Overweeg om in de pensioenwet vast te leggen dat de toegezegde premie is gebaseerd op een afgesproken na te streven ambitie in termen van een vervangingsratio met koopkrachtbehoud na pensioeningang. En ook de verantwoordelijkheid van het pensioenfonds vast te leggen voor de monitoring, rapportage aan de cao-tafel en communicatie naar de deelnemers.</w:t>
      </w:r>
      <w:r w:rsidRPr="00E95E43">
        <w:rPr>
          <w:rFonts w:eastAsia="Times New Roman"/>
        </w:rPr>
        <w:t xml:space="preserve"> </w:t>
      </w:r>
    </w:p>
    <w:p w:rsidR="0055775F" w:rsidP="00174A79" w:rsidRDefault="0055775F">
      <w:pPr>
        <w:rPr>
          <w:rFonts w:eastAsia="Times New Roman"/>
        </w:rPr>
      </w:pPr>
    </w:p>
    <w:p w:rsidRPr="0055775F" w:rsidR="00B92272" w:rsidP="00174A79" w:rsidRDefault="00B92272">
      <w:pPr>
        <w:rPr>
          <w:rFonts w:eastAsia="Times New Roman"/>
          <w:i/>
        </w:rPr>
      </w:pPr>
      <w:r w:rsidRPr="00B92272">
        <w:rPr>
          <w:rFonts w:eastAsia="Times New Roman"/>
        </w:rPr>
        <w:t>Het helpt de cao-tafel bij het managen van de arbeidsvoorwaarde pensioen. Het helpt het pensioenfonds bij de eerlijke en duidelijke boodschap aan de deelnemers. En het helpt in het verwachtingsmanagement bij alle drie de partijen.</w:t>
      </w:r>
    </w:p>
    <w:p w:rsidR="00B92272" w:rsidP="006254AD" w:rsidRDefault="00B92272">
      <w:pPr>
        <w:spacing w:before="100" w:beforeAutospacing="1" w:after="100" w:afterAutospacing="1"/>
        <w:rPr>
          <w:rFonts w:eastAsia="Times New Roman"/>
        </w:rPr>
      </w:pPr>
      <w:r>
        <w:rPr>
          <w:rFonts w:eastAsia="Times New Roman"/>
        </w:rPr>
        <w:lastRenderedPageBreak/>
        <w:t xml:space="preserve">Bijlage bij Inbreng Jan Tamerus in RTG Uitwerking Pensioenakkoord </w:t>
      </w:r>
      <w:proofErr w:type="spellStart"/>
      <w:r>
        <w:rPr>
          <w:rFonts w:eastAsia="Times New Roman"/>
        </w:rPr>
        <w:t>dd</w:t>
      </w:r>
      <w:proofErr w:type="spellEnd"/>
      <w:r>
        <w:rPr>
          <w:rFonts w:eastAsia="Times New Roman"/>
        </w:rPr>
        <w:t xml:space="preserve"> 4 november 2020</w:t>
      </w:r>
    </w:p>
    <w:p w:rsidR="006254AD" w:rsidP="006254AD" w:rsidRDefault="006254AD">
      <w:pPr>
        <w:spacing w:before="100" w:beforeAutospacing="1" w:after="100" w:afterAutospacing="1"/>
        <w:rPr>
          <w:rFonts w:eastAsia="Times New Roman"/>
        </w:rPr>
      </w:pPr>
      <w:r>
        <w:rPr>
          <w:rFonts w:eastAsia="Times New Roman"/>
        </w:rPr>
        <w:t xml:space="preserve">Ad 1. </w:t>
      </w:r>
      <w:r w:rsidRPr="006A61C1">
        <w:rPr>
          <w:rFonts w:eastAsia="Times New Roman"/>
          <w:i/>
        </w:rPr>
        <w:t xml:space="preserve">Geef partijen en hun fondsen die daarvoor opteren de ruimte </w:t>
      </w:r>
      <w:r w:rsidRPr="006A61C1" w:rsidR="008904BF">
        <w:rPr>
          <w:rFonts w:eastAsia="Times New Roman"/>
          <w:i/>
        </w:rPr>
        <w:t xml:space="preserve">voor </w:t>
      </w:r>
      <w:r w:rsidRPr="006A61C1">
        <w:rPr>
          <w:rFonts w:eastAsia="Times New Roman"/>
          <w:i/>
        </w:rPr>
        <w:t>een overgangsregime voor de periode vanaf nu tot de daadwerkelijke ingang van ons nieuwe pensioenstelsel en de transitie daar naar toe.</w:t>
      </w:r>
    </w:p>
    <w:p w:rsidR="00A81317" w:rsidP="00A81317" w:rsidRDefault="00A81317">
      <w:pPr>
        <w:rPr>
          <w:rFonts w:eastAsia="Times New Roman"/>
        </w:rPr>
      </w:pPr>
      <w:r>
        <w:rPr>
          <w:rFonts w:eastAsia="Times New Roman"/>
        </w:rPr>
        <w:t xml:space="preserve">We </w:t>
      </w:r>
      <w:r w:rsidR="00D06C19">
        <w:rPr>
          <w:rFonts w:eastAsia="Times New Roman"/>
        </w:rPr>
        <w:t xml:space="preserve">hebben de knoop doorgehakt, we </w:t>
      </w:r>
      <w:r>
        <w:rPr>
          <w:rFonts w:eastAsia="Times New Roman"/>
        </w:rPr>
        <w:t xml:space="preserve">gaan stoppen met </w:t>
      </w:r>
      <w:proofErr w:type="spellStart"/>
      <w:r>
        <w:rPr>
          <w:rFonts w:eastAsia="Times New Roman"/>
        </w:rPr>
        <w:t>defined</w:t>
      </w:r>
      <w:proofErr w:type="spellEnd"/>
      <w:r>
        <w:rPr>
          <w:rFonts w:eastAsia="Times New Roman"/>
        </w:rPr>
        <w:t xml:space="preserve"> benefit. Ook over het verleden, althans voor fondsen die kiezen voor invaren. Dat betekent dat we met terugwerkende kracht de zekerheid onder de aanspraken vandaan halen. En na het invaren kennen we zelfs helemaal geen aanspraken meer.</w:t>
      </w:r>
    </w:p>
    <w:p w:rsidR="00A81317" w:rsidP="00A81317" w:rsidRDefault="00A81317">
      <w:pPr>
        <w:rPr>
          <w:rFonts w:eastAsia="Times New Roman"/>
        </w:rPr>
      </w:pPr>
    </w:p>
    <w:p w:rsidR="00A81317" w:rsidP="00A81317" w:rsidRDefault="00A81317">
      <w:pPr>
        <w:rPr>
          <w:rFonts w:eastAsia="Times New Roman"/>
        </w:rPr>
      </w:pPr>
      <w:r>
        <w:rPr>
          <w:rFonts w:eastAsia="Times New Roman"/>
        </w:rPr>
        <w:t xml:space="preserve">Dat vraagt een statement. Dat statement zou als volgt kunnen luiden: wij zijn gezamenlijk tot de conclusie gekomen dat de zekerheid van </w:t>
      </w:r>
      <w:proofErr w:type="spellStart"/>
      <w:r>
        <w:rPr>
          <w:rFonts w:eastAsia="Times New Roman"/>
        </w:rPr>
        <w:t>defined</w:t>
      </w:r>
      <w:proofErr w:type="spellEnd"/>
      <w:r>
        <w:rPr>
          <w:rFonts w:eastAsia="Times New Roman"/>
        </w:rPr>
        <w:t xml:space="preserve"> benefit niet langer is vol te houden. De aanhoudend lage rente maakt deze zekerheid prohibitief duur en leidt tot een langjarig niet geïndexeerd pensioen. Dat is niet wat wij beogen met het arbeidspensioen. De statement wordt onderschreven door </w:t>
      </w:r>
      <w:r w:rsidR="00356C36">
        <w:rPr>
          <w:rFonts w:eastAsia="Times New Roman"/>
        </w:rPr>
        <w:t xml:space="preserve">de Minister, DNB en door </w:t>
      </w:r>
      <w:r>
        <w:rPr>
          <w:rFonts w:eastAsia="Times New Roman"/>
        </w:rPr>
        <w:t>alle fondsen en hun cao-tafel(s) die kiezen voor het</w:t>
      </w:r>
      <w:r w:rsidR="00834501">
        <w:rPr>
          <w:rFonts w:eastAsia="Times New Roman"/>
        </w:rPr>
        <w:t xml:space="preserve"> overgangsregime</w:t>
      </w:r>
      <w:r>
        <w:rPr>
          <w:rFonts w:eastAsia="Times New Roman"/>
        </w:rPr>
        <w:t>. Daartoe hebben zij de tijd tot 15 maart 2021. Nb die tijd is nodig om in afstemming ook met het verantwoordingsorgaan de volgende besluiten te nemen </w:t>
      </w:r>
    </w:p>
    <w:p w:rsidR="004828A8" w:rsidP="00A81317" w:rsidRDefault="004828A8">
      <w:pPr>
        <w:rPr>
          <w:rFonts w:eastAsia="Times New Roman"/>
        </w:rPr>
      </w:pPr>
    </w:p>
    <w:p w:rsidRPr="004769BF" w:rsidR="004769BF" w:rsidP="00E95E43" w:rsidRDefault="00A81317">
      <w:pPr>
        <w:pStyle w:val="Geenafstand"/>
        <w:numPr>
          <w:ilvl w:val="0"/>
          <w:numId w:val="17"/>
        </w:numPr>
      </w:pPr>
      <w:r>
        <w:t xml:space="preserve">De </w:t>
      </w:r>
      <w:r w:rsidR="004769BF">
        <w:t xml:space="preserve">daadwerkelijke </w:t>
      </w:r>
      <w:r>
        <w:t>keuze voor het overgangsregime</w:t>
      </w:r>
      <w:r w:rsidR="004769BF">
        <w:t>;</w:t>
      </w:r>
      <w:r w:rsidRPr="00E95E43" w:rsidR="004769BF">
        <w:rPr>
          <w:rFonts w:eastAsia="Times New Roman"/>
        </w:rPr>
        <w:t xml:space="preserve"> </w:t>
      </w:r>
    </w:p>
    <w:p w:rsidRPr="00E95E43" w:rsidR="00E95E43" w:rsidP="00E95E43" w:rsidRDefault="00A81317">
      <w:pPr>
        <w:pStyle w:val="Geenafstand"/>
        <w:numPr>
          <w:ilvl w:val="0"/>
          <w:numId w:val="17"/>
        </w:numPr>
      </w:pPr>
      <w:r w:rsidRPr="00E95E43">
        <w:rPr>
          <w:rFonts w:eastAsia="Times New Roman"/>
        </w:rPr>
        <w:t xml:space="preserve">Het </w:t>
      </w:r>
      <w:proofErr w:type="spellStart"/>
      <w:r w:rsidRPr="00E95E43">
        <w:rPr>
          <w:rFonts w:eastAsia="Times New Roman"/>
        </w:rPr>
        <w:t>principe</w:t>
      </w:r>
      <w:r w:rsidRPr="00E95E43" w:rsidR="00690D2D">
        <w:rPr>
          <w:rFonts w:eastAsia="Times New Roman"/>
        </w:rPr>
        <w:t>-</w:t>
      </w:r>
      <w:r w:rsidRPr="00E95E43">
        <w:rPr>
          <w:rFonts w:eastAsia="Times New Roman"/>
        </w:rPr>
        <w:t>besluit</w:t>
      </w:r>
      <w:proofErr w:type="spellEnd"/>
      <w:r w:rsidRPr="00E95E43">
        <w:rPr>
          <w:rFonts w:eastAsia="Times New Roman"/>
        </w:rPr>
        <w:t xml:space="preserve"> de opgebouwde aanspraken in te varen, een noodzakelijke voorwaarde om de verplichtin</w:t>
      </w:r>
      <w:r w:rsidR="00E95E43">
        <w:rPr>
          <w:rFonts w:eastAsia="Times New Roman"/>
        </w:rPr>
        <w:t>gen per direct ‘af te waarderen’</w:t>
      </w:r>
      <w:r w:rsidR="00834501">
        <w:rPr>
          <w:rFonts w:eastAsia="Times New Roman"/>
        </w:rPr>
        <w:t xml:space="preserve"> en</w:t>
      </w:r>
    </w:p>
    <w:p w:rsidRPr="00E95E43" w:rsidR="00A81317" w:rsidP="00E95E43" w:rsidRDefault="00A81317">
      <w:pPr>
        <w:pStyle w:val="Geenafstand"/>
        <w:numPr>
          <w:ilvl w:val="0"/>
          <w:numId w:val="17"/>
        </w:numPr>
      </w:pPr>
      <w:r w:rsidRPr="00E95E43">
        <w:rPr>
          <w:rFonts w:eastAsia="Times New Roman"/>
        </w:rPr>
        <w:t xml:space="preserve">Of een lening wordt gevraagd voor de compensatie voor het afschaffen van de </w:t>
      </w:r>
      <w:r w:rsidR="004769BF">
        <w:rPr>
          <w:rFonts w:eastAsia="Times New Roman"/>
        </w:rPr>
        <w:t>doorsneesystematiek.</w:t>
      </w:r>
    </w:p>
    <w:p w:rsidR="00E95E43" w:rsidP="00A81317" w:rsidRDefault="00E95E43">
      <w:pPr>
        <w:rPr>
          <w:rFonts w:eastAsia="Times New Roman"/>
        </w:rPr>
      </w:pPr>
    </w:p>
    <w:p w:rsidR="00A81317" w:rsidP="00A81317" w:rsidRDefault="00A81317">
      <w:pPr>
        <w:rPr>
          <w:rFonts w:eastAsia="Times New Roman"/>
        </w:rPr>
      </w:pPr>
      <w:r>
        <w:rPr>
          <w:rFonts w:eastAsia="Times New Roman"/>
        </w:rPr>
        <w:t>Op dit statement volgt dan:</w:t>
      </w:r>
    </w:p>
    <w:p w:rsidR="00690D2D" w:rsidP="00A81317" w:rsidRDefault="00A81317">
      <w:pPr>
        <w:rPr>
          <w:rFonts w:eastAsia="Times New Roman"/>
        </w:rPr>
      </w:pPr>
      <w:r>
        <w:rPr>
          <w:rFonts w:eastAsia="Times New Roman"/>
        </w:rPr>
        <w:t xml:space="preserve">Ik (= de Minister) geef met instemming van DNB en AFM fondsen die met hun cao-tafel(s) en met instemming van hun verantwoordingsorgaan daarvoor kiezen en deze boodschap luid en duidelijk brengen, in de vorm van een overgangsregime de mogelijkheid de huidige pensioenverplichtingen, vooruitlopend op de transitie en het invaren, af te waarderen. Anders gezegd, de waardering in lijn te brengen met wat we beogen met het nieuwe stelsel, een reële ambitie. De zekerheid, die de waarde </w:t>
      </w:r>
      <w:r w:rsidR="00356C36">
        <w:rPr>
          <w:rFonts w:eastAsia="Times New Roman"/>
        </w:rPr>
        <w:t>van de verplich</w:t>
      </w:r>
      <w:r w:rsidR="00E95E43">
        <w:rPr>
          <w:rFonts w:eastAsia="Times New Roman"/>
        </w:rPr>
        <w:t>t</w:t>
      </w:r>
      <w:r w:rsidR="00356C36">
        <w:rPr>
          <w:rFonts w:eastAsia="Times New Roman"/>
        </w:rPr>
        <w:t xml:space="preserve">ingen </w:t>
      </w:r>
      <w:r>
        <w:rPr>
          <w:rFonts w:eastAsia="Times New Roman"/>
        </w:rPr>
        <w:t xml:space="preserve">tot het huidige hoge niveau heeft doen oplopen, schaffen we met terugwerkende kracht af. Daarom kunnen we de </w:t>
      </w:r>
      <w:r>
        <w:rPr>
          <w:rFonts w:eastAsia="Times New Roman"/>
          <w:i/>
          <w:iCs/>
        </w:rPr>
        <w:t>waarde </w:t>
      </w:r>
      <w:r>
        <w:rPr>
          <w:rFonts w:eastAsia="Times New Roman"/>
        </w:rPr>
        <w:t xml:space="preserve">van uw pensioen verlagen. </w:t>
      </w:r>
      <w:r w:rsidR="00690D2D">
        <w:rPr>
          <w:rFonts w:eastAsia="Times New Roman"/>
        </w:rPr>
        <w:t>Uw opgebouwde pensioenaanspraken houden we intact, maar de zekerheidsbelofte onder die aanspraken vervalt.</w:t>
      </w:r>
    </w:p>
    <w:p w:rsidR="00A81317" w:rsidP="00A81317" w:rsidRDefault="00690D2D">
      <w:pPr>
        <w:rPr>
          <w:rFonts w:eastAsia="Times New Roman"/>
        </w:rPr>
      </w:pPr>
      <w:r>
        <w:rPr>
          <w:rFonts w:eastAsia="Times New Roman"/>
        </w:rPr>
        <w:t xml:space="preserve"> </w:t>
      </w:r>
    </w:p>
    <w:p w:rsidR="00A81317" w:rsidP="00A81317" w:rsidRDefault="00A81317">
      <w:pPr>
        <w:rPr>
          <w:rFonts w:eastAsia="Times New Roman"/>
        </w:rPr>
      </w:pPr>
      <w:r>
        <w:rPr>
          <w:rFonts w:eastAsia="Times New Roman"/>
        </w:rPr>
        <w:t xml:space="preserve">In plaats van tegen de </w:t>
      </w:r>
      <w:proofErr w:type="spellStart"/>
      <w:r>
        <w:rPr>
          <w:rFonts w:eastAsia="Times New Roman"/>
        </w:rPr>
        <w:t>rts</w:t>
      </w:r>
      <w:proofErr w:type="spellEnd"/>
      <w:r>
        <w:rPr>
          <w:rFonts w:eastAsia="Times New Roman"/>
        </w:rPr>
        <w:t xml:space="preserve"> met </w:t>
      </w:r>
      <w:proofErr w:type="spellStart"/>
      <w:r>
        <w:rPr>
          <w:rFonts w:eastAsia="Times New Roman"/>
        </w:rPr>
        <w:t>ufr</w:t>
      </w:r>
      <w:proofErr w:type="spellEnd"/>
      <w:r>
        <w:rPr>
          <w:rFonts w:eastAsia="Times New Roman"/>
        </w:rPr>
        <w:t xml:space="preserve"> mogen deze fondsen hun ‘verplichtingen’ (</w:t>
      </w:r>
      <w:proofErr w:type="spellStart"/>
      <w:r>
        <w:rPr>
          <w:rFonts w:eastAsia="Times New Roman"/>
        </w:rPr>
        <w:t>nb</w:t>
      </w:r>
      <w:proofErr w:type="spellEnd"/>
      <w:r>
        <w:rPr>
          <w:rFonts w:eastAsia="Times New Roman"/>
        </w:rPr>
        <w:t xml:space="preserve"> met het plaatsen van ‘  ‘ tekens geef ik aan dat het niet meer gaat om de harde verplichtingen volgens </w:t>
      </w:r>
      <w:proofErr w:type="spellStart"/>
      <w:r>
        <w:rPr>
          <w:rFonts w:eastAsia="Times New Roman"/>
        </w:rPr>
        <w:t>defined</w:t>
      </w:r>
      <w:proofErr w:type="spellEnd"/>
      <w:r>
        <w:rPr>
          <w:rFonts w:eastAsia="Times New Roman"/>
        </w:rPr>
        <w:t xml:space="preserve"> benefit) met ingang van heden berekenen tegen een prudent ingeschat langjarig </w:t>
      </w:r>
      <w:r w:rsidR="00690D2D">
        <w:rPr>
          <w:rFonts w:eastAsia="Times New Roman"/>
        </w:rPr>
        <w:t>reëel</w:t>
      </w:r>
      <w:r>
        <w:rPr>
          <w:rFonts w:eastAsia="Times New Roman"/>
        </w:rPr>
        <w:t xml:space="preserve"> portefeuille rendement. Om er voor te zorgen dat de ‘premiedekkingsgraad’ ten minste 100% is, moet de premiediscvoet ten minste gelijk zijn aan die prudente langjarige inschatting van het reële portefeuille rendement.</w:t>
      </w:r>
      <w:r w:rsidR="00690D2D">
        <w:rPr>
          <w:rFonts w:eastAsia="Times New Roman"/>
        </w:rPr>
        <w:t xml:space="preserve"> Dit leidt tot een </w:t>
      </w:r>
      <w:proofErr w:type="spellStart"/>
      <w:r w:rsidR="00690D2D">
        <w:rPr>
          <w:rFonts w:eastAsia="Times New Roman"/>
        </w:rPr>
        <w:t>fondsspecifieke</w:t>
      </w:r>
      <w:proofErr w:type="spellEnd"/>
      <w:r w:rsidR="00690D2D">
        <w:rPr>
          <w:rFonts w:eastAsia="Times New Roman"/>
        </w:rPr>
        <w:t xml:space="preserve"> inschatting van het projectierendement, dat afhankelijk is van het beleggingsbeleid, de verwachte bestandsontwikkeling en de risicohouding (lees: de mate van prudentie)</w:t>
      </w:r>
      <w:r w:rsidR="00547D5A">
        <w:rPr>
          <w:rFonts w:eastAsia="Times New Roman"/>
        </w:rPr>
        <w:t xml:space="preserve"> die fondsen met hun deelnemers overeen komen.</w:t>
      </w:r>
    </w:p>
    <w:p w:rsidR="004828A8" w:rsidP="00A81317" w:rsidRDefault="004828A8">
      <w:pPr>
        <w:rPr>
          <w:rFonts w:eastAsia="Times New Roman"/>
        </w:rPr>
      </w:pPr>
    </w:p>
    <w:p w:rsidR="00690D2D" w:rsidP="00A81317" w:rsidRDefault="00547D5A">
      <w:pPr>
        <w:rPr>
          <w:rFonts w:eastAsia="Times New Roman"/>
        </w:rPr>
      </w:pPr>
      <w:r>
        <w:rPr>
          <w:rFonts w:eastAsia="Times New Roman"/>
        </w:rPr>
        <w:t>[</w:t>
      </w:r>
      <w:r w:rsidR="00A81317">
        <w:rPr>
          <w:rFonts w:eastAsia="Times New Roman"/>
        </w:rPr>
        <w:t>NB een percentage van 2% lijkt - ook historisch - langjarig prudent. We zouden er voor kunnen kiezen dit percentage als maximum als default te kiezen als disc</w:t>
      </w:r>
      <w:r>
        <w:rPr>
          <w:rFonts w:eastAsia="Times New Roman"/>
        </w:rPr>
        <w:t>voet onder de ‘verplichtingen’.]</w:t>
      </w:r>
    </w:p>
    <w:p w:rsidR="00A81317" w:rsidP="00A81317" w:rsidRDefault="00A81317">
      <w:pPr>
        <w:rPr>
          <w:rFonts w:eastAsia="Times New Roman"/>
        </w:rPr>
      </w:pPr>
      <w:r>
        <w:rPr>
          <w:rFonts w:eastAsia="Times New Roman"/>
        </w:rPr>
        <w:lastRenderedPageBreak/>
        <w:t>We lopen hiermee vooruit op de projectierendementen in de nieuwe contracten. Tegelijkertijd sluiten we hiermee aan bij de gangbare praktijk van de berekening van de gedempte kostendekkende premie.</w:t>
      </w:r>
    </w:p>
    <w:p w:rsidR="00A81317" w:rsidP="00A81317" w:rsidRDefault="00A81317">
      <w:pPr>
        <w:rPr>
          <w:rFonts w:eastAsia="Times New Roman"/>
        </w:rPr>
      </w:pPr>
    </w:p>
    <w:p w:rsidR="00A81317" w:rsidP="00A81317" w:rsidRDefault="00A81317">
      <w:pPr>
        <w:rPr>
          <w:rFonts w:eastAsia="Times New Roman"/>
        </w:rPr>
      </w:pPr>
      <w:r>
        <w:rPr>
          <w:rFonts w:eastAsia="Times New Roman"/>
        </w:rPr>
        <w:t>De ‘dekkingsgraad’ zal stijgen. Bij de huidige stand van de rente van zeg gemiddeld 0,3 zal bij de meeste fondsen de ‘dekkingsgraad’ stijgen tot boven de 100%. We spreken daarover het volgende af</w:t>
      </w:r>
    </w:p>
    <w:p w:rsidR="00A81317" w:rsidP="00A81317" w:rsidRDefault="00A81317">
      <w:pPr>
        <w:numPr>
          <w:ilvl w:val="0"/>
          <w:numId w:val="3"/>
        </w:numPr>
        <w:spacing w:before="100" w:beforeAutospacing="1" w:after="100" w:afterAutospacing="1"/>
        <w:rPr>
          <w:rFonts w:eastAsia="Times New Roman"/>
        </w:rPr>
      </w:pPr>
      <w:r>
        <w:rPr>
          <w:rFonts w:eastAsia="Times New Roman"/>
        </w:rPr>
        <w:t>Er wordt alleen gekort als de ‘dekkingsgraad’</w:t>
      </w:r>
      <w:r w:rsidR="00547D5A">
        <w:rPr>
          <w:rFonts w:eastAsia="Times New Roman"/>
        </w:rPr>
        <w:t>, bepaald dus op het prudent ingeschatte reële portefeuille rendement, of de default van</w:t>
      </w:r>
      <w:r w:rsidR="00356C36">
        <w:rPr>
          <w:rFonts w:eastAsia="Times New Roman"/>
        </w:rPr>
        <w:t xml:space="preserve"> max</w:t>
      </w:r>
      <w:r w:rsidR="00547D5A">
        <w:rPr>
          <w:rFonts w:eastAsia="Times New Roman"/>
        </w:rPr>
        <w:t xml:space="preserve"> 2%, </w:t>
      </w:r>
      <w:r>
        <w:rPr>
          <w:rFonts w:eastAsia="Times New Roman"/>
        </w:rPr>
        <w:t>twee jaar achtereen onder de 90% ligt.</w:t>
      </w:r>
    </w:p>
    <w:p w:rsidR="004828A8" w:rsidP="00E95E43" w:rsidRDefault="00A81317">
      <w:pPr>
        <w:numPr>
          <w:ilvl w:val="0"/>
          <w:numId w:val="3"/>
        </w:numPr>
        <w:spacing w:before="100" w:beforeAutospacing="1" w:after="100" w:afterAutospacing="1"/>
        <w:rPr>
          <w:rFonts w:eastAsia="Times New Roman"/>
        </w:rPr>
      </w:pPr>
      <w:r>
        <w:rPr>
          <w:rFonts w:eastAsia="Times New Roman"/>
        </w:rPr>
        <w:t>Voor eventuele indexering mag de ‘winst in dekkingsgraad’ niet gebruikt worden. Deze wordt geparkeerd voor de daadwerkelijke transitie. Nb alternatief is dat vanaf een ‘dekkingsgraad’ van 110% mag worden geïndexeerd volgens de regels van het oude (of nieuwe?) contract</w:t>
      </w:r>
      <w:r w:rsidR="004769BF">
        <w:rPr>
          <w:rFonts w:eastAsia="Times New Roman"/>
        </w:rPr>
        <w:t>.</w:t>
      </w:r>
    </w:p>
    <w:p w:rsidRPr="004828A8" w:rsidR="00E95E43" w:rsidP="004828A8" w:rsidRDefault="00A81317">
      <w:pPr>
        <w:pStyle w:val="Geenafstand"/>
      </w:pPr>
      <w:r w:rsidRPr="006254AD">
        <w:t xml:space="preserve">Bij de daadwerkelijke transitie worden de (afgewaardeerde) ‘aanspraken’ ingevaren tegen de nieuwe discontovoet </w:t>
      </w:r>
      <w:proofErr w:type="spellStart"/>
      <w:r w:rsidRPr="006254AD">
        <w:t>cq</w:t>
      </w:r>
      <w:proofErr w:type="spellEnd"/>
      <w:r w:rsidRPr="006254AD">
        <w:t xml:space="preserve"> de default van </w:t>
      </w:r>
      <w:r w:rsidR="00356C36">
        <w:t xml:space="preserve">max </w:t>
      </w:r>
      <w:r w:rsidRPr="006254AD">
        <w:t>2%.</w:t>
      </w:r>
      <w:r w:rsidRPr="006254AD">
        <w:br/>
      </w:r>
    </w:p>
    <w:p w:rsidR="00CE571F" w:rsidP="00E95E43" w:rsidRDefault="00A81317">
      <w:pPr>
        <w:pStyle w:val="Geenafstand"/>
      </w:pPr>
      <w:r w:rsidRPr="006254AD">
        <w:t>Wat winnen we hiermee?</w:t>
      </w:r>
    </w:p>
    <w:p w:rsidRPr="006254AD" w:rsidR="00CE571F" w:rsidP="00CE571F" w:rsidRDefault="00CE571F">
      <w:pPr>
        <w:pStyle w:val="Geenafstand"/>
      </w:pPr>
      <w:r>
        <w:t>Zonder uitputtend te zijn, noem ik</w:t>
      </w:r>
    </w:p>
    <w:p w:rsidR="00A81317" w:rsidP="00A81317" w:rsidRDefault="006254AD">
      <w:pPr>
        <w:numPr>
          <w:ilvl w:val="0"/>
          <w:numId w:val="4"/>
        </w:numPr>
        <w:spacing w:before="100" w:beforeAutospacing="1" w:after="100" w:afterAutospacing="1"/>
      </w:pPr>
      <w:r>
        <w:rPr>
          <w:rFonts w:eastAsia="Times New Roman"/>
        </w:rPr>
        <w:t>C</w:t>
      </w:r>
      <w:r w:rsidR="00A81317">
        <w:rPr>
          <w:rFonts w:eastAsia="Times New Roman"/>
        </w:rPr>
        <w:t xml:space="preserve">ommitment van partijen, hun fondsen en de deelnemers via de instemming van het verantwoordingsorgaan. Door te kiezen voor het overgangsregime krijgt de Minister expliciet een ‘ja’ van de fondsen, </w:t>
      </w:r>
      <w:r w:rsidR="00356C36">
        <w:rPr>
          <w:rFonts w:eastAsia="Times New Roman"/>
        </w:rPr>
        <w:t xml:space="preserve">en dat </w:t>
      </w:r>
      <w:r w:rsidR="00A81317">
        <w:rPr>
          <w:rFonts w:eastAsia="Times New Roman"/>
        </w:rPr>
        <w:t>nog binnen deze kabinetsperiode</w:t>
      </w:r>
      <w:r w:rsidR="0098540D">
        <w:rPr>
          <w:rFonts w:eastAsia="Times New Roman"/>
        </w:rPr>
        <w:t>.</w:t>
      </w:r>
    </w:p>
    <w:p w:rsidR="00A81317" w:rsidP="00A81317" w:rsidRDefault="00A81317">
      <w:pPr>
        <w:numPr>
          <w:ilvl w:val="0"/>
          <w:numId w:val="4"/>
        </w:numPr>
        <w:spacing w:before="100" w:beforeAutospacing="1" w:after="100" w:afterAutospacing="1"/>
      </w:pPr>
      <w:r>
        <w:rPr>
          <w:rFonts w:eastAsia="Times New Roman"/>
        </w:rPr>
        <w:t>Duidelijkheid naar alle partijen: we gaan het doen</w:t>
      </w:r>
      <w:r w:rsidR="00033DD2">
        <w:rPr>
          <w:rFonts w:eastAsia="Times New Roman"/>
        </w:rPr>
        <w:t>!</w:t>
      </w:r>
    </w:p>
    <w:p w:rsidR="0098540D" w:rsidP="00A81317" w:rsidRDefault="00A81317">
      <w:pPr>
        <w:numPr>
          <w:ilvl w:val="0"/>
          <w:numId w:val="4"/>
        </w:numPr>
        <w:spacing w:before="100" w:beforeAutospacing="1" w:after="100" w:afterAutospacing="1"/>
      </w:pPr>
      <w:r>
        <w:rPr>
          <w:rFonts w:eastAsia="Times New Roman"/>
        </w:rPr>
        <w:t xml:space="preserve">Duidelijkheid naar deelnemers en werkgever(s): we korten en indexeren vanaf nu niet meer op de </w:t>
      </w:r>
      <w:proofErr w:type="spellStart"/>
      <w:r>
        <w:rPr>
          <w:rFonts w:eastAsia="Times New Roman"/>
        </w:rPr>
        <w:t>rts</w:t>
      </w:r>
      <w:proofErr w:type="spellEnd"/>
      <w:r>
        <w:rPr>
          <w:rFonts w:eastAsia="Times New Roman"/>
        </w:rPr>
        <w:t xml:space="preserve"> met </w:t>
      </w:r>
      <w:proofErr w:type="spellStart"/>
      <w:r>
        <w:rPr>
          <w:rFonts w:eastAsia="Times New Roman"/>
        </w:rPr>
        <w:t>ufr</w:t>
      </w:r>
      <w:proofErr w:type="spellEnd"/>
      <w:r>
        <w:rPr>
          <w:rFonts w:eastAsia="Times New Roman"/>
        </w:rPr>
        <w:t xml:space="preserve">; korten gebeurt tot aan de daadwerkelijke transitie alleen nog als de ‘dekkingsgraad’, bepaald op een prudente inschatting van een langjarig verwacht </w:t>
      </w:r>
      <w:r w:rsidR="00033DD2">
        <w:rPr>
          <w:rFonts w:eastAsia="Times New Roman"/>
        </w:rPr>
        <w:t xml:space="preserve">reëel </w:t>
      </w:r>
      <w:r>
        <w:rPr>
          <w:rFonts w:eastAsia="Times New Roman"/>
        </w:rPr>
        <w:t xml:space="preserve">projectierendement </w:t>
      </w:r>
      <w:r w:rsidR="00547D5A">
        <w:rPr>
          <w:rFonts w:eastAsia="Times New Roman"/>
        </w:rPr>
        <w:t>of op de default van</w:t>
      </w:r>
      <w:r w:rsidR="00356C36">
        <w:rPr>
          <w:rFonts w:eastAsia="Times New Roman"/>
        </w:rPr>
        <w:t xml:space="preserve"> max</w:t>
      </w:r>
      <w:r>
        <w:rPr>
          <w:rFonts w:eastAsia="Times New Roman"/>
        </w:rPr>
        <w:t xml:space="preserve"> 2%, twee jaar achtereen onder de 90 ligt. Dit betekent ook dat de Minister verlost is van t</w:t>
      </w:r>
      <w:r w:rsidR="00547D5A">
        <w:rPr>
          <w:rFonts w:eastAsia="Times New Roman"/>
        </w:rPr>
        <w:t>elkens weer een kortingsdilemma</w:t>
      </w:r>
      <w:r w:rsidR="0098540D">
        <w:t>.</w:t>
      </w:r>
    </w:p>
    <w:p w:rsidR="00A81317" w:rsidP="00A81317" w:rsidRDefault="00A81317">
      <w:pPr>
        <w:numPr>
          <w:ilvl w:val="0"/>
          <w:numId w:val="4"/>
        </w:numPr>
        <w:spacing w:before="100" w:beforeAutospacing="1" w:after="100" w:afterAutospacing="1"/>
      </w:pPr>
      <w:r>
        <w:rPr>
          <w:rFonts w:eastAsia="Times New Roman"/>
        </w:rPr>
        <w:t>We doen wat we zeggen: de zekerheid is onbetaalbaar geworden. Daarom stoppen we er direct mee. Het is zinloos, verwarrend en slecht voor het draagvlak om nog 5 jaar te werken met regels die je zojuist a</w:t>
      </w:r>
      <w:r w:rsidR="00547D5A">
        <w:rPr>
          <w:rFonts w:eastAsia="Times New Roman"/>
        </w:rPr>
        <w:t xml:space="preserve">ls onhoudbaar hebt </w:t>
      </w:r>
      <w:proofErr w:type="spellStart"/>
      <w:r w:rsidR="00547D5A">
        <w:rPr>
          <w:rFonts w:eastAsia="Times New Roman"/>
        </w:rPr>
        <w:t>afgeserveerd</w:t>
      </w:r>
      <w:proofErr w:type="spellEnd"/>
      <w:r w:rsidR="00547D5A">
        <w:rPr>
          <w:rFonts w:eastAsia="Times New Roman"/>
        </w:rPr>
        <w:t>;</w:t>
      </w:r>
    </w:p>
    <w:p w:rsidR="00A81317" w:rsidP="00A81317" w:rsidRDefault="00A81317">
      <w:pPr>
        <w:numPr>
          <w:ilvl w:val="0"/>
          <w:numId w:val="4"/>
        </w:numPr>
        <w:spacing w:before="100" w:beforeAutospacing="1" w:after="100" w:afterAutospacing="1"/>
      </w:pPr>
      <w:r>
        <w:rPr>
          <w:rFonts w:eastAsia="Times New Roman"/>
        </w:rPr>
        <w:t>Duidelijkheid in de zin dat deelnemers door deze ‘tussenstap’ zien dat de waarde van hun pensioen is verlaagd en niet hun pensioen zelf</w:t>
      </w:r>
      <w:r w:rsidR="00547D5A">
        <w:rPr>
          <w:rFonts w:eastAsia="Times New Roman"/>
        </w:rPr>
        <w:t>;</w:t>
      </w:r>
    </w:p>
    <w:p w:rsidR="00A81317" w:rsidP="00A81317" w:rsidRDefault="00A81317">
      <w:pPr>
        <w:numPr>
          <w:ilvl w:val="0"/>
          <w:numId w:val="4"/>
        </w:numPr>
        <w:spacing w:before="100" w:beforeAutospacing="1" w:after="100" w:afterAutospacing="1"/>
      </w:pPr>
      <w:r>
        <w:rPr>
          <w:rFonts w:eastAsia="Times New Roman"/>
        </w:rPr>
        <w:t>Ruimte voor de fondsen en hun cao-tafel(s): zij kunnen kiezen, ze hoeven het overgangsregime niet te doen. Dan kunnen ze echter geen aanspraak maken op de voordelen ervan.</w:t>
      </w:r>
    </w:p>
    <w:p w:rsidRPr="00B14362" w:rsidR="00A81317" w:rsidP="00033DD2" w:rsidRDefault="00033DD2">
      <w:pPr>
        <w:spacing w:before="100" w:beforeAutospacing="1" w:after="100" w:afterAutospacing="1"/>
        <w:rPr>
          <w:rFonts w:eastAsia="Times New Roman"/>
          <w:i/>
        </w:rPr>
      </w:pPr>
      <w:r>
        <w:rPr>
          <w:rFonts w:eastAsia="Times New Roman"/>
        </w:rPr>
        <w:t xml:space="preserve">Ad 2. </w:t>
      </w:r>
      <w:r w:rsidRPr="00B14362" w:rsidR="00A81317">
        <w:rPr>
          <w:rFonts w:eastAsia="Times New Roman"/>
          <w:i/>
        </w:rPr>
        <w:t xml:space="preserve">Geef partijen en hun fondsen die daarom vragen </w:t>
      </w:r>
      <w:r w:rsidRPr="00B14362">
        <w:rPr>
          <w:rFonts w:eastAsia="Times New Roman"/>
          <w:i/>
        </w:rPr>
        <w:t>extra financiële ruimte i</w:t>
      </w:r>
      <w:r w:rsidRPr="00B14362" w:rsidR="00A81317">
        <w:rPr>
          <w:rFonts w:eastAsia="Times New Roman"/>
          <w:i/>
        </w:rPr>
        <w:t>n de vorm van een overheidslening voor de compensatie voor het afschaffen van de doorsneesystematiek.</w:t>
      </w:r>
    </w:p>
    <w:p w:rsidR="00033DD2" w:rsidP="00A81317" w:rsidRDefault="00033DD2">
      <w:pPr>
        <w:rPr>
          <w:rFonts w:eastAsia="Times New Roman"/>
        </w:rPr>
      </w:pPr>
      <w:r>
        <w:rPr>
          <w:rFonts w:eastAsia="Times New Roman"/>
        </w:rPr>
        <w:t xml:space="preserve">In 2015 heb ik samen met twee – toen nog – APG collega’s in </w:t>
      </w:r>
      <w:proofErr w:type="spellStart"/>
      <w:r>
        <w:rPr>
          <w:rFonts w:eastAsia="Times New Roman"/>
        </w:rPr>
        <w:t>MeJudice</w:t>
      </w:r>
      <w:proofErr w:type="spellEnd"/>
      <w:r>
        <w:rPr>
          <w:rStyle w:val="Voetnootmarkering"/>
          <w:rFonts w:eastAsia="Times New Roman"/>
        </w:rPr>
        <w:footnoteReference w:id="1"/>
      </w:r>
      <w:r>
        <w:rPr>
          <w:rFonts w:eastAsia="Times New Roman"/>
        </w:rPr>
        <w:t xml:space="preserve"> dit plan al eens geopperd.</w:t>
      </w:r>
    </w:p>
    <w:p w:rsidR="00033DD2" w:rsidP="00A81317" w:rsidRDefault="00033DD2">
      <w:pPr>
        <w:rPr>
          <w:rFonts w:eastAsia="Times New Roman"/>
        </w:rPr>
      </w:pPr>
    </w:p>
    <w:p w:rsidR="00E95E43" w:rsidP="00A81317" w:rsidRDefault="00033DD2">
      <w:pPr>
        <w:rPr>
          <w:rFonts w:eastAsia="Times New Roman"/>
        </w:rPr>
      </w:pPr>
      <w:r>
        <w:rPr>
          <w:rFonts w:eastAsia="Times New Roman"/>
        </w:rPr>
        <w:lastRenderedPageBreak/>
        <w:t xml:space="preserve">Laat fondsen die een lening willen in hun jaarrekening </w:t>
      </w:r>
      <w:r w:rsidR="00205E8E">
        <w:rPr>
          <w:rFonts w:eastAsia="Times New Roman"/>
        </w:rPr>
        <w:t xml:space="preserve">over 2020 </w:t>
      </w:r>
      <w:r>
        <w:rPr>
          <w:rFonts w:eastAsia="Times New Roman"/>
        </w:rPr>
        <w:t xml:space="preserve">het bedrag opnemen ter grootte van de compensatie die zij in totaal zouden moeten geven om alle deelnemers volledig te compenseren. Daarnaast </w:t>
      </w:r>
      <w:r w:rsidR="00205E8E">
        <w:rPr>
          <w:rFonts w:eastAsia="Times New Roman"/>
        </w:rPr>
        <w:t xml:space="preserve">vermelden zij het bedrag dat zij in evenwichtige afweging zouden willen compenseren. Dit bedrag zetten zij als ‘Nog te betalen aan deelnemers’ op de passiefzijde van hun balans. Ten slotte vermelden zij het bedrag dat zij willen lenen. Dat zetten zij op de actiefzijde van hun balans. </w:t>
      </w:r>
    </w:p>
    <w:p w:rsidR="00E95E43" w:rsidP="00A81317" w:rsidRDefault="00E95E43">
      <w:pPr>
        <w:rPr>
          <w:rFonts w:eastAsia="Times New Roman"/>
        </w:rPr>
      </w:pPr>
    </w:p>
    <w:p w:rsidR="00033DD2" w:rsidP="00A81317" w:rsidRDefault="00205E8E">
      <w:pPr>
        <w:rPr>
          <w:rFonts w:eastAsia="Times New Roman"/>
        </w:rPr>
      </w:pPr>
      <w:r>
        <w:rPr>
          <w:rFonts w:eastAsia="Times New Roman"/>
        </w:rPr>
        <w:t xml:space="preserve">De leningsvoorwaarden zijn: rentepercentage is gelijk aan de transitierente i.c. </w:t>
      </w:r>
      <w:r w:rsidR="00356C36">
        <w:rPr>
          <w:rFonts w:eastAsia="Times New Roman"/>
        </w:rPr>
        <w:t xml:space="preserve">de prudente inschatting van het langjarig </w:t>
      </w:r>
      <w:r w:rsidR="00B14362">
        <w:rPr>
          <w:rFonts w:eastAsia="Times New Roman"/>
        </w:rPr>
        <w:t>reëel</w:t>
      </w:r>
      <w:r w:rsidR="00356C36">
        <w:rPr>
          <w:rFonts w:eastAsia="Times New Roman"/>
        </w:rPr>
        <w:t xml:space="preserve"> portefeuille rendement</w:t>
      </w:r>
      <w:r w:rsidR="000479A7">
        <w:rPr>
          <w:rFonts w:eastAsia="Times New Roman"/>
        </w:rPr>
        <w:t xml:space="preserve"> </w:t>
      </w:r>
      <w:proofErr w:type="spellStart"/>
      <w:r w:rsidR="000479A7">
        <w:rPr>
          <w:rFonts w:eastAsia="Times New Roman"/>
        </w:rPr>
        <w:t>cq</w:t>
      </w:r>
      <w:proofErr w:type="spellEnd"/>
      <w:r w:rsidR="000479A7">
        <w:rPr>
          <w:rFonts w:eastAsia="Times New Roman"/>
        </w:rPr>
        <w:t xml:space="preserve"> de default van max</w:t>
      </w:r>
      <w:r w:rsidR="00356C36">
        <w:rPr>
          <w:rFonts w:eastAsia="Times New Roman"/>
        </w:rPr>
        <w:t xml:space="preserve"> </w:t>
      </w:r>
      <w:r>
        <w:rPr>
          <w:rFonts w:eastAsia="Times New Roman"/>
        </w:rPr>
        <w:t xml:space="preserve">2%; lineair af te lossen in </w:t>
      </w:r>
      <w:r w:rsidR="0037163E">
        <w:rPr>
          <w:rFonts w:eastAsia="Times New Roman"/>
        </w:rPr>
        <w:t xml:space="preserve">bijvoorbeeld </w:t>
      </w:r>
      <w:r>
        <w:rPr>
          <w:rFonts w:eastAsia="Times New Roman"/>
        </w:rPr>
        <w:t>10</w:t>
      </w:r>
      <w:r w:rsidR="0037163E">
        <w:rPr>
          <w:rFonts w:eastAsia="Times New Roman"/>
        </w:rPr>
        <w:t xml:space="preserve"> of 20 jaar</w:t>
      </w:r>
      <w:r>
        <w:rPr>
          <w:rFonts w:eastAsia="Times New Roman"/>
        </w:rPr>
        <w:t>, te rekenen vanaf de daadwerkelijke overgang en afschaffing doorsneesystematiek. Het maatwerk houdt in</w:t>
      </w:r>
      <w:r w:rsidR="0037163E">
        <w:rPr>
          <w:rFonts w:eastAsia="Times New Roman"/>
        </w:rPr>
        <w:t xml:space="preserve"> dat</w:t>
      </w:r>
      <w:r>
        <w:rPr>
          <w:rFonts w:eastAsia="Times New Roman"/>
        </w:rPr>
        <w:t xml:space="preserve"> het </w:t>
      </w:r>
      <w:r w:rsidR="0037163E">
        <w:rPr>
          <w:rFonts w:eastAsia="Times New Roman"/>
        </w:rPr>
        <w:t xml:space="preserve">fonds en zijn cao-tafel(s) </w:t>
      </w:r>
      <w:r>
        <w:rPr>
          <w:rFonts w:eastAsia="Times New Roman"/>
        </w:rPr>
        <w:t>i</w:t>
      </w:r>
      <w:r w:rsidR="0037163E">
        <w:rPr>
          <w:rFonts w:eastAsia="Times New Roman"/>
        </w:rPr>
        <w:t>n</w:t>
      </w:r>
      <w:r>
        <w:rPr>
          <w:rFonts w:eastAsia="Times New Roman"/>
        </w:rPr>
        <w:t xml:space="preserve"> afstemming met het verantwoordingsorgaan </w:t>
      </w:r>
      <w:r w:rsidR="0037163E">
        <w:rPr>
          <w:rFonts w:eastAsia="Times New Roman"/>
        </w:rPr>
        <w:t>kiezen óf het van de leningsfaciliteit gebruik wil maken en tot welk bedrag.</w:t>
      </w:r>
    </w:p>
    <w:p w:rsidR="0037163E" w:rsidP="00A81317" w:rsidRDefault="0037163E">
      <w:pPr>
        <w:rPr>
          <w:rFonts w:eastAsia="Times New Roman"/>
        </w:rPr>
      </w:pPr>
    </w:p>
    <w:p w:rsidR="00CE571F" w:rsidP="00A81317" w:rsidRDefault="0037163E">
      <w:pPr>
        <w:rPr>
          <w:rFonts w:eastAsia="Times New Roman"/>
        </w:rPr>
      </w:pPr>
      <w:r>
        <w:rPr>
          <w:rFonts w:eastAsia="Times New Roman"/>
        </w:rPr>
        <w:t>Wat winnen we hiermee, in aanvulling op de ‘dekkingsgraad winst’</w:t>
      </w:r>
      <w:r w:rsidR="00CE571F">
        <w:rPr>
          <w:rFonts w:eastAsia="Times New Roman"/>
        </w:rPr>
        <w:t xml:space="preserve"> van ad 1?</w:t>
      </w:r>
    </w:p>
    <w:p w:rsidR="00CE571F" w:rsidP="00A81317" w:rsidRDefault="00CE571F">
      <w:pPr>
        <w:rPr>
          <w:rFonts w:eastAsia="Times New Roman"/>
        </w:rPr>
      </w:pPr>
      <w:r>
        <w:rPr>
          <w:rFonts w:eastAsia="Times New Roman"/>
        </w:rPr>
        <w:t>Zonder uitputtend te zijn, noem ik</w:t>
      </w:r>
    </w:p>
    <w:p w:rsidR="00CE571F" w:rsidP="00CE571F" w:rsidRDefault="00CE571F">
      <w:pPr>
        <w:rPr>
          <w:rFonts w:eastAsia="Times New Roman"/>
        </w:rPr>
      </w:pPr>
    </w:p>
    <w:p w:rsidR="0098540D" w:rsidP="00CE571F" w:rsidRDefault="00CE571F">
      <w:pPr>
        <w:pStyle w:val="Lijstalinea"/>
        <w:numPr>
          <w:ilvl w:val="0"/>
          <w:numId w:val="10"/>
        </w:numPr>
        <w:rPr>
          <w:rFonts w:eastAsia="Times New Roman"/>
        </w:rPr>
      </w:pPr>
      <w:r>
        <w:rPr>
          <w:rFonts w:eastAsia="Times New Roman"/>
        </w:rPr>
        <w:t xml:space="preserve">Meer </w:t>
      </w:r>
      <w:r w:rsidR="001E1C30">
        <w:rPr>
          <w:rFonts w:eastAsia="Times New Roman"/>
        </w:rPr>
        <w:t>financiële</w:t>
      </w:r>
      <w:r>
        <w:rPr>
          <w:rFonts w:eastAsia="Times New Roman"/>
        </w:rPr>
        <w:t xml:space="preserve"> armslag voor de transitie. Dat maakt het voor fondsen gem</w:t>
      </w:r>
      <w:r w:rsidR="0098540D">
        <w:rPr>
          <w:rFonts w:eastAsia="Times New Roman"/>
        </w:rPr>
        <w:t>akkelijker.</w:t>
      </w:r>
    </w:p>
    <w:p w:rsidR="0098540D" w:rsidP="00CE571F" w:rsidRDefault="00CE571F">
      <w:pPr>
        <w:pStyle w:val="Lijstalinea"/>
        <w:numPr>
          <w:ilvl w:val="0"/>
          <w:numId w:val="10"/>
        </w:numPr>
        <w:rPr>
          <w:rFonts w:eastAsia="Times New Roman"/>
        </w:rPr>
      </w:pPr>
      <w:r>
        <w:rPr>
          <w:rFonts w:eastAsia="Times New Roman"/>
        </w:rPr>
        <w:t>Duidelijkheid naar de deelnemers toe; ‘ja’ zij worden gecompenseerd; zij zien ook tot welk bedrag en waarom dat afwijkt van het maximale als dat het geval is en zij zien of een lening is gebruikt en w</w:t>
      </w:r>
      <w:r w:rsidR="0098540D">
        <w:rPr>
          <w:rFonts w:eastAsia="Times New Roman"/>
        </w:rPr>
        <w:t>at de voorwaarden daarvoor zijn.</w:t>
      </w:r>
    </w:p>
    <w:p w:rsidR="00CE571F" w:rsidP="00CE571F" w:rsidRDefault="001E1C30">
      <w:pPr>
        <w:pStyle w:val="Lijstalinea"/>
        <w:numPr>
          <w:ilvl w:val="0"/>
          <w:numId w:val="10"/>
        </w:numPr>
        <w:rPr>
          <w:rFonts w:eastAsia="Times New Roman"/>
        </w:rPr>
      </w:pPr>
      <w:r>
        <w:rPr>
          <w:rFonts w:eastAsia="Times New Roman"/>
        </w:rPr>
        <w:t>Compensatie kan per direct worden gegeve</w:t>
      </w:r>
      <w:r w:rsidR="00547D5A">
        <w:rPr>
          <w:rFonts w:eastAsia="Times New Roman"/>
        </w:rPr>
        <w:t>n, ge</w:t>
      </w:r>
      <w:r w:rsidR="0098540D">
        <w:rPr>
          <w:rFonts w:eastAsia="Times New Roman"/>
        </w:rPr>
        <w:t>en ingroeiperiode is nodig.</w:t>
      </w:r>
    </w:p>
    <w:p w:rsidR="001E1C30" w:rsidP="00CE571F" w:rsidRDefault="001E1C30">
      <w:pPr>
        <w:pStyle w:val="Lijstalinea"/>
        <w:numPr>
          <w:ilvl w:val="0"/>
          <w:numId w:val="10"/>
        </w:numPr>
        <w:rPr>
          <w:rFonts w:eastAsia="Times New Roman"/>
        </w:rPr>
      </w:pPr>
      <w:r>
        <w:rPr>
          <w:rFonts w:eastAsia="Times New Roman"/>
        </w:rPr>
        <w:t>Er is (meer) ruimte om én de solidariteitsre</w:t>
      </w:r>
      <w:r w:rsidR="00547D5A">
        <w:rPr>
          <w:rFonts w:eastAsia="Times New Roman"/>
        </w:rPr>
        <w:t>serve een goede start te geven é</w:t>
      </w:r>
      <w:r>
        <w:rPr>
          <w:rFonts w:eastAsia="Times New Roman"/>
        </w:rPr>
        <w:t>n om met een daadwerkelijk indexatieperspectie</w:t>
      </w:r>
      <w:r w:rsidR="00547D5A">
        <w:rPr>
          <w:rFonts w:eastAsia="Times New Roman"/>
        </w:rPr>
        <w:t>f te starten. En wellicht om,</w:t>
      </w:r>
      <w:r>
        <w:rPr>
          <w:rFonts w:eastAsia="Times New Roman"/>
        </w:rPr>
        <w:t xml:space="preserve"> waar fondsen en hun verantwoordingsorgaan dat evenwichtig achten, iet</w:t>
      </w:r>
      <w:r w:rsidR="00547D5A">
        <w:rPr>
          <w:rFonts w:eastAsia="Times New Roman"/>
        </w:rPr>
        <w:t>s aan inhaalindexatie te doen. V</w:t>
      </w:r>
      <w:r>
        <w:rPr>
          <w:rFonts w:eastAsia="Times New Roman"/>
        </w:rPr>
        <w:t>ooral gepensioneerden en hen die pensioneren tussen nu en een jaar of tien worden hier blij van</w:t>
      </w:r>
      <w:r w:rsidR="0098540D">
        <w:rPr>
          <w:rFonts w:eastAsia="Times New Roman"/>
        </w:rPr>
        <w:t>.</w:t>
      </w:r>
    </w:p>
    <w:p w:rsidR="0098540D" w:rsidP="00947779" w:rsidRDefault="00E56A1F">
      <w:pPr>
        <w:pStyle w:val="Lijstalinea"/>
        <w:numPr>
          <w:ilvl w:val="0"/>
          <w:numId w:val="10"/>
        </w:numPr>
        <w:rPr>
          <w:rFonts w:eastAsia="Times New Roman"/>
        </w:rPr>
      </w:pPr>
      <w:r>
        <w:rPr>
          <w:rFonts w:eastAsia="Times New Roman"/>
        </w:rPr>
        <w:t xml:space="preserve">We hebben niet de </w:t>
      </w:r>
      <w:r w:rsidR="000479A7">
        <w:rPr>
          <w:rFonts w:eastAsia="Times New Roman"/>
        </w:rPr>
        <w:t>‘</w:t>
      </w:r>
      <w:r>
        <w:rPr>
          <w:rFonts w:eastAsia="Times New Roman"/>
        </w:rPr>
        <w:t>ongemakkelijke</w:t>
      </w:r>
      <w:r w:rsidR="000479A7">
        <w:rPr>
          <w:rFonts w:eastAsia="Times New Roman"/>
        </w:rPr>
        <w:t>’</w:t>
      </w:r>
      <w:r>
        <w:rPr>
          <w:rFonts w:eastAsia="Times New Roman"/>
        </w:rPr>
        <w:t xml:space="preserve"> afspraak nodig voor de dc-fondsen en hun deelnemers. Ook zij kunnen met zo’n lening in één keer overstappen op een</w:t>
      </w:r>
      <w:r w:rsidR="0098540D">
        <w:rPr>
          <w:rFonts w:eastAsia="Times New Roman"/>
        </w:rPr>
        <w:t xml:space="preserve"> leeftijdsonafhankelijke premie.</w:t>
      </w:r>
    </w:p>
    <w:p w:rsidR="001E1C30" w:rsidP="00947779" w:rsidRDefault="001E1C30">
      <w:pPr>
        <w:pStyle w:val="Lijstalinea"/>
        <w:numPr>
          <w:ilvl w:val="0"/>
          <w:numId w:val="10"/>
        </w:numPr>
        <w:rPr>
          <w:rFonts w:eastAsia="Times New Roman"/>
        </w:rPr>
      </w:pPr>
      <w:r w:rsidRPr="001E1C30">
        <w:rPr>
          <w:rFonts w:eastAsia="Times New Roman"/>
        </w:rPr>
        <w:t xml:space="preserve">De al dan niet terecht gedane beloftes </w:t>
      </w:r>
      <w:r w:rsidR="0098540D">
        <w:rPr>
          <w:rFonts w:eastAsia="Times New Roman"/>
        </w:rPr>
        <w:t>– zoals ‘iedereen wordt gecompenseerd - bij</w:t>
      </w:r>
      <w:r w:rsidRPr="001E1C30">
        <w:rPr>
          <w:rFonts w:eastAsia="Times New Roman"/>
        </w:rPr>
        <w:t xml:space="preserve"> de presentatie van de uitwerking </w:t>
      </w:r>
      <w:r w:rsidR="00547D5A">
        <w:rPr>
          <w:rFonts w:eastAsia="Times New Roman"/>
        </w:rPr>
        <w:t xml:space="preserve">van het akkoord </w:t>
      </w:r>
      <w:r w:rsidRPr="001E1C30">
        <w:rPr>
          <w:rFonts w:eastAsia="Times New Roman"/>
        </w:rPr>
        <w:t>kunnen beter worden waargemaakt</w:t>
      </w:r>
      <w:r w:rsidR="0098540D">
        <w:rPr>
          <w:rFonts w:eastAsia="Times New Roman"/>
        </w:rPr>
        <w:t>.</w:t>
      </w:r>
    </w:p>
    <w:p w:rsidRPr="001E1C30" w:rsidR="0037163E" w:rsidP="00947779" w:rsidRDefault="001E1C30">
      <w:pPr>
        <w:pStyle w:val="Lijstalinea"/>
        <w:numPr>
          <w:ilvl w:val="0"/>
          <w:numId w:val="10"/>
        </w:numPr>
        <w:rPr>
          <w:rFonts w:eastAsia="Times New Roman"/>
        </w:rPr>
      </w:pPr>
      <w:r>
        <w:rPr>
          <w:rFonts w:eastAsia="Times New Roman"/>
        </w:rPr>
        <w:t>We doen wel een beetje aan uitstelfinanciering, maar wie doet dat in deze tijden niet. Dit kan het draagvlak wel een boost geven.</w:t>
      </w:r>
      <w:r w:rsidRPr="001E1C30" w:rsidR="0037163E">
        <w:rPr>
          <w:rFonts w:eastAsia="Times New Roman"/>
        </w:rPr>
        <w:t xml:space="preserve">  </w:t>
      </w:r>
    </w:p>
    <w:p w:rsidRPr="00B14362" w:rsidR="00A81317" w:rsidP="00B14362" w:rsidRDefault="001E1C30">
      <w:pPr>
        <w:spacing w:before="100" w:beforeAutospacing="1" w:after="100" w:afterAutospacing="1"/>
        <w:rPr>
          <w:rFonts w:eastAsia="Times New Roman"/>
          <w:i/>
        </w:rPr>
      </w:pPr>
      <w:r>
        <w:rPr>
          <w:rFonts w:eastAsia="Times New Roman"/>
        </w:rPr>
        <w:t xml:space="preserve">Ad 3. </w:t>
      </w:r>
      <w:r w:rsidRPr="00B14362" w:rsidR="00A81317">
        <w:rPr>
          <w:rFonts w:eastAsia="Times New Roman"/>
          <w:i/>
        </w:rPr>
        <w:t xml:space="preserve">Geef partijen en hun fondsen de ruimte om het beleggingsbeleid </w:t>
      </w:r>
      <w:proofErr w:type="spellStart"/>
      <w:r w:rsidRPr="00B14362" w:rsidR="00A81317">
        <w:rPr>
          <w:rFonts w:eastAsia="Times New Roman"/>
          <w:i/>
        </w:rPr>
        <w:t>incl</w:t>
      </w:r>
      <w:proofErr w:type="spellEnd"/>
      <w:r w:rsidRPr="00B14362" w:rsidR="00A81317">
        <w:rPr>
          <w:rFonts w:eastAsia="Times New Roman"/>
          <w:i/>
        </w:rPr>
        <w:t xml:space="preserve"> life </w:t>
      </w:r>
      <w:proofErr w:type="spellStart"/>
      <w:r w:rsidRPr="00B14362" w:rsidR="00A81317">
        <w:rPr>
          <w:rFonts w:eastAsia="Times New Roman"/>
          <w:i/>
        </w:rPr>
        <w:t>cycle</w:t>
      </w:r>
      <w:proofErr w:type="spellEnd"/>
      <w:r w:rsidRPr="00B14362" w:rsidR="00A81317">
        <w:rPr>
          <w:rFonts w:eastAsia="Times New Roman"/>
          <w:i/>
        </w:rPr>
        <w:t xml:space="preserve"> toedeling van rendementen, de regels voor de omvang en vullen </w:t>
      </w:r>
      <w:proofErr w:type="spellStart"/>
      <w:r w:rsidRPr="00B14362" w:rsidR="00A81317">
        <w:rPr>
          <w:rFonts w:eastAsia="Times New Roman"/>
          <w:i/>
        </w:rPr>
        <w:t>cq</w:t>
      </w:r>
      <w:proofErr w:type="spellEnd"/>
      <w:r w:rsidRPr="00B14362" w:rsidR="00A81317">
        <w:rPr>
          <w:rFonts w:eastAsia="Times New Roman"/>
          <w:i/>
        </w:rPr>
        <w:t xml:space="preserve"> onttrekken van de solidariteitsreserve en de spreidingsperiode van schokken in samenhang in te vullen. Geef partijen en hun fondsen daarbij ook de ruimte om in het bijzonder keuzes te maken in wat zij willen bescherm</w:t>
      </w:r>
      <w:r w:rsidRPr="00B14362" w:rsidR="00B14362">
        <w:rPr>
          <w:rFonts w:eastAsia="Times New Roman"/>
          <w:i/>
        </w:rPr>
        <w:t>en in het beschermingsrendement.</w:t>
      </w:r>
    </w:p>
    <w:p w:rsidR="00D053D2" w:rsidP="00A81317" w:rsidRDefault="00A81317">
      <w:pPr>
        <w:rPr>
          <w:rFonts w:eastAsia="Times New Roman"/>
        </w:rPr>
      </w:pPr>
      <w:r>
        <w:rPr>
          <w:rFonts w:eastAsia="Times New Roman"/>
        </w:rPr>
        <w:t xml:space="preserve">We moeten snel af van de idee - en regel in het huidige toezicht - dat staatsobligaties risicovrij zijn. Doordat de rente zo extreem laag is geworden, zijn zij eerder een groot risico. Bovendien is door de lage rente de rendementsopbrengst uiterst gering dan wel zelfs negatief. Dat betekent dat we niet alleen moeten stoppen met het toezeggen van aanspraken, maar dat ook het beleggingsbeleid op de schop moet. </w:t>
      </w:r>
      <w:r w:rsidR="000479A7">
        <w:rPr>
          <w:rFonts w:eastAsia="Times New Roman"/>
        </w:rPr>
        <w:t>Niet de dekkingsgraad en de rente zijn het grootste risico maar een bestendig en stabiel reëel rendement.</w:t>
      </w:r>
    </w:p>
    <w:p w:rsidR="00D053D2" w:rsidP="00A81317" w:rsidRDefault="00D053D2">
      <w:pPr>
        <w:rPr>
          <w:rFonts w:eastAsia="Times New Roman"/>
        </w:rPr>
      </w:pPr>
    </w:p>
    <w:p w:rsidR="00A81317" w:rsidP="00A81317" w:rsidRDefault="00A81317">
      <w:pPr>
        <w:rPr>
          <w:rFonts w:eastAsia="Times New Roman"/>
        </w:rPr>
      </w:pPr>
      <w:r>
        <w:rPr>
          <w:rFonts w:eastAsia="Times New Roman"/>
        </w:rPr>
        <w:t xml:space="preserve">We moeten middels een beschermingsrendement niet beschermen tegen de rente. Waartegen wel is een vraag waarover besturen van de fondsen zich moeten buigen. Het </w:t>
      </w:r>
      <w:r>
        <w:rPr>
          <w:rFonts w:eastAsia="Times New Roman"/>
          <w:i/>
          <w:iCs/>
        </w:rPr>
        <w:t>nieuwe </w:t>
      </w:r>
      <w:r>
        <w:rPr>
          <w:rFonts w:eastAsia="Times New Roman"/>
        </w:rPr>
        <w:t xml:space="preserve">risico </w:t>
      </w:r>
      <w:r>
        <w:rPr>
          <w:rFonts w:eastAsia="Times New Roman"/>
        </w:rPr>
        <w:lastRenderedPageBreak/>
        <w:t xml:space="preserve">voor gepensioneerden is een te grote volatiliteit in hun pensioen, een achterblijven van het pensioen bij de koopkrachtontwikkeling en schokken in het micro en macro </w:t>
      </w:r>
      <w:proofErr w:type="spellStart"/>
      <w:r>
        <w:rPr>
          <w:rFonts w:eastAsia="Times New Roman"/>
        </w:rPr>
        <w:t>langlevenrisico</w:t>
      </w:r>
      <w:proofErr w:type="spellEnd"/>
      <w:r>
        <w:rPr>
          <w:rFonts w:eastAsia="Times New Roman"/>
        </w:rPr>
        <w:t>. </w:t>
      </w:r>
    </w:p>
    <w:p w:rsidR="00A81317" w:rsidP="00A81317" w:rsidRDefault="00A81317">
      <w:pPr>
        <w:rPr>
          <w:rFonts w:eastAsia="Times New Roman"/>
        </w:rPr>
      </w:pPr>
    </w:p>
    <w:p w:rsidR="00A81317" w:rsidP="00A81317" w:rsidRDefault="00A81317">
      <w:pPr>
        <w:rPr>
          <w:rFonts w:eastAsia="Times New Roman"/>
        </w:rPr>
      </w:pPr>
      <w:r>
        <w:rPr>
          <w:rFonts w:eastAsia="Times New Roman"/>
        </w:rPr>
        <w:t>Daarenboven zullen gepensioneerden- net als de werkenden- meer en meer van hun pensioenfonds vragen te beleggen voor een schone, vrij</w:t>
      </w:r>
      <w:r w:rsidR="00A676E1">
        <w:rPr>
          <w:rFonts w:eastAsia="Times New Roman"/>
        </w:rPr>
        <w:t>e</w:t>
      </w:r>
      <w:r>
        <w:rPr>
          <w:rFonts w:eastAsia="Times New Roman"/>
        </w:rPr>
        <w:t xml:space="preserve"> en veilige woon- en leefomgeving. Ook dat vraagt een heroriëntatie op het beleggingsbeleid. En passant zullen deelnemers meehelpen hun pensioenfonds weer een maatschappelijke verantwoordelijkheid te geven. Het pensioenvermogen ligt klaar voor sociale woningbouw, infrastructurele verbeteringen, de klimaat- en energietransitie, de transitie in de landbouw om de voedselveiligheid te kunnen blijven bieden, de transitie in ons waterbeheer </w:t>
      </w:r>
      <w:proofErr w:type="spellStart"/>
      <w:r>
        <w:rPr>
          <w:rFonts w:eastAsia="Times New Roman"/>
        </w:rPr>
        <w:t>enz</w:t>
      </w:r>
      <w:proofErr w:type="spellEnd"/>
      <w:r>
        <w:rPr>
          <w:rFonts w:eastAsia="Times New Roman"/>
        </w:rPr>
        <w:t xml:space="preserve"> enz. We hebben daarvoor geen investeringsfonds van Wopke-</w:t>
      </w:r>
      <w:proofErr w:type="spellStart"/>
      <w:r>
        <w:rPr>
          <w:rFonts w:eastAsia="Times New Roman"/>
        </w:rPr>
        <w:t>Wiebes</w:t>
      </w:r>
      <w:proofErr w:type="spellEnd"/>
      <w:r>
        <w:rPr>
          <w:rFonts w:eastAsia="Times New Roman"/>
        </w:rPr>
        <w:t xml:space="preserve"> nodig. We hoeven alleen maar het pensioenvermogen aan te wenden, waarover dan een stabiel </w:t>
      </w:r>
      <w:r w:rsidR="00A676E1">
        <w:rPr>
          <w:rFonts w:eastAsia="Times New Roman"/>
        </w:rPr>
        <w:t>reëel</w:t>
      </w:r>
      <w:r>
        <w:rPr>
          <w:rFonts w:eastAsia="Times New Roman"/>
        </w:rPr>
        <w:t xml:space="preserve"> rendement wordt vergoed van ten minste 2%.</w:t>
      </w:r>
    </w:p>
    <w:p w:rsidR="00A81317" w:rsidP="00A81317" w:rsidRDefault="00A81317">
      <w:pPr>
        <w:rPr>
          <w:rFonts w:eastAsia="Times New Roman"/>
        </w:rPr>
      </w:pPr>
    </w:p>
    <w:p w:rsidR="00A81317" w:rsidP="00A81317" w:rsidRDefault="00A81317">
      <w:pPr>
        <w:rPr>
          <w:rFonts w:eastAsia="Times New Roman"/>
        </w:rPr>
      </w:pPr>
      <w:r>
        <w:rPr>
          <w:rFonts w:eastAsia="Times New Roman"/>
        </w:rPr>
        <w:t xml:space="preserve">We schaffen de zekerheid af. Dat doen we in een tijd van radicale onzekerheid en </w:t>
      </w:r>
      <w:proofErr w:type="spellStart"/>
      <w:r>
        <w:rPr>
          <w:rFonts w:eastAsia="Times New Roman"/>
        </w:rPr>
        <w:t>disruptie</w:t>
      </w:r>
      <w:proofErr w:type="spellEnd"/>
      <w:r>
        <w:rPr>
          <w:rFonts w:eastAsia="Times New Roman"/>
        </w:rPr>
        <w:t>. We doen het juist vanwege die toegenomen onzekerheden. Omwille van de betaalbaarheid moeten we juist dat risico omarmen en (veel) meer in aandelen beleggen waarbij we dan wel aandelen kiezen in bedrijven die bovengenoemde transities toejuichen, zelf najagen en mede mogelijk maken. </w:t>
      </w:r>
    </w:p>
    <w:p w:rsidR="00A81317" w:rsidP="00A81317" w:rsidRDefault="00A81317">
      <w:pPr>
        <w:rPr>
          <w:rFonts w:eastAsia="Times New Roman"/>
        </w:rPr>
      </w:pPr>
    </w:p>
    <w:p w:rsidR="00A81317" w:rsidP="00A81317" w:rsidRDefault="00A81317">
      <w:pPr>
        <w:rPr>
          <w:rFonts w:eastAsia="Times New Roman"/>
        </w:rPr>
      </w:pPr>
      <w:r>
        <w:rPr>
          <w:rFonts w:eastAsia="Times New Roman"/>
        </w:rPr>
        <w:t>Afschaffe</w:t>
      </w:r>
      <w:r w:rsidR="00B14362">
        <w:rPr>
          <w:rFonts w:eastAsia="Times New Roman"/>
        </w:rPr>
        <w:t>n van de zekerheid betekent</w:t>
      </w:r>
      <w:r>
        <w:rPr>
          <w:rFonts w:eastAsia="Times New Roman"/>
        </w:rPr>
        <w:t xml:space="preserve"> risico. Nu de werkgever als ‘</w:t>
      </w:r>
      <w:proofErr w:type="spellStart"/>
      <w:r>
        <w:rPr>
          <w:rFonts w:eastAsia="Times New Roman"/>
        </w:rPr>
        <w:t>lender</w:t>
      </w:r>
      <w:proofErr w:type="spellEnd"/>
      <w:r>
        <w:rPr>
          <w:rFonts w:eastAsia="Times New Roman"/>
        </w:rPr>
        <w:t xml:space="preserve"> of last resort’ is uitgestapt, is dat risico volledig van de deelnemers. Dat betekent dat het pensioenfonds als trustee moet zorgen dat die risico’s evenwichtig worden toebedeeld. Die evenwichtigheid moet in samenhang met de herijking van het beleggingsbeleid de komende jaren z’n beslag krijgen. Dan gaat het over de omvang van het risico en de toedeling ervan, dat alles ingebed in de belangrijke doelstelling van stabiliteit. Immers, van </w:t>
      </w:r>
      <w:r w:rsidR="000479A7">
        <w:rPr>
          <w:rFonts w:eastAsia="Times New Roman"/>
        </w:rPr>
        <w:t>(</w:t>
      </w:r>
      <w:r>
        <w:rPr>
          <w:rFonts w:eastAsia="Times New Roman"/>
        </w:rPr>
        <w:t>grote</w:t>
      </w:r>
      <w:r w:rsidR="000479A7">
        <w:rPr>
          <w:rFonts w:eastAsia="Times New Roman"/>
        </w:rPr>
        <w:t>)</w:t>
      </w:r>
      <w:r>
        <w:rPr>
          <w:rFonts w:eastAsia="Times New Roman"/>
        </w:rPr>
        <w:t xml:space="preserve"> volatiliteit wordt niemand vrolijk en verzekeren tegen volatiliteit is niet langer houdbaar hebben we vastgesteld. En dat betekent risico delen en schokken uitsmeren in de tijd. </w:t>
      </w:r>
    </w:p>
    <w:p w:rsidR="00A81317" w:rsidP="00A81317" w:rsidRDefault="00A81317">
      <w:pPr>
        <w:rPr>
          <w:rFonts w:eastAsia="Times New Roman"/>
        </w:rPr>
      </w:pPr>
    </w:p>
    <w:p w:rsidR="00E56A1F" w:rsidP="00A81317" w:rsidRDefault="00A81317">
      <w:pPr>
        <w:rPr>
          <w:rFonts w:eastAsia="Times New Roman"/>
        </w:rPr>
      </w:pPr>
      <w:r>
        <w:rPr>
          <w:rFonts w:eastAsia="Times New Roman"/>
        </w:rPr>
        <w:t>Daarin betrekken we ook de toekomst, de toekomstige deelnem</w:t>
      </w:r>
      <w:r w:rsidR="00A676E1">
        <w:rPr>
          <w:rFonts w:eastAsia="Times New Roman"/>
        </w:rPr>
        <w:t>ers. Om de eenvoudige reden dat ‘taart vergroten door buiten de</w:t>
      </w:r>
      <w:r w:rsidR="00164619">
        <w:rPr>
          <w:rFonts w:eastAsia="Times New Roman"/>
        </w:rPr>
        <w:t xml:space="preserve"> bestaande</w:t>
      </w:r>
      <w:r w:rsidR="00A676E1">
        <w:rPr>
          <w:rFonts w:eastAsia="Times New Roman"/>
        </w:rPr>
        <w:t xml:space="preserve"> kring te kijken’ een beter pensioen oplevert voor alle generaties. </w:t>
      </w:r>
    </w:p>
    <w:p w:rsidR="00E56A1F" w:rsidP="00A81317" w:rsidRDefault="00E56A1F">
      <w:pPr>
        <w:rPr>
          <w:rFonts w:eastAsia="Times New Roman"/>
        </w:rPr>
      </w:pPr>
    </w:p>
    <w:p w:rsidR="00164619" w:rsidP="00A81317" w:rsidRDefault="00A676E1">
      <w:pPr>
        <w:rPr>
          <w:rFonts w:eastAsia="Times New Roman"/>
        </w:rPr>
      </w:pPr>
      <w:r>
        <w:rPr>
          <w:rFonts w:eastAsia="Times New Roman"/>
        </w:rPr>
        <w:t xml:space="preserve">Dat </w:t>
      </w:r>
      <w:r w:rsidR="00E56A1F">
        <w:rPr>
          <w:rFonts w:eastAsia="Times New Roman"/>
        </w:rPr>
        <w:t xml:space="preserve">we de solidariteit als pijler handhaven </w:t>
      </w:r>
      <w:r>
        <w:rPr>
          <w:rFonts w:eastAsia="Times New Roman"/>
        </w:rPr>
        <w:t>moeten we niet alleen met de mond belijden, we moeten de risicodeling en –spreiding ook echt body geven.</w:t>
      </w:r>
      <w:r w:rsidR="00E56A1F">
        <w:rPr>
          <w:rFonts w:eastAsia="Times New Roman"/>
        </w:rPr>
        <w:t xml:space="preserve"> Een solidariteitsreserve die gemiddeld in de tijd een omvang heeft van 3% van de som van de persoonlijke pensioenvermogens zoals het CPB</w:t>
      </w:r>
      <w:r w:rsidR="008901D1">
        <w:rPr>
          <w:rFonts w:eastAsia="Times New Roman"/>
        </w:rPr>
        <w:t>,</w:t>
      </w:r>
      <w:r w:rsidR="00E56A1F">
        <w:rPr>
          <w:rFonts w:eastAsia="Times New Roman"/>
        </w:rPr>
        <w:t xml:space="preserve"> </w:t>
      </w:r>
      <w:r w:rsidR="008901D1">
        <w:rPr>
          <w:rFonts w:eastAsia="Times New Roman"/>
        </w:rPr>
        <w:t xml:space="preserve">op basis van de regels die nu zijn opgenomen in het uitwerkingsakkoord, </w:t>
      </w:r>
      <w:r w:rsidR="00E56A1F">
        <w:rPr>
          <w:rFonts w:eastAsia="Times New Roman"/>
        </w:rPr>
        <w:t>heeft berekend</w:t>
      </w:r>
      <w:r w:rsidR="00D053D2">
        <w:rPr>
          <w:rFonts w:eastAsia="Times New Roman"/>
        </w:rPr>
        <w:t xml:space="preserve">, is daartoe </w:t>
      </w:r>
      <w:r w:rsidR="009A6BBC">
        <w:rPr>
          <w:rFonts w:eastAsia="Times New Roman"/>
        </w:rPr>
        <w:t>onvoldoende. Bedacht dient te worden dat deze solidariteitsreserve het cement is dat de persoonlijke pensioenvermogens bij elkaar moet hou</w:t>
      </w:r>
      <w:r w:rsidR="00D053D2">
        <w:rPr>
          <w:rFonts w:eastAsia="Times New Roman"/>
        </w:rPr>
        <w:t>den. Dit om te voorkomen dat we</w:t>
      </w:r>
      <w:r w:rsidR="009A6BBC">
        <w:rPr>
          <w:rFonts w:eastAsia="Times New Roman"/>
        </w:rPr>
        <w:t xml:space="preserve"> om met Paul de Beer te spreken ‘de parel in de kroon laten verpulveren</w:t>
      </w:r>
      <w:r w:rsidR="00726B1C">
        <w:rPr>
          <w:rFonts w:eastAsia="Times New Roman"/>
        </w:rPr>
        <w:t xml:space="preserve"> in miljoenen persoonlijke pensioenpotjes</w:t>
      </w:r>
      <w:r w:rsidR="009A6BBC">
        <w:rPr>
          <w:rFonts w:eastAsia="Times New Roman"/>
        </w:rPr>
        <w:t>’.</w:t>
      </w:r>
      <w:r w:rsidR="009A6BBC">
        <w:rPr>
          <w:rStyle w:val="Voetnootmarkering"/>
          <w:rFonts w:eastAsia="Times New Roman"/>
        </w:rPr>
        <w:footnoteReference w:id="2"/>
      </w:r>
      <w:r w:rsidR="00726B1C">
        <w:rPr>
          <w:rFonts w:eastAsia="Times New Roman"/>
        </w:rPr>
        <w:t xml:space="preserve"> Met een </w:t>
      </w:r>
      <w:r w:rsidR="000479A7">
        <w:rPr>
          <w:rFonts w:eastAsia="Times New Roman"/>
        </w:rPr>
        <w:t>‘</w:t>
      </w:r>
      <w:r w:rsidR="00726B1C">
        <w:rPr>
          <w:rFonts w:eastAsia="Times New Roman"/>
        </w:rPr>
        <w:t>ieder voor zich</w:t>
      </w:r>
      <w:r w:rsidR="000479A7">
        <w:rPr>
          <w:rFonts w:eastAsia="Times New Roman"/>
        </w:rPr>
        <w:t>’</w:t>
      </w:r>
      <w:r w:rsidR="00726B1C">
        <w:rPr>
          <w:rFonts w:eastAsia="Times New Roman"/>
        </w:rPr>
        <w:t xml:space="preserve"> als uitkomst.</w:t>
      </w:r>
      <w:r w:rsidR="000479A7">
        <w:rPr>
          <w:rFonts w:eastAsia="Times New Roman"/>
        </w:rPr>
        <w:t xml:space="preserve"> Veelal betekent dat ‘allemaal te weinig’. </w:t>
      </w:r>
      <w:r w:rsidR="00726B1C">
        <w:rPr>
          <w:rFonts w:eastAsia="Times New Roman"/>
        </w:rPr>
        <w:t xml:space="preserve">  </w:t>
      </w:r>
    </w:p>
    <w:p w:rsidR="00164619" w:rsidP="00A81317" w:rsidRDefault="00164619">
      <w:pPr>
        <w:rPr>
          <w:rFonts w:eastAsia="Times New Roman"/>
        </w:rPr>
      </w:pPr>
    </w:p>
    <w:p w:rsidR="00A81317" w:rsidP="00A81317" w:rsidRDefault="009A6BBC">
      <w:pPr>
        <w:rPr>
          <w:rFonts w:eastAsia="Times New Roman"/>
        </w:rPr>
      </w:pPr>
      <w:r>
        <w:rPr>
          <w:rFonts w:eastAsia="Times New Roman"/>
        </w:rPr>
        <w:t>Geef fondsen met hun verantwoordingsorgaan de ruimte om hun ideale solidariteitsreserve vorm te geven in combinatie met het beleggingsbeleid en de spreidingsregels. Mochten we (=samenleving, fondsdeelnemers en de toezichthouders</w:t>
      </w:r>
      <w:r w:rsidR="008901D1">
        <w:rPr>
          <w:rFonts w:eastAsia="Times New Roman"/>
        </w:rPr>
        <w:t>) vinden dat fondsen te veel ruimte nemen – wat ‘teveel’ dan ook is - , dan kan er altijd bij een eerste evaluatie corrigerende wetgeving volgen.</w:t>
      </w:r>
    </w:p>
    <w:p w:rsidR="00A5221C" w:rsidP="00A81317" w:rsidRDefault="00A5221C">
      <w:pPr>
        <w:rPr>
          <w:rFonts w:eastAsia="Times New Roman"/>
        </w:rPr>
      </w:pPr>
    </w:p>
    <w:p w:rsidR="00A5221C" w:rsidP="00A81317" w:rsidRDefault="00A5221C">
      <w:pPr>
        <w:rPr>
          <w:rFonts w:eastAsia="Times New Roman"/>
        </w:rPr>
      </w:pPr>
      <w:r>
        <w:rPr>
          <w:rFonts w:eastAsia="Times New Roman"/>
        </w:rPr>
        <w:lastRenderedPageBreak/>
        <w:t>Wat winnen we hiermee?</w:t>
      </w:r>
    </w:p>
    <w:p w:rsidR="00A5221C" w:rsidP="00A81317" w:rsidRDefault="00A5221C">
      <w:pPr>
        <w:rPr>
          <w:rFonts w:eastAsia="Times New Roman"/>
        </w:rPr>
      </w:pPr>
      <w:r>
        <w:rPr>
          <w:rFonts w:eastAsia="Times New Roman"/>
        </w:rPr>
        <w:t>Zonder uitputtend te willen zijn, noem ik</w:t>
      </w:r>
    </w:p>
    <w:p w:rsidR="00D053D2" w:rsidP="00A81317" w:rsidRDefault="00D053D2">
      <w:pPr>
        <w:rPr>
          <w:rFonts w:eastAsia="Times New Roman"/>
        </w:rPr>
      </w:pPr>
    </w:p>
    <w:p w:rsidR="00A5221C" w:rsidP="00A5221C" w:rsidRDefault="00A5221C">
      <w:pPr>
        <w:pStyle w:val="Lijstalinea"/>
        <w:numPr>
          <w:ilvl w:val="0"/>
          <w:numId w:val="11"/>
        </w:numPr>
        <w:rPr>
          <w:rFonts w:eastAsia="Times New Roman"/>
        </w:rPr>
      </w:pPr>
      <w:r>
        <w:rPr>
          <w:rFonts w:eastAsia="Times New Roman"/>
        </w:rPr>
        <w:t xml:space="preserve">Betrokkenheid van deelnemers; zij krijgen het risico en hun fonds </w:t>
      </w:r>
      <w:r w:rsidR="00164619">
        <w:rPr>
          <w:rFonts w:eastAsia="Times New Roman"/>
        </w:rPr>
        <w:t xml:space="preserve">geven we </w:t>
      </w:r>
      <w:r>
        <w:rPr>
          <w:rFonts w:eastAsia="Times New Roman"/>
        </w:rPr>
        <w:t>de ruimte om dat als trustee voor hen en met hen te managen o</w:t>
      </w:r>
      <w:r w:rsidR="00D053D2">
        <w:rPr>
          <w:rFonts w:eastAsia="Times New Roman"/>
        </w:rPr>
        <w:t>p een manier die hen past</w:t>
      </w:r>
      <w:r w:rsidR="0098540D">
        <w:rPr>
          <w:rFonts w:eastAsia="Times New Roman"/>
        </w:rPr>
        <w:t>.</w:t>
      </w:r>
    </w:p>
    <w:p w:rsidR="00A5221C" w:rsidP="00A5221C" w:rsidRDefault="00A5221C">
      <w:pPr>
        <w:pStyle w:val="Lijstalinea"/>
        <w:numPr>
          <w:ilvl w:val="0"/>
          <w:numId w:val="11"/>
        </w:numPr>
        <w:rPr>
          <w:rFonts w:eastAsia="Times New Roman"/>
        </w:rPr>
      </w:pPr>
      <w:r>
        <w:rPr>
          <w:rFonts w:eastAsia="Times New Roman"/>
        </w:rPr>
        <w:t xml:space="preserve">We doen wat we zeggen </w:t>
      </w:r>
      <w:r w:rsidR="00D053D2">
        <w:rPr>
          <w:rFonts w:eastAsia="Times New Roman"/>
        </w:rPr>
        <w:t xml:space="preserve">– we handhaven de intergenerationele solidariteit - </w:t>
      </w:r>
      <w:r>
        <w:rPr>
          <w:rFonts w:eastAsia="Times New Roman"/>
        </w:rPr>
        <w:t xml:space="preserve">door de ruimte te geven </w:t>
      </w:r>
      <w:r w:rsidR="00164619">
        <w:rPr>
          <w:rFonts w:eastAsia="Times New Roman"/>
        </w:rPr>
        <w:t xml:space="preserve">om </w:t>
      </w:r>
      <w:r>
        <w:rPr>
          <w:rFonts w:eastAsia="Times New Roman"/>
        </w:rPr>
        <w:t>de solid</w:t>
      </w:r>
      <w:r w:rsidR="0098540D">
        <w:rPr>
          <w:rFonts w:eastAsia="Times New Roman"/>
        </w:rPr>
        <w:t>ariteit voldoende body te geven.</w:t>
      </w:r>
    </w:p>
    <w:p w:rsidR="00A5221C" w:rsidP="00A5221C" w:rsidRDefault="00A5221C">
      <w:pPr>
        <w:pStyle w:val="Lijstalinea"/>
        <w:numPr>
          <w:ilvl w:val="0"/>
          <w:numId w:val="11"/>
        </w:numPr>
        <w:rPr>
          <w:rFonts w:eastAsia="Times New Roman"/>
        </w:rPr>
      </w:pPr>
      <w:r>
        <w:rPr>
          <w:rFonts w:eastAsia="Times New Roman"/>
        </w:rPr>
        <w:t>Het voorkomt dat fondsen steeds minder beleggingsrisico durven nemen met een steeds lager pensioen tot gevolg</w:t>
      </w:r>
      <w:r w:rsidR="0098540D">
        <w:rPr>
          <w:rFonts w:eastAsia="Times New Roman"/>
        </w:rPr>
        <w:t>.</w:t>
      </w:r>
    </w:p>
    <w:p w:rsidR="00990EC7" w:rsidP="00A5221C" w:rsidRDefault="00A5221C">
      <w:pPr>
        <w:pStyle w:val="Lijstalinea"/>
        <w:numPr>
          <w:ilvl w:val="0"/>
          <w:numId w:val="11"/>
        </w:numPr>
        <w:rPr>
          <w:rFonts w:eastAsia="Times New Roman"/>
        </w:rPr>
      </w:pPr>
      <w:r>
        <w:rPr>
          <w:rFonts w:eastAsia="Times New Roman"/>
        </w:rPr>
        <w:t>Het</w:t>
      </w:r>
      <w:r w:rsidR="00990EC7">
        <w:rPr>
          <w:rFonts w:eastAsia="Times New Roman"/>
        </w:rPr>
        <w:t xml:space="preserve"> nodigt uit tot een debat in de fondsen en in de maatschappij over risico van beleggen en over de maatschap</w:t>
      </w:r>
      <w:r w:rsidR="00D053D2">
        <w:rPr>
          <w:rFonts w:eastAsia="Times New Roman"/>
        </w:rPr>
        <w:t>pelijke rol van pensioenfondsen</w:t>
      </w:r>
      <w:r w:rsidR="0098540D">
        <w:rPr>
          <w:rFonts w:eastAsia="Times New Roman"/>
        </w:rPr>
        <w:t>.</w:t>
      </w:r>
      <w:r w:rsidR="00990EC7">
        <w:rPr>
          <w:rFonts w:eastAsia="Times New Roman"/>
        </w:rPr>
        <w:t xml:space="preserve"> </w:t>
      </w:r>
    </w:p>
    <w:p w:rsidR="00A5221C" w:rsidP="00A5221C" w:rsidRDefault="00990EC7">
      <w:pPr>
        <w:pStyle w:val="Lijstalinea"/>
        <w:numPr>
          <w:ilvl w:val="0"/>
          <w:numId w:val="11"/>
        </w:numPr>
        <w:rPr>
          <w:rFonts w:eastAsia="Times New Roman"/>
        </w:rPr>
      </w:pPr>
      <w:r>
        <w:rPr>
          <w:rFonts w:eastAsia="Times New Roman"/>
        </w:rPr>
        <w:t xml:space="preserve">Het nodigt tevens uit tot een maatschappelijk debat over de </w:t>
      </w:r>
      <w:proofErr w:type="spellStart"/>
      <w:r>
        <w:rPr>
          <w:rFonts w:eastAsia="Times New Roman"/>
        </w:rPr>
        <w:t>governance</w:t>
      </w:r>
      <w:proofErr w:type="spellEnd"/>
      <w:r>
        <w:rPr>
          <w:rFonts w:eastAsia="Times New Roman"/>
        </w:rPr>
        <w:t xml:space="preserve"> van pensioenfondsen; hoe kunnen we de </w:t>
      </w:r>
      <w:proofErr w:type="spellStart"/>
      <w:r>
        <w:rPr>
          <w:rFonts w:eastAsia="Times New Roman"/>
        </w:rPr>
        <w:t>governance</w:t>
      </w:r>
      <w:proofErr w:type="spellEnd"/>
      <w:r>
        <w:rPr>
          <w:rFonts w:eastAsia="Times New Roman"/>
        </w:rPr>
        <w:t xml:space="preserve"> versterken zodanig dat fondsen hun trustee-rol kunnen vervullen en intern en extern toezicht elkaar kunnen vers</w:t>
      </w:r>
      <w:r w:rsidR="00D053D2">
        <w:rPr>
          <w:rFonts w:eastAsia="Times New Roman"/>
        </w:rPr>
        <w:t>terken, elk vanuit de eigen rol</w:t>
      </w:r>
      <w:r w:rsidR="009512F9">
        <w:rPr>
          <w:rFonts w:eastAsia="Times New Roman"/>
        </w:rPr>
        <w:t>? Hoe kunnen we het mandaat van het bestuur door de deelnemers versterken?</w:t>
      </w:r>
      <w:bookmarkStart w:name="_GoBack" w:id="0"/>
      <w:bookmarkEnd w:id="0"/>
    </w:p>
    <w:p w:rsidRPr="00A5221C" w:rsidR="00A5221C" w:rsidP="00174A79" w:rsidRDefault="00A5221C">
      <w:pPr>
        <w:pStyle w:val="Lijstalinea"/>
        <w:rPr>
          <w:rFonts w:eastAsia="Times New Roman"/>
        </w:rPr>
      </w:pPr>
    </w:p>
    <w:p w:rsidRPr="006A61C1" w:rsidR="006A61C1" w:rsidP="009D4919" w:rsidRDefault="006A61C1">
      <w:pPr>
        <w:rPr>
          <w:i/>
        </w:rPr>
      </w:pPr>
      <w:r>
        <w:t xml:space="preserve">Ad 4. </w:t>
      </w:r>
      <w:r w:rsidRPr="006A61C1">
        <w:rPr>
          <w:i/>
        </w:rPr>
        <w:t>Overweeg om</w:t>
      </w:r>
      <w:r w:rsidRPr="006A61C1" w:rsidR="009D4919">
        <w:rPr>
          <w:i/>
        </w:rPr>
        <w:t xml:space="preserve"> in de pensioenwet vast te leggen dat de toegezegde premie is gebaseerd op een afgesproken na te streven ambitie in termen van een vervangingsratio met koopkrachtbehoud na pensioeningang. En ook de verantwoordelijkheid van het pensioenfonds vast te leggen voor de monitoring, rapportage aan de cao-tafel en communicatie naar de deelnemers. </w:t>
      </w:r>
    </w:p>
    <w:p w:rsidR="006A61C1" w:rsidP="009D4919" w:rsidRDefault="006A61C1"/>
    <w:p w:rsidR="009D4919" w:rsidP="009D4919" w:rsidRDefault="00B92272">
      <w:r>
        <w:t>W</w:t>
      </w:r>
      <w:r w:rsidRPr="009D4919" w:rsidR="009D4919">
        <w:t>e kennen straks alleen nog contracten waarin de werkgever/opdrachtgever een premie toezegt. Maar wel is afgesproken dat die premie gebaseerd moet zijn op een ambitie die partijen aan de cao-tafel afspreken. Dat is nodig. De tweede pi</w:t>
      </w:r>
      <w:r w:rsidR="0098540D">
        <w:t>jler is als aanvulling op de AOW dermate groot – omdat de AOW</w:t>
      </w:r>
      <w:r w:rsidRPr="009D4919" w:rsidR="009D4919">
        <w:t xml:space="preserve"> een voorziening is op basisniveau – dat </w:t>
      </w:r>
      <w:r w:rsidR="0098540D">
        <w:t>AOW</w:t>
      </w:r>
      <w:r w:rsidRPr="009D4919" w:rsidR="009D4919">
        <w:t xml:space="preserve"> plus aanvullend pensioen samen de vervangingsratio moeten bieden voor de sociale doelstelling ‘het pensioen en de </w:t>
      </w:r>
      <w:r w:rsidR="0098540D">
        <w:t xml:space="preserve">AOW </w:t>
      </w:r>
      <w:r w:rsidRPr="009D4919" w:rsidR="009D4919">
        <w:t>samen moeten de gepensioneerde in staat stellen zijn uitgavenpatroon ook na pensioeningang in redelijke mate te kunnen voortzetten’. De ambitie dient daartoe als kompas, zowel aan de cao-tafel voor de premie als om aan de deelnemers in het fonds een uitzicht te bieden waar zij zich op kunnen richten.</w:t>
      </w:r>
    </w:p>
    <w:p w:rsidR="009D4919" w:rsidP="009D4919" w:rsidRDefault="009D4919"/>
    <w:p w:rsidRPr="009D4919" w:rsidR="009D4919" w:rsidP="009D4919" w:rsidRDefault="009D4919">
      <w:r w:rsidRPr="009D4919">
        <w:t>Dit vraagt zorgvuldige afstemming tussen de cao-tafel en het pensioenfonds. Het fonds zal de vraag moeten beantwoorden of de premie voldoende is om de ambitie te schragen bij een risiconiveau dat het draagvlak van de deelnemers niet te boven gaat. Pas als dit het geval is mag het pensioenfonds de opdracht aanvaarden. Vervolgens zal het fonds periodiek meten of de premie en ambitie nog op elkaar aansluiten en dit rapporteren aan de cao-tafel. En als blijkt dat die aansluiting er niet meer is, zal de rapportage de vraag moeten bevatten: wat past u aan, de ambitie, de premie of beide?</w:t>
      </w:r>
    </w:p>
    <w:p w:rsidR="009D4919" w:rsidP="009D4919" w:rsidRDefault="009D4919"/>
    <w:p w:rsidRPr="009D4919" w:rsidR="009D4919" w:rsidP="009D4919" w:rsidRDefault="009D4919">
      <w:r w:rsidRPr="009D4919">
        <w:t xml:space="preserve">Het vraagt ook een duidelijke communicatie naar de deelnemers, ongeveer als volgt. De jaarlijkse premie is volgens de meest actuele inzichten en bij het beleggingsbeleid dat wij voor u voeren voldoende om de ambitie te schragen die u ziet in uw pensioenoverzicht. Wij monitoren de premie en de ambitie periodiek en rapporteren daarover aan de cao-tafel. </w:t>
      </w:r>
    </w:p>
    <w:p w:rsidR="009D4919" w:rsidP="00164619" w:rsidRDefault="009D4919"/>
    <w:p w:rsidR="006A61C1" w:rsidP="006A61C1" w:rsidRDefault="006A61C1">
      <w:pPr>
        <w:rPr>
          <w:rFonts w:eastAsia="Times New Roman"/>
        </w:rPr>
      </w:pPr>
      <w:r>
        <w:rPr>
          <w:rFonts w:eastAsia="Times New Roman"/>
        </w:rPr>
        <w:t>Wat winnen we hiermee?</w:t>
      </w:r>
    </w:p>
    <w:p w:rsidR="006A61C1" w:rsidP="006A61C1" w:rsidRDefault="006A61C1">
      <w:pPr>
        <w:rPr>
          <w:rFonts w:eastAsia="Times New Roman"/>
        </w:rPr>
      </w:pPr>
      <w:r>
        <w:rPr>
          <w:rFonts w:eastAsia="Times New Roman"/>
        </w:rPr>
        <w:t>Zonder uitputtend te willen zijn, noem ik</w:t>
      </w:r>
    </w:p>
    <w:p w:rsidRPr="009D4919" w:rsidR="009D4919" w:rsidP="009D4919" w:rsidRDefault="009D4919"/>
    <w:p w:rsidR="006A61C1" w:rsidP="006A61C1" w:rsidRDefault="006A61C1">
      <w:pPr>
        <w:pStyle w:val="Lijstalinea"/>
        <w:numPr>
          <w:ilvl w:val="0"/>
          <w:numId w:val="20"/>
        </w:numPr>
      </w:pPr>
      <w:r w:rsidRPr="009D4919">
        <w:t xml:space="preserve">Het helpt de cao-tafel bij het managen van de arbeidsvoorwaarde pensioen. </w:t>
      </w:r>
    </w:p>
    <w:p w:rsidR="006A61C1" w:rsidP="006A61C1" w:rsidRDefault="006A61C1">
      <w:pPr>
        <w:pStyle w:val="Lijstalinea"/>
        <w:numPr>
          <w:ilvl w:val="0"/>
          <w:numId w:val="20"/>
        </w:numPr>
      </w:pPr>
      <w:r w:rsidRPr="009D4919">
        <w:lastRenderedPageBreak/>
        <w:t xml:space="preserve">Het helpt het pensioenfonds bij de eerlijke en duidelijke boodschap aan de deelnemers. </w:t>
      </w:r>
    </w:p>
    <w:p w:rsidR="006A61C1" w:rsidP="006A61C1" w:rsidRDefault="006A61C1">
      <w:pPr>
        <w:pStyle w:val="Lijstalinea"/>
        <w:numPr>
          <w:ilvl w:val="0"/>
          <w:numId w:val="20"/>
        </w:numPr>
      </w:pPr>
      <w:r>
        <w:t>H</w:t>
      </w:r>
      <w:r w:rsidRPr="009D4919">
        <w:t>et helpt in het verwachtingsmanagement bij alle drie de partijen.</w:t>
      </w:r>
    </w:p>
    <w:p w:rsidR="006A61C1" w:rsidP="006A61C1" w:rsidRDefault="006A61C1">
      <w:pPr>
        <w:pStyle w:val="Lijstalinea"/>
        <w:numPr>
          <w:ilvl w:val="0"/>
          <w:numId w:val="20"/>
        </w:numPr>
      </w:pPr>
      <w:r>
        <w:t>Het helpt ook het verantwoordingsorgaan in het aanspreken van het pensioenfonds in zijn trustee-rol.</w:t>
      </w:r>
    </w:p>
    <w:p w:rsidRPr="009D4919" w:rsidR="006A61C1" w:rsidP="006A61C1" w:rsidRDefault="006A61C1">
      <w:pPr>
        <w:pStyle w:val="Lijstalinea"/>
        <w:numPr>
          <w:ilvl w:val="0"/>
          <w:numId w:val="20"/>
        </w:numPr>
      </w:pPr>
      <w:r>
        <w:t>En het helpt de toezichthouders DNB en AFM in hun extern toezicht door de transparantie in rollen en verantwoordelijkheden.</w:t>
      </w:r>
    </w:p>
    <w:p w:rsidR="009D4919" w:rsidP="00164619" w:rsidRDefault="009D4919"/>
    <w:p w:rsidR="009D4919" w:rsidP="00164619" w:rsidRDefault="009D4919"/>
    <w:p w:rsidRPr="00D053D2" w:rsidR="009D4919" w:rsidP="00164619" w:rsidRDefault="009D4919"/>
    <w:p w:rsidR="00D06C19" w:rsidP="00164619" w:rsidRDefault="00D06C19">
      <w:pPr>
        <w:rPr>
          <w:b/>
          <w:sz w:val="20"/>
          <w:szCs w:val="20"/>
        </w:rPr>
      </w:pPr>
    </w:p>
    <w:p w:rsidR="00D06C19" w:rsidP="00164619" w:rsidRDefault="00D06C19">
      <w:pPr>
        <w:rPr>
          <w:b/>
          <w:sz w:val="20"/>
          <w:szCs w:val="20"/>
        </w:rPr>
      </w:pPr>
    </w:p>
    <w:p w:rsidRPr="00164619" w:rsidR="00990EC7" w:rsidP="00164619" w:rsidRDefault="00164619">
      <w:pPr>
        <w:rPr>
          <w:b/>
          <w:sz w:val="20"/>
          <w:szCs w:val="20"/>
        </w:rPr>
      </w:pPr>
      <w:r w:rsidRPr="00164619">
        <w:rPr>
          <w:b/>
          <w:sz w:val="20"/>
          <w:szCs w:val="20"/>
        </w:rPr>
        <w:t>JT/</w:t>
      </w:r>
      <w:r w:rsidR="009D4919">
        <w:rPr>
          <w:b/>
          <w:sz w:val="20"/>
          <w:szCs w:val="20"/>
        </w:rPr>
        <w:t>okto</w:t>
      </w:r>
      <w:r w:rsidRPr="00164619">
        <w:rPr>
          <w:b/>
          <w:sz w:val="20"/>
          <w:szCs w:val="20"/>
        </w:rPr>
        <w:t>ber 2020</w:t>
      </w:r>
    </w:p>
    <w:sectPr w:rsidRPr="00164619" w:rsidR="00990EC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DD2" w:rsidRDefault="00033DD2" w:rsidP="00033DD2">
      <w:r>
        <w:separator/>
      </w:r>
    </w:p>
  </w:endnote>
  <w:endnote w:type="continuationSeparator" w:id="0">
    <w:p w:rsidR="00033DD2" w:rsidRDefault="00033DD2" w:rsidP="0003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DD2" w:rsidRDefault="00033DD2" w:rsidP="00033DD2">
      <w:r>
        <w:separator/>
      </w:r>
    </w:p>
  </w:footnote>
  <w:footnote w:type="continuationSeparator" w:id="0">
    <w:p w:rsidR="00033DD2" w:rsidRDefault="00033DD2" w:rsidP="00033DD2">
      <w:r>
        <w:continuationSeparator/>
      </w:r>
    </w:p>
  </w:footnote>
  <w:footnote w:id="1">
    <w:p w:rsidR="00033DD2" w:rsidRDefault="00033DD2">
      <w:pPr>
        <w:pStyle w:val="Voetnoottekst"/>
      </w:pPr>
      <w:r>
        <w:rPr>
          <w:rStyle w:val="Voetnootmarkering"/>
        </w:rPr>
        <w:footnoteRef/>
      </w:r>
      <w:r>
        <w:t xml:space="preserve"> </w:t>
      </w:r>
      <w:r w:rsidR="00726B1C" w:rsidRPr="00A2104A">
        <w:t xml:space="preserve">Jurre de Haan, Michel van </w:t>
      </w:r>
      <w:proofErr w:type="spellStart"/>
      <w:r w:rsidR="00726B1C" w:rsidRPr="00A2104A">
        <w:t>Leuvensteijn</w:t>
      </w:r>
      <w:proofErr w:type="spellEnd"/>
      <w:r w:rsidR="00726B1C" w:rsidRPr="00A2104A">
        <w:t xml:space="preserve"> en Jan Tamerus, </w:t>
      </w:r>
      <w:r w:rsidR="00A5221C">
        <w:t>‘</w:t>
      </w:r>
      <w:r w:rsidR="00726B1C" w:rsidRPr="00A2104A">
        <w:t>Maak overgangsschuld doorsneesystematiek expliciet voor pensioenfondsen</w:t>
      </w:r>
      <w:r w:rsidR="00A5221C">
        <w:t>’</w:t>
      </w:r>
      <w:r w:rsidR="00726B1C">
        <w:t xml:space="preserve">, </w:t>
      </w:r>
      <w:proofErr w:type="spellStart"/>
      <w:r w:rsidR="00726B1C">
        <w:t>MeJudice</w:t>
      </w:r>
      <w:proofErr w:type="spellEnd"/>
      <w:r w:rsidR="00726B1C">
        <w:t>, 27 augustus 2015.</w:t>
      </w:r>
    </w:p>
  </w:footnote>
  <w:footnote w:id="2">
    <w:p w:rsidR="009A6BBC" w:rsidRDefault="009A6BBC">
      <w:pPr>
        <w:pStyle w:val="Voetnoottekst"/>
      </w:pPr>
      <w:r>
        <w:rPr>
          <w:rStyle w:val="Voetnootmarkering"/>
        </w:rPr>
        <w:footnoteRef/>
      </w:r>
      <w:r>
        <w:t xml:space="preserve"> Paul de Beer in </w:t>
      </w:r>
      <w:r w:rsidR="00D053D2">
        <w:t xml:space="preserve">Jan Tamerus en Coen van </w:t>
      </w:r>
      <w:proofErr w:type="spellStart"/>
      <w:r w:rsidR="00D053D2">
        <w:t>Dedem</w:t>
      </w:r>
      <w:proofErr w:type="spellEnd"/>
      <w:r w:rsidR="00D053D2">
        <w:t xml:space="preserve"> (red.), </w:t>
      </w:r>
      <w:r>
        <w:t>‘Waartoe zijn pensioenfondsen op aarde’, pp.</w:t>
      </w:r>
      <w:r w:rsidR="00726B1C">
        <w:t xml:space="preserve"> 51-58.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D0B6D"/>
    <w:multiLevelType w:val="hybridMultilevel"/>
    <w:tmpl w:val="1F3CA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9A01D6"/>
    <w:multiLevelType w:val="hybridMultilevel"/>
    <w:tmpl w:val="598CD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C90A67"/>
    <w:multiLevelType w:val="hybridMultilevel"/>
    <w:tmpl w:val="8272D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3C633E"/>
    <w:multiLevelType w:val="multilevel"/>
    <w:tmpl w:val="2A50AD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AE5EA7"/>
    <w:multiLevelType w:val="hybridMultilevel"/>
    <w:tmpl w:val="0950C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484BCF"/>
    <w:multiLevelType w:val="hybridMultilevel"/>
    <w:tmpl w:val="20B06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1E2BB9"/>
    <w:multiLevelType w:val="hybridMultilevel"/>
    <w:tmpl w:val="7C14AE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3C4480"/>
    <w:multiLevelType w:val="hybridMultilevel"/>
    <w:tmpl w:val="5FC8E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084C89"/>
    <w:multiLevelType w:val="multilevel"/>
    <w:tmpl w:val="DD72119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8718B5"/>
    <w:multiLevelType w:val="multilevel"/>
    <w:tmpl w:val="03F4E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56E26"/>
    <w:multiLevelType w:val="multilevel"/>
    <w:tmpl w:val="FBC68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68D17D8"/>
    <w:multiLevelType w:val="hybridMultilevel"/>
    <w:tmpl w:val="F59CE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791E6C"/>
    <w:multiLevelType w:val="hybridMultilevel"/>
    <w:tmpl w:val="BAAAB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9679CD"/>
    <w:multiLevelType w:val="hybridMultilevel"/>
    <w:tmpl w:val="DD44F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2008E5"/>
    <w:multiLevelType w:val="hybridMultilevel"/>
    <w:tmpl w:val="D8304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361189"/>
    <w:multiLevelType w:val="hybridMultilevel"/>
    <w:tmpl w:val="CF3CAC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774B50"/>
    <w:multiLevelType w:val="multilevel"/>
    <w:tmpl w:val="00A03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CD3EF5"/>
    <w:multiLevelType w:val="multilevel"/>
    <w:tmpl w:val="DAC8C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B50BC0"/>
    <w:multiLevelType w:val="hybridMultilevel"/>
    <w:tmpl w:val="09B00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8A06605"/>
    <w:multiLevelType w:val="hybridMultilevel"/>
    <w:tmpl w:val="1C460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6"/>
  </w:num>
  <w:num w:numId="4">
    <w:abstractNumId w:val="9"/>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7"/>
  </w:num>
  <w:num w:numId="10">
    <w:abstractNumId w:val="1"/>
  </w:num>
  <w:num w:numId="11">
    <w:abstractNumId w:val="11"/>
  </w:num>
  <w:num w:numId="12">
    <w:abstractNumId w:val="2"/>
  </w:num>
  <w:num w:numId="13">
    <w:abstractNumId w:val="12"/>
  </w:num>
  <w:num w:numId="14">
    <w:abstractNumId w:val="15"/>
  </w:num>
  <w:num w:numId="15">
    <w:abstractNumId w:val="0"/>
  </w:num>
  <w:num w:numId="16">
    <w:abstractNumId w:val="6"/>
  </w:num>
  <w:num w:numId="17">
    <w:abstractNumId w:val="18"/>
  </w:num>
  <w:num w:numId="18">
    <w:abstractNumId w:val="5"/>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17"/>
    <w:rsid w:val="00033DD2"/>
    <w:rsid w:val="000479A7"/>
    <w:rsid w:val="000E301F"/>
    <w:rsid w:val="00164619"/>
    <w:rsid w:val="00174A79"/>
    <w:rsid w:val="00191FAC"/>
    <w:rsid w:val="001E1C30"/>
    <w:rsid w:val="00205E8E"/>
    <w:rsid w:val="002215A4"/>
    <w:rsid w:val="00285EA5"/>
    <w:rsid w:val="00356C36"/>
    <w:rsid w:val="0037163E"/>
    <w:rsid w:val="003F365A"/>
    <w:rsid w:val="004769BF"/>
    <w:rsid w:val="004828A8"/>
    <w:rsid w:val="004E43A2"/>
    <w:rsid w:val="00507F46"/>
    <w:rsid w:val="00547D5A"/>
    <w:rsid w:val="0055775F"/>
    <w:rsid w:val="006254AD"/>
    <w:rsid w:val="00630A08"/>
    <w:rsid w:val="00661B94"/>
    <w:rsid w:val="00690D2D"/>
    <w:rsid w:val="006A61C1"/>
    <w:rsid w:val="00726B1C"/>
    <w:rsid w:val="00757EC1"/>
    <w:rsid w:val="00834501"/>
    <w:rsid w:val="008901D1"/>
    <w:rsid w:val="008904BF"/>
    <w:rsid w:val="009512F9"/>
    <w:rsid w:val="0096757C"/>
    <w:rsid w:val="0098540D"/>
    <w:rsid w:val="00990EC7"/>
    <w:rsid w:val="009A6BBC"/>
    <w:rsid w:val="009D4919"/>
    <w:rsid w:val="00A5221C"/>
    <w:rsid w:val="00A676E1"/>
    <w:rsid w:val="00A81317"/>
    <w:rsid w:val="00B14362"/>
    <w:rsid w:val="00B92272"/>
    <w:rsid w:val="00CE571F"/>
    <w:rsid w:val="00D053D2"/>
    <w:rsid w:val="00D06C19"/>
    <w:rsid w:val="00E56A1F"/>
    <w:rsid w:val="00E95E43"/>
    <w:rsid w:val="00FF6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F62F"/>
  <w15:chartTrackingRefBased/>
  <w15:docId w15:val="{FE3EBC92-101A-492B-A92E-202969AF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61C1"/>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033DD2"/>
    <w:rPr>
      <w:sz w:val="20"/>
      <w:szCs w:val="20"/>
    </w:rPr>
  </w:style>
  <w:style w:type="character" w:customStyle="1" w:styleId="VoetnoottekstChar">
    <w:name w:val="Voetnoottekst Char"/>
    <w:basedOn w:val="Standaardalinea-lettertype"/>
    <w:link w:val="Voetnoottekst"/>
    <w:uiPriority w:val="99"/>
    <w:semiHidden/>
    <w:rsid w:val="00033DD2"/>
    <w:rPr>
      <w:rFonts w:ascii="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033DD2"/>
    <w:rPr>
      <w:vertAlign w:val="superscript"/>
    </w:rPr>
  </w:style>
  <w:style w:type="paragraph" w:styleId="Geenafstand">
    <w:name w:val="No Spacing"/>
    <w:uiPriority w:val="1"/>
    <w:qFormat/>
    <w:rsid w:val="00CE571F"/>
    <w:pPr>
      <w:spacing w:after="0" w:line="240" w:lineRule="auto"/>
    </w:pPr>
    <w:rPr>
      <w:rFonts w:ascii="Times New Roman" w:hAnsi="Times New Roman" w:cs="Times New Roman"/>
      <w:sz w:val="24"/>
      <w:szCs w:val="24"/>
      <w:lang w:eastAsia="nl-NL"/>
    </w:rPr>
  </w:style>
  <w:style w:type="paragraph" w:styleId="Lijstalinea">
    <w:name w:val="List Paragraph"/>
    <w:basedOn w:val="Standaard"/>
    <w:uiPriority w:val="34"/>
    <w:qFormat/>
    <w:rsid w:val="00CE571F"/>
    <w:pPr>
      <w:ind w:left="720"/>
      <w:contextualSpacing/>
    </w:pPr>
  </w:style>
  <w:style w:type="paragraph" w:styleId="Ballontekst">
    <w:name w:val="Balloon Text"/>
    <w:basedOn w:val="Standaard"/>
    <w:link w:val="BallontekstChar"/>
    <w:uiPriority w:val="99"/>
    <w:semiHidden/>
    <w:unhideWhenUsed/>
    <w:rsid w:val="00356C3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6C36"/>
    <w:rPr>
      <w:rFonts w:ascii="Segoe UI" w:hAnsi="Segoe UI" w:cs="Segoe UI"/>
      <w:sz w:val="18"/>
      <w:szCs w:val="18"/>
      <w:lang w:eastAsia="nl-NL"/>
    </w:rPr>
  </w:style>
  <w:style w:type="paragraph" w:styleId="Koptekst">
    <w:name w:val="header"/>
    <w:basedOn w:val="Standaard"/>
    <w:link w:val="KoptekstChar"/>
    <w:uiPriority w:val="99"/>
    <w:unhideWhenUsed/>
    <w:rsid w:val="009D4919"/>
    <w:pPr>
      <w:tabs>
        <w:tab w:val="center" w:pos="4513"/>
        <w:tab w:val="right" w:pos="9026"/>
      </w:tabs>
    </w:pPr>
  </w:style>
  <w:style w:type="character" w:customStyle="1" w:styleId="KoptekstChar">
    <w:name w:val="Koptekst Char"/>
    <w:basedOn w:val="Standaardalinea-lettertype"/>
    <w:link w:val="Koptekst"/>
    <w:uiPriority w:val="99"/>
    <w:rsid w:val="009D4919"/>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9D4919"/>
    <w:pPr>
      <w:tabs>
        <w:tab w:val="center" w:pos="4513"/>
        <w:tab w:val="right" w:pos="9026"/>
      </w:tabs>
    </w:pPr>
  </w:style>
  <w:style w:type="character" w:customStyle="1" w:styleId="VoettekstChar">
    <w:name w:val="Voettekst Char"/>
    <w:basedOn w:val="Standaardalinea-lettertype"/>
    <w:link w:val="Voettekst"/>
    <w:uiPriority w:val="99"/>
    <w:rsid w:val="009D4919"/>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3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3460</ap:Words>
  <ap:Characters>19032</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2020-10-27T12:08:00.0000000Z</dcterms:created>
  <dcterms:modified xsi:type="dcterms:W3CDTF">2020-10-27T12:08:00.0000000Z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0x010100EBAC0CFE0D666540AC8551B413823886</vt:lpwstr>
  </property>
</Properties>
</file>