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301" w:rsidR="00322301" w:rsidP="00322301" w:rsidRDefault="00322301">
      <w:pPr>
        <w:spacing w:after="0" w:line="240" w:lineRule="auto"/>
        <w:rPr>
          <w:rFonts w:eastAsia="Times New Roman" w:cstheme="minorHAnsi"/>
          <w:b/>
          <w:sz w:val="24"/>
          <w:lang w:eastAsia="nl-NL"/>
        </w:rPr>
      </w:pPr>
      <w:r w:rsidRPr="00322301">
        <w:rPr>
          <w:rFonts w:eastAsia="Times New Roman" w:cstheme="minorHAnsi"/>
          <w:b/>
          <w:sz w:val="24"/>
          <w:lang w:eastAsia="nl-NL"/>
        </w:rPr>
        <w:t>Vaste commissie voor Sociale Zaken en Werkgelegenheid: Overzicht nieuw gepubliceerde EU-voorstellen op het terrein van SZW</w:t>
      </w:r>
    </w:p>
    <w:p w:rsidRPr="00322301" w:rsidR="00322301" w:rsidP="00322301" w:rsidRDefault="00573CC6">
      <w:pPr>
        <w:spacing w:after="0" w:line="240" w:lineRule="auto"/>
        <w:rPr>
          <w:rFonts w:eastAsia="Times New Roman" w:cstheme="minorHAnsi"/>
          <w:b/>
          <w:u w:val="single"/>
          <w:lang w:eastAsia="nl-NL"/>
        </w:rPr>
      </w:pPr>
      <w:r>
        <w:rPr>
          <w:rFonts w:eastAsia="Times New Roman" w:cstheme="minorHAnsi"/>
          <w:b/>
          <w:u w:val="single"/>
          <w:lang w:eastAsia="nl-NL"/>
        </w:rPr>
        <w:t>2020Z</w:t>
      </w:r>
      <w:r w:rsidR="00427003">
        <w:rPr>
          <w:rFonts w:eastAsia="Times New Roman" w:cstheme="minorHAnsi"/>
          <w:b/>
          <w:u w:val="single"/>
          <w:lang w:eastAsia="nl-NL"/>
        </w:rPr>
        <w:t>20029</w:t>
      </w:r>
      <w:r>
        <w:rPr>
          <w:rFonts w:eastAsia="Times New Roman" w:cstheme="minorHAnsi"/>
          <w:b/>
          <w:u w:val="single"/>
          <w:lang w:eastAsia="nl-NL"/>
        </w:rPr>
        <w:t>/2020D</w:t>
      </w:r>
      <w:r w:rsidR="00427003">
        <w:rPr>
          <w:rFonts w:eastAsia="Times New Roman" w:cstheme="minorHAnsi"/>
          <w:b/>
          <w:u w:val="single"/>
          <w:lang w:eastAsia="nl-NL"/>
        </w:rPr>
        <w:t>43018</w:t>
      </w:r>
      <w:bookmarkStart w:name="_GoBack" w:id="0"/>
      <w:bookmarkEnd w:id="0"/>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b/>
          <w:u w:val="single"/>
          <w:lang w:eastAsia="nl-NL"/>
        </w:rPr>
        <w:t>Voorstellen over de periode</w:t>
      </w:r>
      <w:r w:rsidRPr="00322301">
        <w:rPr>
          <w:rFonts w:eastAsia="Times New Roman" w:cstheme="minorHAnsi"/>
          <w:b/>
          <w:lang w:eastAsia="nl-NL"/>
        </w:rPr>
        <w:t xml:space="preserve">: </w:t>
      </w:r>
      <w:r w:rsidR="001E4F43">
        <w:rPr>
          <w:rFonts w:eastAsia="Times New Roman" w:cstheme="minorHAnsi"/>
          <w:b/>
          <w:lang w:eastAsia="nl-NL"/>
        </w:rPr>
        <w:t xml:space="preserve">t/m </w:t>
      </w:r>
      <w:r w:rsidR="00051CB0">
        <w:rPr>
          <w:rFonts w:eastAsia="Times New Roman" w:cstheme="minorHAnsi"/>
          <w:b/>
          <w:lang w:eastAsia="nl-NL"/>
        </w:rPr>
        <w:t>28 oktober</w:t>
      </w:r>
      <w:r w:rsidRPr="003F2A67" w:rsidR="00D246BD">
        <w:rPr>
          <w:rFonts w:eastAsia="Times New Roman" w:cstheme="minorHAnsi"/>
          <w:b/>
          <w:lang w:eastAsia="nl-NL"/>
        </w:rPr>
        <w:t xml:space="preserve"> 2020</w:t>
      </w:r>
    </w:p>
    <w:p w:rsidRPr="00322301" w:rsidR="00322301" w:rsidP="00322301" w:rsidRDefault="00322301">
      <w:pPr>
        <w:spacing w:after="0" w:line="240" w:lineRule="auto"/>
        <w:rPr>
          <w:rFonts w:eastAsia="Times New Roman" w:cstheme="minorHAnsi"/>
          <w:b/>
          <w:color w:val="000000" w:themeColor="text1"/>
          <w:lang w:eastAsia="nl-NL"/>
        </w:rPr>
      </w:pPr>
      <w:r w:rsidRPr="00322301">
        <w:rPr>
          <w:rFonts w:eastAsia="Times New Roman" w:cstheme="minorHAnsi"/>
          <w:color w:val="000000" w:themeColor="text1"/>
          <w:lang w:eastAsia="nl-NL"/>
        </w:rPr>
        <w:t>Zoals aanbevolen in het vastgestelde rapport 'Voorop in Europa' (Kamerstuk 33936-2) wordt op elke procedurevergadering 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SZW eerder als prioritair heeft aangemerkt, worden afzonderlijk geagendeerd voor de procedurevergadering met een behandelvoorstel.</w:t>
      </w:r>
    </w:p>
    <w:p w:rsidRPr="00322301" w:rsidR="00322301" w:rsidP="00322301" w:rsidRDefault="00322301">
      <w:pPr>
        <w:spacing w:after="0" w:line="240" w:lineRule="auto"/>
        <w:rPr>
          <w:rFonts w:eastAsia="Times New Roman" w:cstheme="minorHAnsi"/>
          <w:b/>
          <w:lang w:eastAsia="nl-NL"/>
        </w:rPr>
      </w:pPr>
    </w:p>
    <w:tbl>
      <w:tblPr>
        <w:tblStyle w:val="Tabelraster"/>
        <w:tblW w:w="14655" w:type="dxa"/>
        <w:tblLook w:val="04A0" w:firstRow="1" w:lastRow="0" w:firstColumn="1" w:lastColumn="0" w:noHBand="0" w:noVBand="1"/>
      </w:tblPr>
      <w:tblGrid>
        <w:gridCol w:w="1150"/>
        <w:gridCol w:w="1035"/>
        <w:gridCol w:w="1374"/>
        <w:gridCol w:w="4218"/>
        <w:gridCol w:w="796"/>
        <w:gridCol w:w="1127"/>
        <w:gridCol w:w="4955"/>
      </w:tblGrid>
      <w:tr w:rsidRPr="00322301" w:rsidR="00322301" w:rsidTr="00051CB0">
        <w:trPr>
          <w:trHeight w:val="1550"/>
        </w:trPr>
        <w:tc>
          <w:tcPr>
            <w:tcW w:w="1150"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Publicatie-</w:t>
            </w: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datum</w:t>
            </w:r>
          </w:p>
        </w:tc>
        <w:tc>
          <w:tcPr>
            <w:tcW w:w="1035"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Voortouw</w:t>
            </w:r>
          </w:p>
        </w:tc>
        <w:tc>
          <w:tcPr>
            <w:tcW w:w="1374"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Soort</w:t>
            </w:r>
          </w:p>
        </w:tc>
        <w:tc>
          <w:tcPr>
            <w:tcW w:w="4218"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Titel</w:t>
            </w:r>
          </w:p>
        </w:tc>
        <w:tc>
          <w:tcPr>
            <w:tcW w:w="796"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COM-nummer</w:t>
            </w:r>
          </w:p>
        </w:tc>
        <w:tc>
          <w:tcPr>
            <w:tcW w:w="1127" w:type="dxa"/>
            <w:textDirection w:val="btLr"/>
          </w:tcPr>
          <w:p w:rsidRPr="00051CB0" w:rsidR="00322301" w:rsidP="00322301" w:rsidRDefault="00322301">
            <w:pPr>
              <w:jc w:val="center"/>
              <w:rPr>
                <w:rFonts w:asciiTheme="minorHAnsi" w:hAnsiTheme="minorHAnsi" w:cstheme="minorHAnsi"/>
                <w:b/>
                <w:bCs/>
                <w:color w:val="000000"/>
                <w:sz w:val="22"/>
                <w:szCs w:val="22"/>
              </w:rPr>
            </w:pPr>
          </w:p>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Deadline</w:t>
            </w:r>
          </w:p>
          <w:p w:rsidRPr="00051CB0" w:rsidR="00322301" w:rsidP="00322301" w:rsidRDefault="00322301">
            <w:pPr>
              <w:jc w:val="center"/>
              <w:rPr>
                <w:rFonts w:asciiTheme="minorHAnsi" w:hAnsiTheme="minorHAnsi" w:cstheme="minorHAnsi"/>
                <w:b/>
                <w:bCs/>
                <w:color w:val="000000"/>
                <w:sz w:val="22"/>
                <w:szCs w:val="22"/>
              </w:rPr>
            </w:pPr>
            <w:proofErr w:type="spellStart"/>
            <w:r w:rsidRPr="00051CB0">
              <w:rPr>
                <w:rFonts w:asciiTheme="minorHAnsi" w:hAnsiTheme="minorHAnsi" w:cstheme="minorHAnsi"/>
                <w:b/>
                <w:bCs/>
                <w:color w:val="000000"/>
                <w:sz w:val="22"/>
                <w:szCs w:val="22"/>
              </w:rPr>
              <w:t>Sub.toets</w:t>
            </w:r>
            <w:proofErr w:type="spellEnd"/>
          </w:p>
        </w:tc>
        <w:tc>
          <w:tcPr>
            <w:tcW w:w="4955" w:type="dxa"/>
            <w:textDirection w:val="btLr"/>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Opmerking</w:t>
            </w:r>
          </w:p>
        </w:tc>
      </w:tr>
      <w:tr w:rsidRPr="00322301" w:rsidR="00322301" w:rsidTr="007602C3">
        <w:trPr>
          <w:trHeight w:val="300"/>
        </w:trPr>
        <w:tc>
          <w:tcPr>
            <w:tcW w:w="1150" w:type="dxa"/>
            <w:shd w:val="clear" w:color="auto" w:fill="4472C4" w:themeFill="accent5"/>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c>
          <w:tcPr>
            <w:tcW w:w="1035" w:type="dxa"/>
            <w:shd w:val="clear" w:color="auto" w:fill="4472C4" w:themeFill="accent5"/>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c>
          <w:tcPr>
            <w:tcW w:w="1374" w:type="dxa"/>
            <w:shd w:val="clear" w:color="auto" w:fill="4472C4" w:themeFill="accent5"/>
            <w:hideMark/>
          </w:tcPr>
          <w:p w:rsidRPr="00051CB0" w:rsidR="00322301" w:rsidP="00322301" w:rsidRDefault="00322301">
            <w:pP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c>
          <w:tcPr>
            <w:tcW w:w="4218" w:type="dxa"/>
            <w:shd w:val="clear" w:color="auto" w:fill="4472C4" w:themeFill="accent5"/>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c>
          <w:tcPr>
            <w:tcW w:w="796" w:type="dxa"/>
            <w:shd w:val="clear" w:color="auto" w:fill="4472C4" w:themeFill="accent5"/>
            <w:hideMark/>
          </w:tcPr>
          <w:p w:rsidRPr="00051CB0" w:rsidR="00322301" w:rsidP="00322301" w:rsidRDefault="00322301">
            <w:pPr>
              <w:jc w:val="cente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c>
          <w:tcPr>
            <w:tcW w:w="1127" w:type="dxa"/>
            <w:shd w:val="clear" w:color="auto" w:fill="4472C4" w:themeFill="accent5"/>
          </w:tcPr>
          <w:p w:rsidRPr="00051CB0" w:rsidR="00322301" w:rsidP="00322301" w:rsidRDefault="00322301">
            <w:pPr>
              <w:rPr>
                <w:rFonts w:asciiTheme="minorHAnsi" w:hAnsiTheme="minorHAnsi" w:cstheme="minorHAnsi"/>
                <w:b/>
                <w:bCs/>
                <w:color w:val="000000"/>
                <w:sz w:val="22"/>
                <w:szCs w:val="22"/>
              </w:rPr>
            </w:pPr>
          </w:p>
        </w:tc>
        <w:tc>
          <w:tcPr>
            <w:tcW w:w="4955" w:type="dxa"/>
            <w:shd w:val="clear" w:color="auto" w:fill="4472C4" w:themeFill="accent5"/>
            <w:hideMark/>
          </w:tcPr>
          <w:p w:rsidRPr="00051CB0" w:rsidR="00322301" w:rsidP="00322301" w:rsidRDefault="00322301">
            <w:pPr>
              <w:rPr>
                <w:rFonts w:asciiTheme="minorHAnsi" w:hAnsiTheme="minorHAnsi" w:cstheme="minorHAnsi"/>
                <w:b/>
                <w:bCs/>
                <w:color w:val="000000"/>
                <w:sz w:val="22"/>
                <w:szCs w:val="22"/>
              </w:rPr>
            </w:pPr>
            <w:r w:rsidRPr="00051CB0">
              <w:rPr>
                <w:rFonts w:asciiTheme="minorHAnsi" w:hAnsiTheme="minorHAnsi" w:cstheme="minorHAnsi"/>
                <w:b/>
                <w:bCs/>
                <w:color w:val="000000"/>
                <w:sz w:val="22"/>
                <w:szCs w:val="22"/>
              </w:rPr>
              <w:t> </w:t>
            </w:r>
          </w:p>
        </w:tc>
      </w:tr>
      <w:tr w:rsidRPr="00322301" w:rsidR="005B2077" w:rsidTr="00051CB0">
        <w:trPr>
          <w:trHeight w:val="1134"/>
        </w:trPr>
        <w:tc>
          <w:tcPr>
            <w:tcW w:w="1150" w:type="dxa"/>
            <w:noWrap/>
          </w:tcPr>
          <w:p w:rsidRPr="00051CB0" w:rsidR="005B2077" w:rsidP="00C1723E" w:rsidRDefault="00C1723E">
            <w:pPr>
              <w:jc w:val="center"/>
              <w:rPr>
                <w:rFonts w:asciiTheme="minorHAnsi" w:hAnsiTheme="minorHAnsi" w:cstheme="minorHAnsi"/>
                <w:color w:val="000000"/>
                <w:sz w:val="22"/>
                <w:szCs w:val="22"/>
              </w:rPr>
            </w:pPr>
            <w:r>
              <w:rPr>
                <w:rFonts w:asciiTheme="minorHAnsi" w:hAnsiTheme="minorHAnsi" w:cstheme="minorHAnsi"/>
                <w:color w:val="000000"/>
                <w:sz w:val="22"/>
                <w:szCs w:val="22"/>
              </w:rPr>
              <w:t>28-okt-20</w:t>
            </w:r>
          </w:p>
        </w:tc>
        <w:tc>
          <w:tcPr>
            <w:tcW w:w="1035" w:type="dxa"/>
            <w:noWrap/>
          </w:tcPr>
          <w:p w:rsidRPr="00051CB0" w:rsidR="005B2077" w:rsidP="005B2077" w:rsidRDefault="00C1723E">
            <w:pPr>
              <w:jc w:val="center"/>
              <w:rPr>
                <w:rFonts w:asciiTheme="minorHAnsi" w:hAnsiTheme="minorHAnsi" w:cstheme="minorHAnsi"/>
                <w:color w:val="000000"/>
                <w:sz w:val="22"/>
                <w:szCs w:val="22"/>
              </w:rPr>
            </w:pPr>
            <w:r>
              <w:rPr>
                <w:rFonts w:asciiTheme="minorHAnsi" w:hAnsiTheme="minorHAnsi" w:cstheme="minorHAnsi"/>
                <w:color w:val="000000"/>
                <w:sz w:val="22"/>
                <w:szCs w:val="22"/>
              </w:rPr>
              <w:t>SZW</w:t>
            </w:r>
          </w:p>
        </w:tc>
        <w:tc>
          <w:tcPr>
            <w:tcW w:w="1374" w:type="dxa"/>
            <w:noWrap/>
          </w:tcPr>
          <w:p w:rsidRPr="00051CB0" w:rsidR="005B2077" w:rsidP="007602C3" w:rsidRDefault="00C1723E">
            <w:pPr>
              <w:rPr>
                <w:rFonts w:asciiTheme="minorHAnsi" w:hAnsiTheme="minorHAnsi" w:cstheme="minorHAnsi"/>
                <w:color w:val="000000"/>
                <w:sz w:val="22"/>
                <w:szCs w:val="22"/>
              </w:rPr>
            </w:pPr>
            <w:r>
              <w:rPr>
                <w:rFonts w:asciiTheme="minorHAnsi" w:hAnsiTheme="minorHAnsi" w:cstheme="minorHAnsi"/>
                <w:color w:val="000000"/>
                <w:sz w:val="22"/>
                <w:szCs w:val="22"/>
              </w:rPr>
              <w:t>Richtlijn</w:t>
            </w:r>
          </w:p>
        </w:tc>
        <w:tc>
          <w:tcPr>
            <w:tcW w:w="4218" w:type="dxa"/>
          </w:tcPr>
          <w:p w:rsidRPr="00C1723E" w:rsidR="005B2077" w:rsidP="00C1723E" w:rsidRDefault="00C1723E">
            <w:pPr>
              <w:rPr>
                <w:rFonts w:asciiTheme="minorHAnsi" w:hAnsiTheme="minorHAnsi" w:cstheme="minorHAnsi"/>
                <w:color w:val="000000"/>
                <w:sz w:val="22"/>
                <w:szCs w:val="22"/>
                <w:lang w:val="en-GB"/>
              </w:rPr>
            </w:pPr>
            <w:r w:rsidRPr="00C1723E">
              <w:rPr>
                <w:rFonts w:asciiTheme="minorHAnsi" w:hAnsiTheme="minorHAnsi" w:cstheme="minorHAnsi"/>
                <w:color w:val="000000"/>
                <w:sz w:val="22"/>
                <w:szCs w:val="22"/>
                <w:lang w:val="en-GB"/>
              </w:rPr>
              <w:t>DIRECTIVE OF THE EUROPEAN PARLIAMENT AND OF THE COUNCIL on adequate minimum wages in the European Union</w:t>
            </w:r>
          </w:p>
        </w:tc>
        <w:tc>
          <w:tcPr>
            <w:tcW w:w="796" w:type="dxa"/>
            <w:noWrap/>
          </w:tcPr>
          <w:p w:rsidR="00C1723E" w:rsidP="00051CB0" w:rsidRDefault="00C1723E">
            <w:pPr>
              <w:jc w:val="center"/>
              <w:rPr>
                <w:rFonts w:asciiTheme="minorHAnsi" w:hAnsiTheme="minorHAnsi" w:cstheme="minorHAnsi"/>
                <w:color w:val="0000FF"/>
                <w:sz w:val="22"/>
                <w:szCs w:val="22"/>
                <w:u w:val="single"/>
                <w:lang w:val="en-GB"/>
              </w:rPr>
            </w:pPr>
            <w:r>
              <w:rPr>
                <w:rFonts w:asciiTheme="minorHAnsi" w:hAnsiTheme="minorHAnsi" w:cstheme="minorHAnsi"/>
                <w:color w:val="0000FF"/>
                <w:sz w:val="22"/>
                <w:szCs w:val="22"/>
                <w:u w:val="single"/>
                <w:lang w:val="en-GB"/>
              </w:rPr>
              <w:t>COM</w:t>
            </w:r>
          </w:p>
          <w:p w:rsidRPr="00C1723E" w:rsidR="005B2077" w:rsidP="00051CB0" w:rsidRDefault="00C1723E">
            <w:pPr>
              <w:jc w:val="center"/>
              <w:rPr>
                <w:rFonts w:asciiTheme="minorHAnsi" w:hAnsiTheme="minorHAnsi" w:cstheme="minorHAnsi"/>
                <w:color w:val="0000FF"/>
                <w:sz w:val="22"/>
                <w:szCs w:val="22"/>
                <w:u w:val="single"/>
                <w:lang w:val="en-GB"/>
              </w:rPr>
            </w:pPr>
            <w:r>
              <w:rPr>
                <w:rFonts w:asciiTheme="minorHAnsi" w:hAnsiTheme="minorHAnsi" w:cstheme="minorHAnsi"/>
                <w:color w:val="0000FF"/>
                <w:sz w:val="22"/>
                <w:szCs w:val="22"/>
                <w:u w:val="single"/>
                <w:lang w:val="en-GB"/>
              </w:rPr>
              <w:t>(</w:t>
            </w:r>
            <w:hyperlink w:history="1" r:id="rId10">
              <w:r w:rsidRPr="00A60741">
                <w:rPr>
                  <w:rStyle w:val="Hyperlink"/>
                  <w:rFonts w:asciiTheme="minorHAnsi" w:hAnsiTheme="minorHAnsi" w:cstheme="minorHAnsi"/>
                  <w:sz w:val="22"/>
                  <w:szCs w:val="22"/>
                  <w:lang w:val="en-GB"/>
                </w:rPr>
                <w:t>2020</w:t>
              </w:r>
            </w:hyperlink>
            <w:r>
              <w:rPr>
                <w:rFonts w:asciiTheme="minorHAnsi" w:hAnsiTheme="minorHAnsi" w:cstheme="minorHAnsi"/>
                <w:color w:val="0000FF"/>
                <w:sz w:val="22"/>
                <w:szCs w:val="22"/>
                <w:u w:val="single"/>
                <w:lang w:val="en-GB"/>
              </w:rPr>
              <w:t>) 310</w:t>
            </w:r>
          </w:p>
        </w:tc>
        <w:tc>
          <w:tcPr>
            <w:tcW w:w="1127" w:type="dxa"/>
          </w:tcPr>
          <w:p w:rsidRPr="00C1723E" w:rsidR="005B2077" w:rsidP="005B2077" w:rsidRDefault="002C535D">
            <w:pPr>
              <w:jc w:val="center"/>
              <w:rPr>
                <w:rFonts w:asciiTheme="minorHAnsi" w:hAnsiTheme="minorHAnsi" w:cstheme="minorHAnsi"/>
                <w:color w:val="000000"/>
                <w:sz w:val="22"/>
                <w:szCs w:val="22"/>
                <w:lang w:val="en-GB"/>
              </w:rPr>
            </w:pPr>
            <w:proofErr w:type="spellStart"/>
            <w:r>
              <w:rPr>
                <w:rFonts w:asciiTheme="minorHAnsi" w:hAnsiTheme="minorHAnsi" w:cstheme="minorHAnsi"/>
                <w:color w:val="000000"/>
                <w:sz w:val="22"/>
                <w:szCs w:val="22"/>
                <w:lang w:val="en-GB"/>
              </w:rPr>
              <w:t>nnb</w:t>
            </w:r>
            <w:proofErr w:type="spellEnd"/>
          </w:p>
        </w:tc>
        <w:tc>
          <w:tcPr>
            <w:tcW w:w="4955" w:type="dxa"/>
          </w:tcPr>
          <w:p w:rsidRPr="00051CB0" w:rsidR="007602C3" w:rsidP="007602C3" w:rsidRDefault="007602C3">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w:t>
            </w:r>
            <w:r w:rsidRPr="002C535D" w:rsidR="002C535D">
              <w:rPr>
                <w:rFonts w:asciiTheme="minorHAnsi" w:hAnsiTheme="minorHAnsi" w:cstheme="minorHAnsi"/>
                <w:color w:val="000000"/>
                <w:sz w:val="22"/>
                <w:szCs w:val="22"/>
              </w:rPr>
              <w:t xml:space="preserve"> zie </w:t>
            </w:r>
            <w:r w:rsidRPr="00475ED2" w:rsidR="002C535D">
              <w:rPr>
                <w:rFonts w:asciiTheme="minorHAnsi" w:hAnsiTheme="minorHAnsi" w:cstheme="minorHAnsi"/>
                <w:color w:val="000000"/>
                <w:sz w:val="22"/>
                <w:szCs w:val="22"/>
                <w:highlight w:val="yellow"/>
              </w:rPr>
              <w:t>stafnotitie</w:t>
            </w:r>
            <w:r w:rsidRPr="002C535D" w:rsidR="002C535D">
              <w:rPr>
                <w:rFonts w:asciiTheme="minorHAnsi" w:hAnsiTheme="minorHAnsi" w:cstheme="minorHAnsi"/>
                <w:color w:val="000000"/>
                <w:sz w:val="22"/>
                <w:szCs w:val="22"/>
              </w:rPr>
              <w:t xml:space="preserve"> </w:t>
            </w:r>
            <w:r w:rsidR="002C535D">
              <w:rPr>
                <w:rFonts w:asciiTheme="minorHAnsi" w:hAnsiTheme="minorHAnsi" w:cstheme="minorHAnsi"/>
                <w:color w:val="000000"/>
                <w:sz w:val="22"/>
                <w:szCs w:val="22"/>
              </w:rPr>
              <w:t>behorende bij dit voorstel</w:t>
            </w:r>
          </w:p>
          <w:p w:rsidR="007602C3" w:rsidP="007602C3" w:rsidRDefault="007602C3">
            <w:pPr>
              <w:rPr>
                <w:rFonts w:asciiTheme="minorHAnsi" w:hAnsiTheme="minorHAnsi" w:cstheme="minorHAnsi"/>
                <w:color w:val="000000"/>
                <w:sz w:val="22"/>
                <w:szCs w:val="22"/>
              </w:rPr>
            </w:pPr>
          </w:p>
          <w:p w:rsidRPr="00051CB0" w:rsidR="00FD4B75" w:rsidP="007602C3" w:rsidRDefault="00FD4B75">
            <w:pPr>
              <w:rPr>
                <w:rFonts w:asciiTheme="minorHAnsi" w:hAnsiTheme="minorHAnsi" w:cstheme="minorHAnsi"/>
                <w:color w:val="000000"/>
                <w:sz w:val="22"/>
                <w:szCs w:val="22"/>
              </w:rPr>
            </w:pPr>
            <w:r w:rsidRPr="00FD4B75">
              <w:rPr>
                <w:rFonts w:asciiTheme="minorHAnsi" w:hAnsiTheme="minorHAnsi" w:cstheme="minorHAnsi"/>
                <w:b/>
                <w:i/>
                <w:color w:val="000000"/>
                <w:sz w:val="22"/>
                <w:szCs w:val="22"/>
              </w:rPr>
              <w:t>Noot</w:t>
            </w:r>
            <w:r w:rsidRPr="00FD4B75">
              <w:rPr>
                <w:rFonts w:asciiTheme="minorHAnsi" w:hAnsiTheme="minorHAnsi" w:cstheme="minorHAnsi"/>
                <w:i/>
                <w:color w:val="000000"/>
                <w:sz w:val="22"/>
                <w:szCs w:val="22"/>
              </w:rPr>
              <w:t>: het betreft</w:t>
            </w:r>
            <w:r>
              <w:rPr>
                <w:rFonts w:asciiTheme="minorHAnsi" w:hAnsiTheme="minorHAnsi" w:cstheme="minorHAnsi"/>
                <w:i/>
                <w:color w:val="000000"/>
                <w:sz w:val="22"/>
                <w:szCs w:val="22"/>
              </w:rPr>
              <w:t xml:space="preserve"> een door uw commissie </w:t>
            </w:r>
            <w:r w:rsidRPr="00FD4B75">
              <w:rPr>
                <w:rFonts w:asciiTheme="minorHAnsi" w:hAnsiTheme="minorHAnsi" w:cstheme="minorHAnsi"/>
                <w:i/>
                <w:color w:val="000000"/>
                <w:sz w:val="22"/>
                <w:szCs w:val="22"/>
                <w:u w:val="single"/>
              </w:rPr>
              <w:t>prioritair</w:t>
            </w:r>
            <w:r>
              <w:rPr>
                <w:rFonts w:asciiTheme="minorHAnsi" w:hAnsiTheme="minorHAnsi" w:cstheme="minorHAnsi"/>
                <w:i/>
                <w:color w:val="000000"/>
                <w:sz w:val="22"/>
                <w:szCs w:val="22"/>
              </w:rPr>
              <w:t xml:space="preserve"> verklaard EU-voorstel. De behandelopties voor dit voorstel zullen tijdens de procedurevergadering besproken worden aan de hand van een </w:t>
            </w:r>
            <w:r w:rsidRPr="00FD4B75">
              <w:rPr>
                <w:rFonts w:asciiTheme="minorHAnsi" w:hAnsiTheme="minorHAnsi" w:cstheme="minorHAnsi"/>
                <w:i/>
                <w:color w:val="000000"/>
                <w:sz w:val="22"/>
                <w:szCs w:val="22"/>
                <w:u w:val="single"/>
              </w:rPr>
              <w:t>aparte stafnotitie</w:t>
            </w:r>
            <w:r>
              <w:rPr>
                <w:rFonts w:asciiTheme="minorHAnsi" w:hAnsiTheme="minorHAnsi" w:cstheme="minorHAnsi"/>
                <w:i/>
                <w:color w:val="000000"/>
                <w:sz w:val="22"/>
                <w:szCs w:val="22"/>
              </w:rPr>
              <w:t>.</w:t>
            </w:r>
          </w:p>
          <w:p w:rsidRPr="00051CB0" w:rsidR="002C535D" w:rsidP="005A6AA5" w:rsidRDefault="002C535D">
            <w:pPr>
              <w:rPr>
                <w:rFonts w:asciiTheme="minorHAnsi" w:hAnsiTheme="minorHAnsi" w:cstheme="minorHAnsi"/>
                <w:color w:val="000000"/>
                <w:sz w:val="22"/>
                <w:szCs w:val="22"/>
                <w:u w:val="single"/>
              </w:rPr>
            </w:pPr>
          </w:p>
        </w:tc>
      </w:tr>
      <w:tr w:rsidRPr="00322301" w:rsidR="007602C3" w:rsidTr="00051CB0">
        <w:trPr>
          <w:trHeight w:val="1134"/>
        </w:trPr>
        <w:tc>
          <w:tcPr>
            <w:tcW w:w="1150" w:type="dxa"/>
            <w:noWrap/>
          </w:tcPr>
          <w:p w:rsidRPr="00051CB0" w:rsidR="007602C3" w:rsidP="007602C3" w:rsidRDefault="007602C3">
            <w:pPr>
              <w:jc w:val="center"/>
              <w:rPr>
                <w:rFonts w:cstheme="minorHAnsi"/>
                <w:color w:val="000000"/>
              </w:rPr>
            </w:pPr>
            <w:r w:rsidRPr="00051CB0">
              <w:rPr>
                <w:rFonts w:asciiTheme="minorHAnsi" w:hAnsiTheme="minorHAnsi" w:cstheme="minorHAnsi"/>
                <w:color w:val="000000"/>
                <w:sz w:val="22"/>
                <w:szCs w:val="22"/>
              </w:rPr>
              <w:t>8-okt-20</w:t>
            </w:r>
          </w:p>
        </w:tc>
        <w:tc>
          <w:tcPr>
            <w:tcW w:w="1035" w:type="dxa"/>
            <w:noWrap/>
          </w:tcPr>
          <w:p w:rsidRPr="00051CB0" w:rsidR="007602C3" w:rsidP="007602C3" w:rsidRDefault="007602C3">
            <w:pPr>
              <w:jc w:val="center"/>
              <w:rPr>
                <w:rFonts w:cstheme="minorHAnsi"/>
                <w:color w:val="000000"/>
              </w:rPr>
            </w:pPr>
            <w:r w:rsidRPr="00051CB0">
              <w:rPr>
                <w:rFonts w:asciiTheme="minorHAnsi" w:hAnsiTheme="minorHAnsi" w:cstheme="minorHAnsi"/>
                <w:color w:val="000000"/>
                <w:sz w:val="22"/>
                <w:szCs w:val="22"/>
              </w:rPr>
              <w:t>SZW</w:t>
            </w:r>
          </w:p>
        </w:tc>
        <w:tc>
          <w:tcPr>
            <w:tcW w:w="1374" w:type="dxa"/>
            <w:noWrap/>
          </w:tcPr>
          <w:p w:rsidRPr="00051CB0" w:rsidR="007602C3" w:rsidP="007602C3" w:rsidRDefault="007602C3">
            <w:pPr>
              <w:rPr>
                <w:rFonts w:cstheme="minorHAnsi"/>
                <w:color w:val="000000"/>
              </w:rPr>
            </w:pPr>
            <w:r w:rsidRPr="00051CB0">
              <w:rPr>
                <w:rFonts w:asciiTheme="minorHAnsi" w:hAnsiTheme="minorHAnsi" w:cstheme="minorHAnsi"/>
                <w:color w:val="000000"/>
                <w:sz w:val="22"/>
                <w:szCs w:val="22"/>
              </w:rPr>
              <w:t>Verslag</w:t>
            </w:r>
          </w:p>
        </w:tc>
        <w:tc>
          <w:tcPr>
            <w:tcW w:w="4218" w:type="dxa"/>
          </w:tcPr>
          <w:p w:rsidRPr="00051CB0" w:rsidR="007602C3" w:rsidP="007602C3" w:rsidRDefault="007602C3">
            <w:pPr>
              <w:rPr>
                <w:rFonts w:cstheme="minorHAnsi"/>
                <w:color w:val="000000"/>
              </w:rPr>
            </w:pPr>
            <w:r w:rsidRPr="00051CB0">
              <w:rPr>
                <w:rFonts w:asciiTheme="minorHAnsi" w:hAnsiTheme="minorHAnsi" w:cstheme="minorHAnsi"/>
                <w:color w:val="000000"/>
                <w:sz w:val="22"/>
                <w:szCs w:val="22"/>
              </w:rPr>
              <w:t xml:space="preserve">VERSLAG VAN DE COMMISSIE AAN DE RAAD EN HET EUROPEES PARLEMENT over het gebruik dat in 2018 door de instellingen is gemaakt van de Verordeningen van de Raad nr. 495/77, laatstelijk gewijzigd bij Verordening nr. 1945/2006 (over wachtdiensten), nr. 858/2004 (over werkzaamheden met een bezwaarlijk karakter) en nr. 300/76, laatstelijk gewijzigd </w:t>
            </w:r>
            <w:r w:rsidRPr="00051CB0">
              <w:rPr>
                <w:rFonts w:asciiTheme="minorHAnsi" w:hAnsiTheme="minorHAnsi" w:cstheme="minorHAnsi"/>
                <w:color w:val="000000"/>
                <w:sz w:val="22"/>
                <w:szCs w:val="22"/>
              </w:rPr>
              <w:lastRenderedPageBreak/>
              <w:t>bij Verordening nr. 1873/2006 (over continu- of ploegendienst)</w:t>
            </w:r>
          </w:p>
        </w:tc>
        <w:tc>
          <w:tcPr>
            <w:tcW w:w="796" w:type="dxa"/>
            <w:noWrap/>
          </w:tcPr>
          <w:p w:rsidRPr="00051CB0" w:rsidR="007602C3" w:rsidP="007602C3" w:rsidRDefault="00427003">
            <w:pPr>
              <w:jc w:val="center"/>
              <w:rPr>
                <w:rFonts w:cstheme="minorHAnsi"/>
                <w:color w:val="0000FF"/>
                <w:u w:val="single"/>
              </w:rPr>
            </w:pPr>
            <w:hyperlink w:history="1" r:id="rId11">
              <w:r w:rsidRPr="00051CB0" w:rsidR="007602C3">
                <w:rPr>
                  <w:rStyle w:val="Hyperlink"/>
                  <w:rFonts w:asciiTheme="minorHAnsi" w:hAnsiTheme="minorHAnsi" w:cstheme="minorHAnsi"/>
                  <w:sz w:val="22"/>
                  <w:szCs w:val="22"/>
                </w:rPr>
                <w:t>COM (2020) 634</w:t>
              </w:r>
            </w:hyperlink>
          </w:p>
        </w:tc>
        <w:tc>
          <w:tcPr>
            <w:tcW w:w="1127" w:type="dxa"/>
          </w:tcPr>
          <w:p w:rsidRPr="00051CB0" w:rsidR="007602C3" w:rsidP="007602C3" w:rsidRDefault="007602C3">
            <w:pPr>
              <w:jc w:val="center"/>
              <w:rPr>
                <w:rFonts w:cstheme="minorHAnsi"/>
                <w:color w:val="000000"/>
              </w:rPr>
            </w:pPr>
            <w:proofErr w:type="spellStart"/>
            <w:r w:rsidRPr="00051CB0">
              <w:rPr>
                <w:rFonts w:asciiTheme="minorHAnsi" w:hAnsiTheme="minorHAnsi" w:cstheme="minorHAnsi"/>
                <w:color w:val="000000"/>
                <w:sz w:val="22"/>
                <w:szCs w:val="22"/>
              </w:rPr>
              <w:t>Nvt</w:t>
            </w:r>
            <w:proofErr w:type="spellEnd"/>
          </w:p>
        </w:tc>
        <w:tc>
          <w:tcPr>
            <w:tcW w:w="4955" w:type="dxa"/>
          </w:tcPr>
          <w:p w:rsidRPr="00051CB0" w:rsidR="007602C3" w:rsidP="007602C3" w:rsidRDefault="007602C3">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sidR="00533A3C">
              <w:rPr>
                <w:rFonts w:asciiTheme="minorHAnsi" w:hAnsiTheme="minorHAnsi" w:cstheme="minorHAnsi"/>
                <w:color w:val="000000"/>
                <w:sz w:val="22"/>
                <w:szCs w:val="22"/>
              </w:rPr>
              <w:t>voor kennisgeving aannemen</w:t>
            </w:r>
          </w:p>
          <w:p w:rsidRPr="00051CB0" w:rsidR="007602C3" w:rsidP="007602C3" w:rsidRDefault="007602C3">
            <w:pPr>
              <w:rPr>
                <w:rFonts w:asciiTheme="minorHAnsi" w:hAnsiTheme="minorHAnsi" w:cstheme="minorHAnsi"/>
                <w:color w:val="000000"/>
                <w:sz w:val="22"/>
                <w:szCs w:val="22"/>
              </w:rPr>
            </w:pPr>
          </w:p>
          <w:p w:rsidRPr="00051CB0" w:rsidR="007602C3" w:rsidP="00A60741" w:rsidRDefault="007602C3">
            <w:pPr>
              <w:tabs>
                <w:tab w:val="center" w:pos="2429"/>
              </w:tabs>
              <w:rPr>
                <w:rFonts w:cstheme="minorHAnsi"/>
                <w:color w:val="000000"/>
                <w:u w:val="single"/>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w:t>
            </w:r>
            <w:r w:rsidR="00533A3C">
              <w:rPr>
                <w:rFonts w:asciiTheme="minorHAnsi" w:hAnsiTheme="minorHAnsi" w:cstheme="minorHAnsi"/>
                <w:i/>
                <w:color w:val="000000"/>
                <w:sz w:val="22"/>
                <w:szCs w:val="22"/>
              </w:rPr>
              <w:t xml:space="preserve"> het betreft een verplicht verslag van de EU-instellingen over het voorkomen van</w:t>
            </w:r>
            <w:r w:rsidRPr="00533A3C" w:rsidR="00533A3C">
              <w:rPr>
                <w:rFonts w:asciiTheme="minorHAnsi" w:hAnsiTheme="minorHAnsi" w:cstheme="minorHAnsi"/>
                <w:i/>
                <w:color w:val="000000"/>
                <w:sz w:val="22"/>
                <w:szCs w:val="22"/>
              </w:rPr>
              <w:t xml:space="preserve"> wachtdiensten, </w:t>
            </w:r>
            <w:r w:rsidR="00533A3C">
              <w:rPr>
                <w:rFonts w:asciiTheme="minorHAnsi" w:hAnsiTheme="minorHAnsi" w:cstheme="minorHAnsi"/>
                <w:i/>
                <w:color w:val="000000"/>
                <w:sz w:val="22"/>
                <w:szCs w:val="22"/>
              </w:rPr>
              <w:t>zwaar werk</w:t>
            </w:r>
            <w:r w:rsidRPr="00533A3C" w:rsidR="00533A3C">
              <w:rPr>
                <w:rFonts w:asciiTheme="minorHAnsi" w:hAnsiTheme="minorHAnsi" w:cstheme="minorHAnsi"/>
                <w:i/>
                <w:color w:val="000000"/>
                <w:sz w:val="22"/>
                <w:szCs w:val="22"/>
              </w:rPr>
              <w:t xml:space="preserve"> en continu- of ploegendienst</w:t>
            </w:r>
            <w:r w:rsidR="00533A3C">
              <w:rPr>
                <w:rFonts w:asciiTheme="minorHAnsi" w:hAnsiTheme="minorHAnsi" w:cstheme="minorHAnsi"/>
                <w:i/>
                <w:color w:val="000000"/>
                <w:sz w:val="22"/>
                <w:szCs w:val="22"/>
              </w:rPr>
              <w:t xml:space="preserve"> binnen hun muren.</w:t>
            </w:r>
          </w:p>
        </w:tc>
      </w:tr>
      <w:tr w:rsidRPr="00322301" w:rsidR="007602C3" w:rsidTr="00051CB0">
        <w:trPr>
          <w:trHeight w:val="1134"/>
        </w:trPr>
        <w:tc>
          <w:tcPr>
            <w:tcW w:w="1150" w:type="dxa"/>
            <w:noWrap/>
          </w:tcPr>
          <w:p w:rsidRPr="00051CB0" w:rsidR="007602C3" w:rsidP="007602C3" w:rsidRDefault="007602C3">
            <w:pPr>
              <w:jc w:val="center"/>
              <w:rPr>
                <w:rFonts w:asciiTheme="minorHAnsi" w:hAnsiTheme="minorHAnsi" w:cstheme="minorHAnsi"/>
                <w:color w:val="000000"/>
                <w:sz w:val="22"/>
                <w:szCs w:val="22"/>
              </w:rPr>
            </w:pPr>
            <w:r w:rsidRPr="00051CB0">
              <w:rPr>
                <w:rFonts w:asciiTheme="minorHAnsi" w:hAnsiTheme="minorHAnsi" w:cstheme="minorHAnsi"/>
                <w:color w:val="000000"/>
                <w:sz w:val="22"/>
                <w:szCs w:val="22"/>
              </w:rPr>
              <w:t>7-okt-20</w:t>
            </w:r>
          </w:p>
          <w:p w:rsidRPr="00051CB0" w:rsidR="007602C3" w:rsidP="007602C3" w:rsidRDefault="007602C3">
            <w:pPr>
              <w:jc w:val="center"/>
              <w:rPr>
                <w:rFonts w:cstheme="minorHAnsi"/>
                <w:color w:val="000000"/>
              </w:rPr>
            </w:pPr>
          </w:p>
        </w:tc>
        <w:tc>
          <w:tcPr>
            <w:tcW w:w="1035" w:type="dxa"/>
            <w:noWrap/>
          </w:tcPr>
          <w:p w:rsidRPr="00051CB0" w:rsidR="007602C3" w:rsidP="007602C3" w:rsidRDefault="007602C3">
            <w:pPr>
              <w:jc w:val="center"/>
              <w:rPr>
                <w:rFonts w:cstheme="minorHAnsi"/>
                <w:color w:val="000000"/>
              </w:rPr>
            </w:pPr>
            <w:r w:rsidRPr="00051CB0">
              <w:rPr>
                <w:rFonts w:asciiTheme="minorHAnsi" w:hAnsiTheme="minorHAnsi" w:cstheme="minorHAnsi"/>
                <w:color w:val="000000"/>
                <w:sz w:val="22"/>
                <w:szCs w:val="22"/>
              </w:rPr>
              <w:t>SZW</w:t>
            </w:r>
          </w:p>
        </w:tc>
        <w:tc>
          <w:tcPr>
            <w:tcW w:w="1374" w:type="dxa"/>
            <w:noWrap/>
          </w:tcPr>
          <w:p w:rsidR="007602C3" w:rsidP="007602C3" w:rsidRDefault="007602C3">
            <w:pPr>
              <w:rPr>
                <w:rFonts w:cstheme="minorHAnsi"/>
                <w:color w:val="000000"/>
              </w:rPr>
            </w:pPr>
            <w:r>
              <w:rPr>
                <w:rFonts w:asciiTheme="minorHAnsi" w:hAnsiTheme="minorHAnsi" w:cstheme="minorHAnsi"/>
                <w:color w:val="000000"/>
                <w:sz w:val="22"/>
                <w:szCs w:val="22"/>
              </w:rPr>
              <w:t>O</w:t>
            </w:r>
            <w:r w:rsidRPr="00051CB0">
              <w:rPr>
                <w:rFonts w:asciiTheme="minorHAnsi" w:hAnsiTheme="minorHAnsi" w:cstheme="minorHAnsi"/>
                <w:color w:val="000000"/>
                <w:sz w:val="22"/>
                <w:szCs w:val="22"/>
              </w:rPr>
              <w:t>verig</w:t>
            </w:r>
          </w:p>
        </w:tc>
        <w:tc>
          <w:tcPr>
            <w:tcW w:w="4218" w:type="dxa"/>
          </w:tcPr>
          <w:p w:rsidRPr="00051CB0" w:rsidR="007602C3" w:rsidP="007602C3" w:rsidRDefault="007602C3">
            <w:pPr>
              <w:rPr>
                <w:rFonts w:cstheme="minorHAnsi"/>
                <w:color w:val="000000"/>
              </w:rPr>
            </w:pPr>
            <w:r w:rsidRPr="00051CB0">
              <w:rPr>
                <w:rFonts w:asciiTheme="minorHAnsi" w:hAnsiTheme="minorHAnsi" w:cstheme="minorHAnsi"/>
                <w:color w:val="000000"/>
                <w:sz w:val="22"/>
                <w:szCs w:val="22"/>
              </w:rPr>
              <w:t>Voorstel voor een AANBEVELING VAN DE RAAD inzake gelijkheid, integratie en participatie van de Roma</w:t>
            </w:r>
          </w:p>
        </w:tc>
        <w:tc>
          <w:tcPr>
            <w:tcW w:w="796" w:type="dxa"/>
            <w:noWrap/>
          </w:tcPr>
          <w:p w:rsidR="007602C3" w:rsidP="007602C3" w:rsidRDefault="00427003">
            <w:pPr>
              <w:jc w:val="center"/>
            </w:pPr>
            <w:hyperlink w:history="1" r:id="rId12">
              <w:r w:rsidRPr="00051CB0" w:rsidR="007602C3">
                <w:rPr>
                  <w:rStyle w:val="Hyperlink"/>
                  <w:rFonts w:asciiTheme="minorHAnsi" w:hAnsiTheme="minorHAnsi" w:cstheme="minorHAnsi"/>
                  <w:sz w:val="22"/>
                  <w:szCs w:val="22"/>
                </w:rPr>
                <w:t>COM (2020) 621</w:t>
              </w:r>
            </w:hyperlink>
          </w:p>
        </w:tc>
        <w:tc>
          <w:tcPr>
            <w:tcW w:w="1127" w:type="dxa"/>
          </w:tcPr>
          <w:p w:rsidRPr="00051CB0" w:rsidR="007602C3" w:rsidP="007602C3" w:rsidRDefault="007602C3">
            <w:pPr>
              <w:jc w:val="center"/>
              <w:rPr>
                <w:rFonts w:cstheme="minorHAnsi"/>
                <w:color w:val="000000"/>
              </w:rPr>
            </w:pPr>
            <w:proofErr w:type="spellStart"/>
            <w:r w:rsidRPr="00051CB0">
              <w:rPr>
                <w:rFonts w:asciiTheme="minorHAnsi" w:hAnsiTheme="minorHAnsi" w:cstheme="minorHAnsi"/>
                <w:color w:val="000000"/>
                <w:sz w:val="22"/>
                <w:szCs w:val="22"/>
              </w:rPr>
              <w:t>nvt</w:t>
            </w:r>
            <w:proofErr w:type="spellEnd"/>
          </w:p>
        </w:tc>
        <w:tc>
          <w:tcPr>
            <w:tcW w:w="4955" w:type="dxa"/>
            <w:vMerge w:val="restart"/>
          </w:tcPr>
          <w:p w:rsidRPr="00051CB0" w:rsidR="007602C3" w:rsidP="007602C3" w:rsidRDefault="007602C3">
            <w:pPr>
              <w:tabs>
                <w:tab w:val="center" w:pos="2429"/>
              </w:tabs>
              <w:rPr>
                <w:rFonts w:asciiTheme="minorHAnsi" w:hAnsiTheme="minorHAnsi" w:cstheme="minorHAnsi"/>
                <w:color w:val="000000"/>
                <w:sz w:val="22"/>
                <w:szCs w:val="22"/>
              </w:rPr>
            </w:pPr>
            <w:r w:rsidRPr="00051CB0">
              <w:rPr>
                <w:rFonts w:asciiTheme="minorHAnsi" w:hAnsiTheme="minorHAnsi" w:cstheme="minorHAnsi"/>
                <w:color w:val="000000"/>
                <w:sz w:val="22"/>
                <w:szCs w:val="22"/>
                <w:u w:val="single"/>
              </w:rPr>
              <w:t>Behandelvoorstel</w:t>
            </w:r>
            <w:r w:rsidRPr="00051CB0">
              <w:rPr>
                <w:rFonts w:asciiTheme="minorHAnsi" w:hAnsiTheme="minorHAnsi" w:cstheme="minorHAnsi"/>
                <w:color w:val="000000"/>
                <w:sz w:val="22"/>
                <w:szCs w:val="22"/>
              </w:rPr>
              <w:t xml:space="preserve">: </w:t>
            </w:r>
            <w:r>
              <w:rPr>
                <w:rFonts w:asciiTheme="minorHAnsi" w:hAnsiTheme="minorHAnsi" w:cstheme="minorHAnsi"/>
                <w:color w:val="000000"/>
                <w:sz w:val="22"/>
                <w:szCs w:val="22"/>
              </w:rPr>
              <w:t>BNC-fiches afwachten en t.z.t agenderen voor een algemeen overleg over de Raad WSB</w:t>
            </w:r>
          </w:p>
          <w:p w:rsidRPr="00051CB0" w:rsidR="007602C3" w:rsidP="007602C3" w:rsidRDefault="007602C3">
            <w:pPr>
              <w:rPr>
                <w:rFonts w:asciiTheme="minorHAnsi" w:hAnsiTheme="minorHAnsi" w:cstheme="minorHAnsi"/>
                <w:color w:val="000000"/>
                <w:sz w:val="22"/>
                <w:szCs w:val="22"/>
              </w:rPr>
            </w:pPr>
          </w:p>
          <w:p w:rsidR="009F3E89" w:rsidP="007602C3" w:rsidRDefault="007602C3">
            <w:pPr>
              <w:tabs>
                <w:tab w:val="center" w:pos="2429"/>
              </w:tabs>
              <w:rPr>
                <w:rFonts w:asciiTheme="minorHAnsi" w:hAnsiTheme="minorHAnsi" w:cstheme="minorHAnsi"/>
                <w:i/>
                <w:color w:val="000000"/>
                <w:sz w:val="22"/>
                <w:szCs w:val="22"/>
              </w:rPr>
            </w:pPr>
            <w:r w:rsidRPr="00051CB0">
              <w:rPr>
                <w:rFonts w:asciiTheme="minorHAnsi" w:hAnsiTheme="minorHAnsi" w:cstheme="minorHAnsi"/>
                <w:b/>
                <w:i/>
                <w:color w:val="000000"/>
                <w:sz w:val="22"/>
                <w:szCs w:val="22"/>
              </w:rPr>
              <w:t>Noot</w:t>
            </w:r>
            <w:r w:rsidRPr="00051CB0">
              <w:rPr>
                <w:rFonts w:asciiTheme="minorHAnsi" w:hAnsiTheme="minorHAnsi" w:cstheme="minorHAnsi"/>
                <w:i/>
                <w:color w:val="000000"/>
                <w:sz w:val="22"/>
                <w:szCs w:val="22"/>
              </w:rPr>
              <w:t xml:space="preserve">: </w:t>
            </w:r>
            <w:r w:rsidR="008B20CA">
              <w:rPr>
                <w:rFonts w:asciiTheme="minorHAnsi" w:hAnsiTheme="minorHAnsi" w:cstheme="minorHAnsi"/>
                <w:i/>
                <w:color w:val="000000"/>
                <w:sz w:val="22"/>
                <w:szCs w:val="22"/>
              </w:rPr>
              <w:t>met de uitbreiding van de EU sinds 2004 met een aantal oostelijke lidstaten heeft de EU een omvangrijke populatie Roma binnen haar grenzen gekregen. Om de sociale en arbeidsmarktsituatie van deze groep te verbeteren, is een Roma strategie in het leven geroepen die met deze mededeling nu in een nieuw kader t/m 2030 wordt vastgelegd.</w:t>
            </w:r>
          </w:p>
          <w:p w:rsidRPr="00051CB0" w:rsidR="007602C3" w:rsidP="007602C3" w:rsidRDefault="009F3E89">
            <w:pPr>
              <w:tabs>
                <w:tab w:val="center" w:pos="2429"/>
              </w:tabs>
              <w:rPr>
                <w:rFonts w:cstheme="minorHAnsi"/>
                <w:color w:val="000000"/>
                <w:u w:val="single"/>
              </w:rPr>
            </w:pPr>
            <w:r>
              <w:rPr>
                <w:rFonts w:asciiTheme="minorHAnsi" w:hAnsiTheme="minorHAnsi" w:cstheme="minorHAnsi"/>
                <w:i/>
                <w:color w:val="000000"/>
                <w:sz w:val="22"/>
                <w:szCs w:val="22"/>
              </w:rPr>
              <w:t xml:space="preserve">Bij de mededeling is ook een apart voorstel tot een Raadsaanbeveling opgenomen met het oogmerk om de lidstaatregeringen zich aan specifieke beleidsdoelstellingen te laten committeren.  </w:t>
            </w:r>
            <w:r w:rsidR="008B20CA">
              <w:rPr>
                <w:rFonts w:asciiTheme="minorHAnsi" w:hAnsiTheme="minorHAnsi" w:cstheme="minorHAnsi"/>
                <w:i/>
                <w:color w:val="000000"/>
                <w:sz w:val="22"/>
                <w:szCs w:val="22"/>
              </w:rPr>
              <w:t xml:space="preserve"> </w:t>
            </w:r>
          </w:p>
          <w:p w:rsidRPr="00051CB0" w:rsidR="007602C3" w:rsidP="007602C3" w:rsidRDefault="007602C3">
            <w:pPr>
              <w:tabs>
                <w:tab w:val="center" w:pos="2429"/>
              </w:tabs>
              <w:rPr>
                <w:rFonts w:cstheme="minorHAnsi"/>
                <w:color w:val="000000"/>
                <w:u w:val="single"/>
              </w:rPr>
            </w:pPr>
          </w:p>
        </w:tc>
      </w:tr>
      <w:tr w:rsidRPr="00322301" w:rsidR="007602C3" w:rsidTr="00051CB0">
        <w:trPr>
          <w:trHeight w:val="1134"/>
        </w:trPr>
        <w:tc>
          <w:tcPr>
            <w:tcW w:w="1150" w:type="dxa"/>
            <w:noWrap/>
          </w:tcPr>
          <w:p w:rsidRPr="00051CB0" w:rsidR="007602C3" w:rsidP="007602C3" w:rsidRDefault="007602C3">
            <w:pPr>
              <w:jc w:val="center"/>
              <w:rPr>
                <w:rFonts w:asciiTheme="minorHAnsi" w:hAnsiTheme="minorHAnsi" w:cstheme="minorHAnsi"/>
                <w:color w:val="000000"/>
                <w:sz w:val="22"/>
                <w:szCs w:val="22"/>
              </w:rPr>
            </w:pPr>
            <w:r w:rsidRPr="00051CB0">
              <w:rPr>
                <w:rFonts w:asciiTheme="minorHAnsi" w:hAnsiTheme="minorHAnsi" w:cstheme="minorHAnsi"/>
                <w:color w:val="000000"/>
                <w:sz w:val="22"/>
                <w:szCs w:val="22"/>
              </w:rPr>
              <w:t>7-okt-20</w:t>
            </w:r>
          </w:p>
        </w:tc>
        <w:tc>
          <w:tcPr>
            <w:tcW w:w="1035" w:type="dxa"/>
            <w:noWrap/>
          </w:tcPr>
          <w:p w:rsidRPr="00051CB0" w:rsidR="007602C3" w:rsidP="007602C3" w:rsidRDefault="007602C3">
            <w:pPr>
              <w:jc w:val="center"/>
              <w:rPr>
                <w:rFonts w:asciiTheme="minorHAnsi" w:hAnsiTheme="minorHAnsi" w:cstheme="minorHAnsi"/>
                <w:color w:val="000000"/>
                <w:sz w:val="22"/>
                <w:szCs w:val="22"/>
              </w:rPr>
            </w:pPr>
            <w:r w:rsidRPr="00051CB0">
              <w:rPr>
                <w:rFonts w:asciiTheme="minorHAnsi" w:hAnsiTheme="minorHAnsi" w:cstheme="minorHAnsi"/>
                <w:color w:val="000000"/>
                <w:sz w:val="22"/>
                <w:szCs w:val="22"/>
              </w:rPr>
              <w:t>SZW</w:t>
            </w:r>
          </w:p>
        </w:tc>
        <w:tc>
          <w:tcPr>
            <w:tcW w:w="1374" w:type="dxa"/>
            <w:noWrap/>
          </w:tcPr>
          <w:p w:rsidRPr="00051CB0" w:rsidR="007602C3" w:rsidP="00533A3C" w:rsidRDefault="007602C3">
            <w:pPr>
              <w:rPr>
                <w:rFonts w:asciiTheme="minorHAnsi" w:hAnsiTheme="minorHAnsi" w:cstheme="minorHAnsi"/>
                <w:color w:val="000000"/>
                <w:sz w:val="22"/>
                <w:szCs w:val="22"/>
              </w:rPr>
            </w:pPr>
            <w:r>
              <w:rPr>
                <w:rFonts w:asciiTheme="minorHAnsi" w:hAnsiTheme="minorHAnsi" w:cstheme="minorHAnsi"/>
                <w:color w:val="000000"/>
                <w:sz w:val="22"/>
                <w:szCs w:val="22"/>
              </w:rPr>
              <w:t>M</w:t>
            </w:r>
            <w:r w:rsidRPr="00051CB0">
              <w:rPr>
                <w:rFonts w:asciiTheme="minorHAnsi" w:hAnsiTheme="minorHAnsi" w:cstheme="minorHAnsi"/>
                <w:color w:val="000000"/>
                <w:sz w:val="22"/>
                <w:szCs w:val="22"/>
              </w:rPr>
              <w:t>ededeling</w:t>
            </w:r>
          </w:p>
        </w:tc>
        <w:tc>
          <w:tcPr>
            <w:tcW w:w="4218" w:type="dxa"/>
          </w:tcPr>
          <w:p w:rsidRPr="007602C3" w:rsidR="007602C3" w:rsidP="007602C3" w:rsidRDefault="007602C3">
            <w:pPr>
              <w:rPr>
                <w:rFonts w:asciiTheme="minorHAnsi" w:hAnsiTheme="minorHAnsi" w:cstheme="minorHAnsi"/>
                <w:color w:val="000000"/>
                <w:sz w:val="22"/>
                <w:szCs w:val="22"/>
                <w:lang w:val="en-GB"/>
              </w:rPr>
            </w:pPr>
            <w:r w:rsidRPr="007602C3">
              <w:rPr>
                <w:rFonts w:asciiTheme="minorHAnsi" w:hAnsiTheme="minorHAnsi" w:cstheme="minorHAnsi"/>
                <w:color w:val="000000"/>
                <w:sz w:val="22"/>
                <w:szCs w:val="22"/>
                <w:lang w:val="en-GB"/>
              </w:rPr>
              <w:t>COMMUNICATION FROM THE COMMISSION TO THE EUROPEAN PARLIAMENT AND THE COUNCIL A Union of Equality: EU Roma strategic framework for equality, inclusion and participation</w:t>
            </w:r>
          </w:p>
        </w:tc>
        <w:tc>
          <w:tcPr>
            <w:tcW w:w="796" w:type="dxa"/>
            <w:noWrap/>
          </w:tcPr>
          <w:p w:rsidRPr="00051CB0" w:rsidR="007602C3" w:rsidP="007602C3" w:rsidRDefault="00427003">
            <w:pPr>
              <w:jc w:val="center"/>
              <w:rPr>
                <w:rFonts w:asciiTheme="minorHAnsi" w:hAnsiTheme="minorHAnsi" w:cstheme="minorHAnsi"/>
                <w:color w:val="0000FF"/>
                <w:sz w:val="22"/>
                <w:szCs w:val="22"/>
                <w:u w:val="single"/>
              </w:rPr>
            </w:pPr>
            <w:hyperlink w:history="1" r:id="rId13">
              <w:r w:rsidRPr="00051CB0" w:rsidR="007602C3">
                <w:rPr>
                  <w:rStyle w:val="Hyperlink"/>
                  <w:rFonts w:asciiTheme="minorHAnsi" w:hAnsiTheme="minorHAnsi" w:cstheme="minorHAnsi"/>
                  <w:sz w:val="22"/>
                  <w:szCs w:val="22"/>
                </w:rPr>
                <w:t>COM (2020) 620</w:t>
              </w:r>
            </w:hyperlink>
          </w:p>
        </w:tc>
        <w:tc>
          <w:tcPr>
            <w:tcW w:w="1127" w:type="dxa"/>
          </w:tcPr>
          <w:p w:rsidRPr="00051CB0" w:rsidR="007602C3" w:rsidP="007602C3" w:rsidRDefault="007602C3">
            <w:pPr>
              <w:jc w:val="center"/>
              <w:rPr>
                <w:rFonts w:asciiTheme="minorHAnsi" w:hAnsiTheme="minorHAnsi" w:cstheme="minorHAnsi"/>
                <w:color w:val="000000"/>
                <w:sz w:val="22"/>
                <w:szCs w:val="22"/>
              </w:rPr>
            </w:pPr>
            <w:proofErr w:type="spellStart"/>
            <w:r w:rsidRPr="00051CB0">
              <w:rPr>
                <w:rFonts w:asciiTheme="minorHAnsi" w:hAnsiTheme="minorHAnsi" w:cstheme="minorHAnsi"/>
                <w:color w:val="000000"/>
                <w:sz w:val="22"/>
                <w:szCs w:val="22"/>
              </w:rPr>
              <w:t>Nvt</w:t>
            </w:r>
            <w:proofErr w:type="spellEnd"/>
          </w:p>
        </w:tc>
        <w:tc>
          <w:tcPr>
            <w:tcW w:w="4955" w:type="dxa"/>
            <w:vMerge/>
          </w:tcPr>
          <w:p w:rsidRPr="00051CB0" w:rsidR="007602C3" w:rsidP="007602C3" w:rsidRDefault="007602C3">
            <w:pPr>
              <w:tabs>
                <w:tab w:val="center" w:pos="2429"/>
              </w:tabs>
              <w:rPr>
                <w:rFonts w:asciiTheme="minorHAnsi" w:hAnsiTheme="minorHAnsi" w:cstheme="minorHAnsi"/>
                <w:color w:val="000000"/>
                <w:sz w:val="22"/>
                <w:szCs w:val="22"/>
                <w:u w:val="single"/>
              </w:rPr>
            </w:pPr>
          </w:p>
        </w:tc>
      </w:tr>
    </w:tbl>
    <w:p w:rsidR="00322301" w:rsidP="00322301" w:rsidRDefault="00322301">
      <w:pPr>
        <w:widowControl w:val="0"/>
        <w:spacing w:after="0" w:line="240" w:lineRule="auto"/>
        <w:rPr>
          <w:rFonts w:eastAsia="Times New Roman" w:cstheme="minorHAnsi"/>
          <w:b/>
          <w:lang w:eastAsia="nl-NL"/>
        </w:rPr>
      </w:pPr>
    </w:p>
    <w:p w:rsidR="009C0B8A" w:rsidP="00322301" w:rsidRDefault="009C0B8A">
      <w:pPr>
        <w:widowControl w:val="0"/>
        <w:spacing w:after="0" w:line="240" w:lineRule="auto"/>
        <w:rPr>
          <w:rFonts w:eastAsia="Times New Roman" w:cstheme="minorHAnsi"/>
          <w:b/>
          <w:lang w:eastAsia="nl-NL"/>
        </w:rPr>
      </w:pPr>
    </w:p>
    <w:p w:rsidRPr="00322301" w:rsidR="00322301" w:rsidP="00322301" w:rsidRDefault="00322301">
      <w:pPr>
        <w:widowControl w:val="0"/>
        <w:spacing w:after="0" w:line="240" w:lineRule="auto"/>
        <w:rPr>
          <w:rFonts w:eastAsia="Times New Roman" w:cstheme="minorHAnsi"/>
          <w:b/>
          <w:lang w:eastAsia="nl-NL"/>
        </w:rPr>
      </w:pPr>
      <w:r w:rsidRPr="00322301">
        <w:rPr>
          <w:rFonts w:eastAsia="Times New Roman" w:cstheme="minorHAnsi"/>
          <w:b/>
          <w:lang w:eastAsia="nl-NL"/>
        </w:rPr>
        <w:t xml:space="preserve">Toelichting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color w:val="000000"/>
          <w:lang w:eastAsia="nl-NL"/>
        </w:rPr>
        <w:t>Indien een veld</w:t>
      </w:r>
      <w:r w:rsidRPr="00322301">
        <w:rPr>
          <w:rFonts w:eastAsia="Times New Roman" w:cstheme="minorHAnsi"/>
          <w:color w:val="000000"/>
          <w:shd w:val="clear" w:color="auto" w:fill="F4B083" w:themeFill="accent2" w:themeFillTint="99"/>
          <w:lang w:eastAsia="nl-NL"/>
        </w:rPr>
        <w:t xml:space="preserve"> Rood</w:t>
      </w:r>
      <w:r w:rsidRPr="00322301">
        <w:rPr>
          <w:rFonts w:eastAsia="Times New Roman" w:cstheme="minorHAnsi"/>
          <w:color w:val="000000"/>
          <w:lang w:eastAsia="nl-NL"/>
        </w:rPr>
        <w:t xml:space="preserve"> gemarkeerd</w:t>
      </w:r>
      <w:r w:rsidRPr="00322301">
        <w:rPr>
          <w:rFonts w:eastAsia="Times New Roman" w:cstheme="minorHAnsi"/>
          <w:lang w:eastAsia="nl-NL"/>
        </w:rPr>
        <w:t xml:space="preserve"> is, dan betekent dat het desbetreffende EU-voorstel behoort tot een door de commissie als prioritair bestempeld dossier en om die reden een apart behandeltraject doorloopt. De bijzonderheden worden in dat geval in het veld “Opmerking” vermeld. </w:t>
      </w:r>
    </w:p>
    <w:p w:rsidRPr="00322301" w:rsidR="00322301" w:rsidP="00322301" w:rsidRDefault="00322301">
      <w:pPr>
        <w:widowControl w:val="0"/>
        <w:numPr>
          <w:ilvl w:val="0"/>
          <w:numId w:val="3"/>
        </w:numPr>
        <w:spacing w:after="0" w:line="240" w:lineRule="auto"/>
        <w:rPr>
          <w:rFonts w:eastAsia="Times New Roman" w:cstheme="minorHAnsi"/>
          <w:lang w:eastAsia="nl-NL"/>
        </w:rPr>
      </w:pPr>
      <w:r w:rsidRPr="00322301">
        <w:rPr>
          <w:rFonts w:eastAsia="Times New Roman" w:cstheme="minorHAnsi"/>
          <w:lang w:eastAsia="nl-NL"/>
        </w:rPr>
        <w:t>Groen- en witboeken en prioritaire worden voorstellen ook afzonderlijk worden geagendeerd. Hiervoor volstaat een verwijzing naar het aparte agendapunt en de mogelijk hierbij behorende EU-stafnotitie.</w:t>
      </w:r>
    </w:p>
    <w:p w:rsidRPr="00322301" w:rsidR="00322301" w:rsidP="00322301" w:rsidRDefault="00322301">
      <w:pPr>
        <w:widowControl w:val="0"/>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b/>
          <w:lang w:eastAsia="nl-NL"/>
        </w:rPr>
      </w:pPr>
      <w:r w:rsidRPr="00322301">
        <w:rPr>
          <w:rFonts w:eastAsia="Times New Roman" w:cstheme="minorHAnsi"/>
          <w:b/>
          <w:lang w:eastAsia="nl-NL"/>
        </w:rPr>
        <w:t>Mogelijkheden EU-voorstellen</w:t>
      </w:r>
    </w:p>
    <w:p w:rsidRPr="00322301" w:rsidR="00322301" w:rsidP="00322301" w:rsidRDefault="00322301">
      <w:pPr>
        <w:spacing w:after="0" w:line="240" w:lineRule="auto"/>
        <w:rPr>
          <w:rFonts w:eastAsia="Times New Roman" w:cstheme="minorHAnsi"/>
          <w:lang w:eastAsia="nl-NL"/>
        </w:rPr>
      </w:pP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t xml:space="preserve">Hieronder treft u een overzicht aan van vaak voorkomende EU-instrumenten en een (niet uitputtend) overzicht van momenten waarop u als commissie of als fractie invloed kunt uitoefenen op de vorming van EU-beleid: hetzij via het kabinet; hetzij zelf in Brussel. </w:t>
      </w:r>
    </w:p>
    <w:p w:rsidRPr="00322301" w:rsidR="00322301" w:rsidP="00322301" w:rsidRDefault="00322301">
      <w:pPr>
        <w:spacing w:after="0" w:line="240" w:lineRule="auto"/>
        <w:rPr>
          <w:rFonts w:eastAsia="Times New Roman" w:cstheme="minorHAnsi"/>
          <w:lang w:eastAsia="nl-NL"/>
        </w:rPr>
      </w:pPr>
      <w:r w:rsidRPr="00322301">
        <w:rPr>
          <w:rFonts w:eastAsia="Times New Roman" w:cstheme="minorHAnsi"/>
          <w:lang w:eastAsia="nl-NL"/>
        </w:rPr>
        <w:lastRenderedPageBreak/>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322301" w:rsidR="00322301" w:rsidP="00322301" w:rsidRDefault="00322301">
      <w:pPr>
        <w:spacing w:after="0" w:line="240" w:lineRule="auto"/>
        <w:rPr>
          <w:rFonts w:eastAsia="Times New Roman" w:cstheme="minorHAnsi"/>
          <w:lang w:eastAsia="nl-NL"/>
        </w:rPr>
      </w:pPr>
    </w:p>
    <w:tbl>
      <w:tblPr>
        <w:tblStyle w:val="Tabelraster"/>
        <w:tblW w:w="14142" w:type="dxa"/>
        <w:tblLayout w:type="fixed"/>
        <w:tblLook w:val="04A0" w:firstRow="1" w:lastRow="0" w:firstColumn="1" w:lastColumn="0" w:noHBand="0" w:noVBand="1"/>
      </w:tblPr>
      <w:tblGrid>
        <w:gridCol w:w="2093"/>
        <w:gridCol w:w="6946"/>
        <w:gridCol w:w="5103"/>
      </w:tblGrid>
      <w:tr w:rsidRPr="00322301" w:rsidR="00322301" w:rsidTr="00501A7F">
        <w:tc>
          <w:tcPr>
            <w:tcW w:w="2093" w:type="dxa"/>
          </w:tcPr>
          <w:p w:rsidRPr="00322301" w:rsidR="00322301" w:rsidP="00322301" w:rsidRDefault="00322301">
            <w:pPr>
              <w:rPr>
                <w:rFonts w:cstheme="minorHAnsi"/>
                <w:b/>
              </w:rPr>
            </w:pPr>
            <w:r w:rsidRPr="00322301">
              <w:rPr>
                <w:rFonts w:cstheme="minorHAnsi"/>
                <w:b/>
              </w:rPr>
              <w:t>Soort Instrument</w:t>
            </w:r>
          </w:p>
        </w:tc>
        <w:tc>
          <w:tcPr>
            <w:tcW w:w="6946" w:type="dxa"/>
          </w:tcPr>
          <w:p w:rsidRPr="00322301" w:rsidR="00322301" w:rsidP="00322301" w:rsidRDefault="00322301">
            <w:pPr>
              <w:rPr>
                <w:rFonts w:cstheme="minorHAnsi"/>
                <w:b/>
              </w:rPr>
            </w:pPr>
            <w:r w:rsidRPr="00322301">
              <w:rPr>
                <w:rFonts w:cstheme="minorHAnsi"/>
                <w:b/>
              </w:rPr>
              <w:t>Toelichting</w:t>
            </w:r>
          </w:p>
        </w:tc>
        <w:tc>
          <w:tcPr>
            <w:tcW w:w="5103" w:type="dxa"/>
          </w:tcPr>
          <w:p w:rsidRPr="00322301" w:rsidR="00322301" w:rsidP="00322301" w:rsidRDefault="00322301">
            <w:pPr>
              <w:rPr>
                <w:rFonts w:cstheme="minorHAnsi"/>
                <w:b/>
              </w:rPr>
            </w:pPr>
            <w:r w:rsidRPr="00322301">
              <w:rPr>
                <w:rFonts w:cstheme="minorHAnsi"/>
                <w:b/>
              </w:rPr>
              <w:t xml:space="preserve">Mogelijke beïnvloedingsmomenten </w:t>
            </w:r>
          </w:p>
        </w:tc>
      </w:tr>
      <w:tr w:rsidRPr="00322301" w:rsidR="00322301" w:rsidTr="00501A7F">
        <w:tc>
          <w:tcPr>
            <w:tcW w:w="14142" w:type="dxa"/>
            <w:gridSpan w:val="3"/>
          </w:tcPr>
          <w:p w:rsidRPr="00322301" w:rsidR="00322301" w:rsidP="00322301" w:rsidRDefault="00322301">
            <w:pPr>
              <w:rPr>
                <w:rFonts w:cstheme="minorHAnsi"/>
                <w:i/>
              </w:rPr>
            </w:pPr>
          </w:p>
          <w:p w:rsidRPr="00322301" w:rsidR="00322301" w:rsidP="00322301" w:rsidRDefault="00322301">
            <w:pPr>
              <w:rPr>
                <w:rFonts w:cstheme="minorHAnsi"/>
                <w:i/>
              </w:rPr>
            </w:pPr>
            <w:r w:rsidRPr="00322301">
              <w:rPr>
                <w:rFonts w:cstheme="minorHAnsi"/>
                <w:i/>
              </w:rPr>
              <w: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Verordening</w:t>
            </w:r>
          </w:p>
        </w:tc>
        <w:tc>
          <w:tcPr>
            <w:tcW w:w="6946" w:type="dxa"/>
          </w:tcPr>
          <w:p w:rsidRPr="00322301" w:rsidR="00322301" w:rsidP="00322301" w:rsidRDefault="00322301">
            <w:pPr>
              <w:rPr>
                <w:rFonts w:cstheme="minorHAnsi"/>
              </w:rPr>
            </w:pPr>
            <w:r w:rsidRPr="00322301">
              <w:rPr>
                <w:rFonts w:cstheme="minorHAnsi"/>
              </w:rPr>
              <w:t xml:space="preserve">Een verordening heeft een algemene strekking, is verbindend in al haar onderdelen en is rechtstreeks toepasselijk in elke lidstaat. Dit betekent dat een verordening algemene regels stelt die voor </w:t>
            </w:r>
            <w:proofErr w:type="gramStart"/>
            <w:r w:rsidRPr="00322301">
              <w:rPr>
                <w:rFonts w:cstheme="minorHAnsi"/>
              </w:rPr>
              <w:t>een ieder</w:t>
            </w:r>
            <w:proofErr w:type="gramEnd"/>
            <w:r w:rsidRPr="00322301">
              <w:rPr>
                <w:rFonts w:cstheme="minorHAnsi"/>
              </w:rPr>
              <w:t xml:space="preserve"> gelden, direct van toepassing zijn in de nationale rechtsorde en voorrang hebben op (eventueel strijdig) nationaal recht. Soms is aanvullende wetgeving nodig om de verordening volledig te operationaliseren. Een door de </w:t>
            </w:r>
            <w:proofErr w:type="gramStart"/>
            <w:r w:rsidRPr="00322301">
              <w:rPr>
                <w:rFonts w:cstheme="minorHAnsi"/>
              </w:rPr>
              <w:t>EU wetgever</w:t>
            </w:r>
            <w:proofErr w:type="gramEnd"/>
            <w:r w:rsidRPr="00322301">
              <w:rPr>
                <w:rFonts w:cstheme="minorHAnsi"/>
              </w:rPr>
              <w:t xml:space="preserve"> (Raad en/of Europees Parlement) aangenomen verordening komt niet terug in de Kamer voor behandeling. </w:t>
            </w:r>
          </w:p>
        </w:tc>
        <w:tc>
          <w:tcPr>
            <w:tcW w:w="5103" w:type="dxa"/>
            <w:vMerge w:val="restart"/>
          </w:tcPr>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subsidiariteitstoets</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behandelvoorbehoud</w:t>
            </w:r>
            <w:proofErr w:type="gramEnd"/>
            <w:r w:rsidRPr="00322301">
              <w:rPr>
                <w:rFonts w:cstheme="minorHAnsi"/>
              </w:rPr>
              <w:t xml:space="preserve"> overwegen: let op termijn (zie hieronder).</w:t>
            </w:r>
          </w:p>
          <w:p w:rsidRPr="00322301" w:rsidR="00322301" w:rsidP="00322301" w:rsidRDefault="00322301">
            <w:pPr>
              <w:numPr>
                <w:ilvl w:val="0"/>
                <w:numId w:val="1"/>
              </w:numPr>
              <w:rPr>
                <w:rFonts w:cstheme="minorHAnsi"/>
              </w:rPr>
            </w:pPr>
            <w:proofErr w:type="gramStart"/>
            <w:r w:rsidRPr="00322301">
              <w:rPr>
                <w:rFonts w:cstheme="minorHAnsi"/>
              </w:rPr>
              <w:t>ad</w:t>
            </w:r>
            <w:proofErr w:type="gramEnd"/>
            <w:r w:rsidRPr="00322301">
              <w:rPr>
                <w:rFonts w:cstheme="minorHAnsi"/>
              </w:rPr>
              <w:t>-hoc rapporteur(s) binnen de commissie(s) benoemen.</w:t>
            </w:r>
          </w:p>
          <w:p w:rsidRPr="00322301" w:rsidR="00322301" w:rsidP="00322301" w:rsidRDefault="00322301">
            <w:pPr>
              <w:numPr>
                <w:ilvl w:val="0"/>
                <w:numId w:val="1"/>
              </w:numPr>
              <w:rPr>
                <w:rFonts w:cstheme="minorHAnsi"/>
              </w:rPr>
            </w:pPr>
            <w:r w:rsidRPr="00322301">
              <w:rPr>
                <w:rFonts w:cstheme="minorHAnsi"/>
              </w:rPr>
              <w:t>tijdens overleg met kabinet NL onderhandelingsinzet aan de orde stellen, evt. aan de hand van het “BNC-fiche”.</w:t>
            </w:r>
            <w:r w:rsidRPr="00322301">
              <w:rPr>
                <w:rFonts w:cstheme="minorHAnsi"/>
                <w:vertAlign w:val="superscript"/>
              </w:rPr>
              <w:footnoteReference w:id="1"/>
            </w:r>
            <w:r w:rsidRPr="00322301">
              <w:rPr>
                <w:rFonts w:cstheme="minorHAnsi"/>
              </w:rPr>
              <w:t xml:space="preserve"> </w:t>
            </w:r>
          </w:p>
          <w:p w:rsidRPr="00322301" w:rsidR="00322301" w:rsidP="00322301" w:rsidRDefault="00322301">
            <w:pPr>
              <w:numPr>
                <w:ilvl w:val="0"/>
                <w:numId w:val="1"/>
              </w:numPr>
              <w:rPr>
                <w:rFonts w:cstheme="minorHAnsi"/>
              </w:rPr>
            </w:pPr>
            <w:r w:rsidRPr="00322301">
              <w:rPr>
                <w:rFonts w:cstheme="minorHAnsi"/>
              </w:rPr>
              <w:t>EP-rapporteur uitnodigen, evt. via videoconferentie.</w:t>
            </w:r>
            <w:r w:rsidRPr="00322301">
              <w:rPr>
                <w:rFonts w:cstheme="minorHAnsi"/>
              </w:rPr>
              <w:br/>
            </w:r>
            <w:r w:rsidRPr="00322301">
              <w:rPr>
                <w:rFonts w:cstheme="minorHAnsi"/>
              </w:rPr>
              <w:br/>
            </w:r>
          </w:p>
          <w:p w:rsidRPr="00322301" w:rsidR="00322301" w:rsidP="00322301" w:rsidRDefault="00322301">
            <w:pPr>
              <w:numPr>
                <w:ilvl w:val="0"/>
                <w:numId w:val="1"/>
              </w:numPr>
              <w:rPr>
                <w:rFonts w:cstheme="minorHAnsi"/>
              </w:rPr>
            </w:pPr>
            <w:r w:rsidRPr="00322301">
              <w:rPr>
                <w:rFonts w:cstheme="minorHAnsi"/>
              </w:rPr>
              <w:t>NB: Pas na afronding van het onderhandelingstraject: nationale wetgevingstraject monitoren (</w:t>
            </w:r>
            <w:proofErr w:type="spellStart"/>
            <w:r w:rsidRPr="00322301">
              <w:rPr>
                <w:rFonts w:cstheme="minorHAnsi"/>
              </w:rPr>
              <w:t>i.h.k.v</w:t>
            </w:r>
            <w:proofErr w:type="spellEnd"/>
            <w:r w:rsidRPr="00322301">
              <w:rPr>
                <w:rFonts w:cstheme="minorHAnsi"/>
              </w:rPr>
              <w:t>. omzetting naar nationale wetgeving).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Richtlijn </w:t>
            </w:r>
          </w:p>
        </w:tc>
        <w:tc>
          <w:tcPr>
            <w:tcW w:w="6946" w:type="dxa"/>
          </w:tcPr>
          <w:p w:rsidRPr="00322301" w:rsidR="00322301" w:rsidP="00322301" w:rsidRDefault="00322301">
            <w:pPr>
              <w:rPr>
                <w:rFonts w:cstheme="minorHAnsi"/>
              </w:rPr>
            </w:pPr>
            <w:r w:rsidRPr="00322301">
              <w:rPr>
                <w:rFonts w:cstheme="minorHAnsi"/>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(Besluit)</w:t>
            </w:r>
          </w:p>
        </w:tc>
        <w:tc>
          <w:tcPr>
            <w:tcW w:w="6946" w:type="dxa"/>
          </w:tcPr>
          <w:p w:rsidRPr="00322301" w:rsidR="00322301" w:rsidP="00322301" w:rsidRDefault="00322301">
            <w:pPr>
              <w:rPr>
                <w:rFonts w:cstheme="minorHAnsi"/>
              </w:rPr>
            </w:pPr>
            <w:r w:rsidRPr="00322301">
              <w:rPr>
                <w:rFonts w:cstheme="minorHAnsi"/>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322301">
              <w:rPr>
                <w:rFonts w:cs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w:t>
            </w:r>
            <w:r w:rsidRPr="00322301">
              <w:rPr>
                <w:rFonts w:cstheme="minorHAnsi"/>
              </w:rPr>
              <w:lastRenderedPageBreak/>
              <w:t xml:space="preserve">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322301" w:rsidR="00322301" w:rsidP="00322301" w:rsidRDefault="00322301">
            <w:pPr>
              <w:numPr>
                <w:ilvl w:val="0"/>
                <w:numId w:val="2"/>
              </w:numPr>
              <w:ind w:left="317" w:hanging="283"/>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Niet-wetgevende bindende rechtshandelingen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Gedelegeerde handeling</w:t>
            </w:r>
          </w:p>
        </w:tc>
        <w:tc>
          <w:tcPr>
            <w:tcW w:w="6946" w:type="dxa"/>
          </w:tcPr>
          <w:p w:rsidRPr="00322301" w:rsidR="00322301" w:rsidP="00322301" w:rsidRDefault="00322301">
            <w:pPr>
              <w:rPr>
                <w:rFonts w:cstheme="minorHAnsi"/>
              </w:rPr>
            </w:pPr>
            <w:r w:rsidRPr="00322301">
              <w:rPr>
                <w:rFonts w:cstheme="minorHAnsi"/>
              </w:rPr>
              <w:t>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overleg bevragen over stand van zaken en appreciatie EU onderhandelingen en NL inzet.</w:t>
            </w:r>
          </w:p>
          <w:p w:rsidRPr="00322301" w:rsidR="00322301" w:rsidP="00322301" w:rsidRDefault="00322301">
            <w:pPr>
              <w:ind w:left="360"/>
              <w:rPr>
                <w:rFonts w:cstheme="minorHAnsi"/>
              </w:rPr>
            </w:pPr>
          </w:p>
        </w:tc>
      </w:tr>
      <w:tr w:rsidRPr="00322301" w:rsidR="00322301" w:rsidTr="00501A7F">
        <w:tc>
          <w:tcPr>
            <w:tcW w:w="2093" w:type="dxa"/>
          </w:tcPr>
          <w:p w:rsidRPr="00322301" w:rsidR="00322301" w:rsidP="00322301" w:rsidRDefault="00322301">
            <w:pPr>
              <w:rPr>
                <w:rFonts w:cstheme="minorHAnsi"/>
              </w:rPr>
            </w:pPr>
            <w:proofErr w:type="spellStart"/>
            <w:r w:rsidRPr="00322301">
              <w:rPr>
                <w:rFonts w:cstheme="minorHAnsi"/>
              </w:rPr>
              <w:t>Uitvoerings-handeling</w:t>
            </w:r>
            <w:proofErr w:type="spellEnd"/>
          </w:p>
        </w:tc>
        <w:tc>
          <w:tcPr>
            <w:tcW w:w="6946" w:type="dxa"/>
          </w:tcPr>
          <w:p w:rsidRPr="00322301" w:rsidR="00322301" w:rsidP="00322301" w:rsidRDefault="00322301">
            <w:pPr>
              <w:rPr>
                <w:rFonts w:cstheme="minorHAnsi"/>
              </w:rPr>
            </w:pPr>
            <w:r w:rsidRPr="00322301">
              <w:rPr>
                <w:rFonts w:cs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per brief of tijdens algemeen overleg/debat bevragen over stand van zaken en appreciatie EU onderhandelingen en NL inzet.</w:t>
            </w:r>
          </w:p>
          <w:p w:rsidRPr="00322301" w:rsidR="00322301" w:rsidP="00322301" w:rsidRDefault="00322301">
            <w:pPr>
              <w:numPr>
                <w:ilvl w:val="0"/>
                <w:numId w:val="1"/>
              </w:numPr>
              <w:rPr>
                <w:rFonts w:cstheme="minorHAnsi"/>
              </w:rPr>
            </w:pPr>
            <w:r w:rsidRPr="00322301">
              <w:rPr>
                <w:rFonts w:cstheme="minorHAnsi"/>
                <w:color w:val="000000"/>
              </w:rPr>
              <w:t xml:space="preserve">op basis van </w:t>
            </w:r>
            <w:r w:rsidRPr="00322301">
              <w:rPr>
                <w:rFonts w:cstheme="minorHAnsi"/>
              </w:rPr>
              <w:t xml:space="preserve">de </w:t>
            </w:r>
            <w:hyperlink w:history="1" r:id="rId14">
              <w:r w:rsidRPr="00322301">
                <w:rPr>
                  <w:rFonts w:cstheme="minorHAnsi"/>
                  <w:u w:val="single"/>
                </w:rPr>
                <w:t>(gewijzigde) motie Van Gent</w:t>
              </w:r>
            </w:hyperlink>
            <w:r w:rsidRPr="00322301">
              <w:rPr>
                <w:rFonts w:cstheme="minorHAnsi"/>
                <w:color w:val="000000"/>
              </w:rPr>
              <w:t xml:space="preserve"> dient het kabinet de Kamer afschriften te sturen van haar correspondentie met de Europese Commissie over de uitvoering van Europese regelgeving.</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Bijzondere rechtshandelingen</w:t>
            </w:r>
          </w:p>
        </w:tc>
        <w:tc>
          <w:tcPr>
            <w:tcW w:w="6946" w:type="dxa"/>
          </w:tcPr>
          <w:p w:rsidRPr="00322301" w:rsidR="00322301" w:rsidP="00322301" w:rsidRDefault="00322301">
            <w:pPr>
              <w:rPr>
                <w:rFonts w:cstheme="minorHAnsi"/>
              </w:rPr>
            </w:pPr>
            <w:r w:rsidRPr="00322301">
              <w:rPr>
                <w:rFonts w:cs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322301" w:rsidR="00322301" w:rsidP="00322301" w:rsidRDefault="00322301">
            <w:pPr>
              <w:rPr>
                <w:rFonts w:cstheme="minorHAnsi"/>
              </w:rPr>
            </w:pP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vragen, bespreken.</w:t>
            </w:r>
          </w:p>
          <w:p w:rsidRPr="00322301" w:rsidR="00322301" w:rsidP="00322301" w:rsidRDefault="00322301">
            <w:pPr>
              <w:numPr>
                <w:ilvl w:val="0"/>
                <w:numId w:val="1"/>
              </w:numPr>
              <w:rPr>
                <w:rFonts w:cstheme="minorHAnsi"/>
              </w:rPr>
            </w:pPr>
            <w:proofErr w:type="gramStart"/>
            <w:r w:rsidRPr="00322301">
              <w:rPr>
                <w:rFonts w:cstheme="minorHAnsi"/>
              </w:rPr>
              <w:t>ambtenaren</w:t>
            </w:r>
            <w:proofErr w:type="gramEnd"/>
            <w:r w:rsidRPr="00322301">
              <w:rPr>
                <w:rFonts w:cstheme="minorHAnsi"/>
              </w:rPr>
              <w:t xml:space="preserve"> of Commissaris van Europese Commissie (de ‘auteurs’) uitnodigen voor briefing/gesprek, evt. via videoconferentie</w:t>
            </w:r>
          </w:p>
          <w:p w:rsidRPr="00322301" w:rsidR="00322301" w:rsidP="00322301" w:rsidRDefault="00322301">
            <w:pPr>
              <w:numPr>
                <w:ilvl w:val="0"/>
                <w:numId w:val="1"/>
              </w:numPr>
              <w:rPr>
                <w:rFonts w:cstheme="minorHAnsi"/>
              </w:rPr>
            </w:pPr>
            <w:proofErr w:type="gramStart"/>
            <w:r w:rsidRPr="00322301">
              <w:rPr>
                <w:rFonts w:cstheme="minorHAnsi"/>
              </w:rPr>
              <w:t>indien</w:t>
            </w:r>
            <w:proofErr w:type="gramEnd"/>
            <w:r w:rsidRPr="00322301">
              <w:rPr>
                <w:rFonts w:cstheme="minorHAnsi"/>
              </w:rPr>
              <w:t xml:space="preserve"> het Europees Parlement een rapporteur heeft aangesteld kan deze desgewenst worden uitgenodigd voor een gesprek.</w:t>
            </w:r>
          </w:p>
          <w:p w:rsidRPr="00322301" w:rsidR="00322301" w:rsidP="00322301" w:rsidRDefault="00322301">
            <w:pPr>
              <w:numPr>
                <w:ilvl w:val="0"/>
                <w:numId w:val="1"/>
              </w:numPr>
              <w:rPr>
                <w:rFonts w:cstheme="minorHAnsi"/>
              </w:rPr>
            </w:pPr>
            <w:proofErr w:type="gramStart"/>
            <w:r w:rsidRPr="00322301">
              <w:rPr>
                <w:rFonts w:cstheme="minorHAnsi"/>
              </w:rPr>
              <w:t>uw</w:t>
            </w:r>
            <w:proofErr w:type="gramEnd"/>
            <w:r w:rsidRPr="00322301">
              <w:rPr>
                <w:rFonts w:cstheme="minorHAnsi"/>
              </w:rPr>
              <w:t xml:space="preserve"> commissie kan op dit onderwerp een ad-hoc rapporteur benoemen</w:t>
            </w:r>
          </w:p>
          <w:p w:rsidRPr="00322301" w:rsidR="00322301" w:rsidP="00322301" w:rsidRDefault="00322301">
            <w:pPr>
              <w:ind w:left="360"/>
              <w:rPr>
                <w:rFonts w:cstheme="minorHAnsi"/>
              </w:rPr>
            </w:pPr>
            <w:r w:rsidRPr="00322301">
              <w:rPr>
                <w:rFonts w:cstheme="minorHAnsi"/>
              </w:rPr>
              <w:t>nationale wetgevingstraject (</w:t>
            </w:r>
            <w:proofErr w:type="spellStart"/>
            <w:r w:rsidRPr="00322301">
              <w:rPr>
                <w:rFonts w:cstheme="minorHAnsi"/>
              </w:rPr>
              <w:t>i.h.k.v</w:t>
            </w:r>
            <w:proofErr w:type="spellEnd"/>
            <w:r w:rsidRPr="00322301">
              <w:rPr>
                <w:rFonts w:cstheme="minorHAnsi"/>
              </w:rPr>
              <w:t>. omzetting van richtlijn naar nationale wetgeving).</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Niet-bindende handelingen (soft-</w:t>
            </w:r>
            <w:proofErr w:type="spellStart"/>
            <w:r w:rsidRPr="00322301">
              <w:rPr>
                <w:rFonts w:cstheme="minorHAnsi"/>
                <w:i/>
              </w:rPr>
              <w:t>law</w:t>
            </w:r>
            <w:proofErr w:type="spellEnd"/>
            <w:r w:rsidRPr="00322301">
              <w:rPr>
                <w:rFonts w:cstheme="minorHAnsi"/>
                <w:i/>
              </w:rPr>
              <w: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Advies, aanbeveling, mededeling</w:t>
            </w: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p w:rsidRPr="00322301" w:rsidR="00322301" w:rsidP="00322301" w:rsidRDefault="00322301">
            <w:pPr>
              <w:jc w:val="right"/>
              <w:rPr>
                <w:rFonts w:cstheme="minorHAnsi"/>
              </w:rPr>
            </w:pP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lastRenderedPageBreak/>
              <w:t xml:space="preserve">De EU kent een grote hoeveelheid uiteenlopende typen beleid (‘soft </w:t>
            </w:r>
            <w:proofErr w:type="spellStart"/>
            <w:r w:rsidRPr="00322301">
              <w:rPr>
                <w:rFonts w:cstheme="minorHAnsi"/>
              </w:rPr>
              <w:t>law</w:t>
            </w:r>
            <w:proofErr w:type="spellEnd"/>
            <w:r w:rsidRPr="00322301">
              <w:rPr>
                <w:rFonts w:cstheme="minorHAnsi"/>
              </w:rPr>
              <w:t xml:space="preserve">’) zonder bindende rechtskracht, maar soms met juridische effecten, zoals aanbevelingen en adviezen, resoluties, verklaringen, notificaties, mededelingen, handboeken, gedragscodes, etc. Zij kunnen op verschillende manieren toch effect hebben: zo is </w:t>
            </w:r>
            <w:r w:rsidRPr="00322301">
              <w:rPr>
                <w:rFonts w:cstheme="minorHAnsi"/>
              </w:rPr>
              <w:lastRenderedPageBreak/>
              <w:t>bijvoorbeeld de Europese Commissie (en soms ook de lidstaten) gebonden aan het eigen beleid. Daarnaast moet bij de toepassing van het ‘harde’ Unierecht gekeken worden naar soft-</w:t>
            </w:r>
            <w:proofErr w:type="spellStart"/>
            <w:r w:rsidRPr="00322301">
              <w:rPr>
                <w:rFonts w:cstheme="minorHAnsi"/>
              </w:rPr>
              <w:t>law</w:t>
            </w:r>
            <w:proofErr w:type="spellEnd"/>
            <w:r w:rsidRPr="00322301">
              <w:rPr>
                <w:rFonts w:cstheme="minorHAnsi"/>
              </w:rPr>
              <w:t xml:space="preserve">.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lastRenderedPageBreak/>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p w:rsidRPr="00322301" w:rsidR="00322301" w:rsidP="00322301" w:rsidRDefault="00322301">
            <w:pPr>
              <w:rPr>
                <w:rFonts w:cstheme="minorHAnsi"/>
              </w:rPr>
            </w:pP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lastRenderedPageBreak/>
              <w:t xml:space="preserve">Overige handelingen en instrumenten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 xml:space="preserve">Routekaart, actieplannen, strategie, agenda </w:t>
            </w:r>
          </w:p>
        </w:tc>
        <w:tc>
          <w:tcPr>
            <w:tcW w:w="6946" w:type="dxa"/>
          </w:tcPr>
          <w:p w:rsidRPr="00322301" w:rsidR="00322301" w:rsidP="00322301" w:rsidRDefault="00322301">
            <w:pPr>
              <w:rPr>
                <w:rFonts w:cstheme="minorHAnsi"/>
              </w:rPr>
            </w:pPr>
            <w:r w:rsidRPr="00322301">
              <w:rPr>
                <w:rFonts w:cstheme="minorHAnsi"/>
              </w:rPr>
              <w:t xml:space="preserve">Via routekaarten, actieplannen, strategieën en agenda’s informeert de Europese Commissie belanghebbenden en burgers over nieuwe initiatieven, evaluaties en geschiktheidscontroles. In deze documenten </w:t>
            </w:r>
            <w:r w:rsidRPr="00322301">
              <w:rPr>
                <w:rFonts w:cstheme="minorHAnsi"/>
                <w:b/>
                <w:bCs/>
              </w:rPr>
              <w:t>voor nieuwe initiatieven</w:t>
            </w:r>
            <w:r w:rsidRPr="00322301">
              <w:rPr>
                <w:rFonts w:cstheme="minorHAnsi"/>
              </w:rPr>
              <w:t xml:space="preserve"> wordt uitgelegd wat het probleem is, wat de Commissie wil bereiken, waarom juist de </w:t>
            </w:r>
            <w:proofErr w:type="gramStart"/>
            <w:r w:rsidRPr="00322301">
              <w:rPr>
                <w:rFonts w:cstheme="minorHAnsi"/>
              </w:rPr>
              <w:t>EU maatregelen</w:t>
            </w:r>
            <w:proofErr w:type="gramEnd"/>
            <w:r w:rsidRPr="00322301">
              <w:rPr>
                <w:rFonts w:cstheme="minorHAnsi"/>
              </w:rPr>
              <w:t xml:space="preserve"> moet nemen, wat de toegevoegde waarde is en welke alternatieven er zijn. In deze documenten</w:t>
            </w:r>
            <w:r w:rsidRPr="00322301">
              <w:rPr>
                <w:rFonts w:cstheme="minorHAnsi"/>
                <w:b/>
                <w:bCs/>
              </w:rPr>
              <w:t xml:space="preserve"> voor evaluaties en geschiktheidscontroles</w:t>
            </w:r>
            <w:r w:rsidRPr="00322301">
              <w:rPr>
                <w:rFonts w:cstheme="minorHAnsi"/>
              </w:rPr>
              <w:t xml:space="preserve"> wordt bepaald wat er geëvalueerd moet worden en welke aspecten moeten worden onderzocht.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om appreciatie in de vorm van BNC-fiche verzoeken aangezien over deze categorie niet standaard een fiche wordt gemaakt</w:t>
            </w:r>
          </w:p>
          <w:p w:rsidRPr="00322301" w:rsidR="00322301" w:rsidP="00322301" w:rsidRDefault="00322301">
            <w:pPr>
              <w:numPr>
                <w:ilvl w:val="0"/>
                <w:numId w:val="1"/>
              </w:numPr>
              <w:rPr>
                <w:rFonts w:cstheme="minorHAnsi"/>
              </w:rPr>
            </w:pPr>
            <w:r w:rsidRPr="00322301">
              <w:rPr>
                <w:rFonts w:cstheme="minorHAnsi"/>
              </w:rPr>
              <w:t>en/of kabinet vragen om NL inzet (per commissiebrief of tijdens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Groen- en witboek</w:t>
            </w:r>
          </w:p>
        </w:tc>
        <w:tc>
          <w:tcPr>
            <w:tcW w:w="6946" w:type="dxa"/>
          </w:tcPr>
          <w:p w:rsidRPr="00322301" w:rsidR="00322301" w:rsidP="00322301" w:rsidRDefault="00322301">
            <w:pPr>
              <w:rPr>
                <w:rFonts w:cstheme="minorHAnsi"/>
              </w:rPr>
            </w:pPr>
            <w:r w:rsidRPr="00322301">
              <w:rPr>
                <w:rFonts w:cstheme="minorHAnsi"/>
              </w:rPr>
              <w:t xml:space="preserve">Groenboek: een discussiestuk, waarmee de Europese Commissie de stand van zaken inventariseert omtrent een onderwerp. Ook doet ze aanbevelingen voor nieuw beleid. </w:t>
            </w:r>
          </w:p>
          <w:p w:rsidRPr="00322301" w:rsidR="00322301" w:rsidP="00322301" w:rsidRDefault="00322301">
            <w:pPr>
              <w:rPr>
                <w:rFonts w:cstheme="minorHAnsi"/>
              </w:rPr>
            </w:pPr>
          </w:p>
          <w:p w:rsidRPr="00322301" w:rsidR="00322301" w:rsidP="00322301" w:rsidRDefault="00322301">
            <w:pPr>
              <w:rPr>
                <w:rFonts w:cstheme="minorHAnsi"/>
              </w:rPr>
            </w:pPr>
            <w:r w:rsidRPr="00322301">
              <w:rPr>
                <w:rFonts w:cstheme="minorHAnsi"/>
              </w:rPr>
              <w:t>Witboek: hierin zet de Europese Commissie uiteen hoe zij bepaalde doelen wil bereiken. Vaak worden in een witboek al concrete voorstellen uitgewerkt en toegelicht.</w:t>
            </w:r>
          </w:p>
          <w:p w:rsidRPr="00322301" w:rsidR="00322301" w:rsidP="00322301" w:rsidRDefault="00322301">
            <w:pPr>
              <w:rPr>
                <w:rFonts w:cstheme="minorHAnsi"/>
              </w:rPr>
            </w:pPr>
            <w:r w:rsidRPr="00322301">
              <w:rPr>
                <w:rFonts w:cstheme="minorHAnsi"/>
              </w:rPr>
              <w:t xml:space="preserve">De Europese Commissie nodigt overheden, nationale parlementen en andere organisaties uit om binnen een bepaalde termijn op een Groen- of Witboek te reageren.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desgewenst</w:t>
            </w:r>
            <w:proofErr w:type="gramEnd"/>
            <w:r w:rsidRPr="00322301">
              <w:rPr>
                <w:rFonts w:cstheme="minorHAnsi"/>
              </w:rPr>
              <w:t xml:space="preserve"> ambtenaren EC of Europees Commissaris uitnodigen voor een toelichting.</w:t>
            </w:r>
          </w:p>
          <w:p w:rsidRPr="00322301" w:rsidR="00322301" w:rsidP="00322301" w:rsidRDefault="00322301">
            <w:pPr>
              <w:numPr>
                <w:ilvl w:val="0"/>
                <w:numId w:val="1"/>
              </w:numPr>
              <w:rPr>
                <w:rFonts w:cstheme="minorHAnsi"/>
              </w:rPr>
            </w:pPr>
            <w:proofErr w:type="gramStart"/>
            <w:r w:rsidRPr="00322301">
              <w:rPr>
                <w:rFonts w:cstheme="minorHAnsi"/>
              </w:rPr>
              <w:t>in</w:t>
            </w:r>
            <w:proofErr w:type="gramEnd"/>
            <w:r w:rsidRPr="00322301">
              <w:rPr>
                <w:rFonts w:cstheme="minorHAnsi"/>
              </w:rPr>
              <w:t xml:space="preserve"> commissieverband (via schriftelijke inbreng in de vorm van een politieke dialoog) of als lid, burger of via fracties een reactie sturen aan de Europese Commissie.</w:t>
            </w:r>
          </w:p>
          <w:p w:rsidRPr="00322301" w:rsidR="00322301" w:rsidP="00322301" w:rsidRDefault="00322301">
            <w:pPr>
              <w:numPr>
                <w:ilvl w:val="0"/>
                <w:numId w:val="1"/>
              </w:numPr>
              <w:rPr>
                <w:rFonts w:cstheme="minorHAnsi"/>
              </w:rPr>
            </w:pPr>
            <w:proofErr w:type="gramStart"/>
            <w:r w:rsidRPr="00322301">
              <w:rPr>
                <w:rFonts w:cstheme="minorHAnsi"/>
              </w:rPr>
              <w:t>kabinet</w:t>
            </w:r>
            <w:proofErr w:type="gramEnd"/>
            <w:r w:rsidRPr="00322301">
              <w:rPr>
                <w:rFonts w:cstheme="minorHAnsi"/>
              </w:rPr>
              <w:t xml:space="preserve">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Openbare raadpleging (consultatie)</w:t>
            </w:r>
          </w:p>
        </w:tc>
        <w:tc>
          <w:tcPr>
            <w:tcW w:w="6946" w:type="dxa"/>
          </w:tcPr>
          <w:p w:rsidRPr="00322301" w:rsidR="00322301" w:rsidP="00322301" w:rsidRDefault="00322301">
            <w:pPr>
              <w:spacing w:before="100" w:beforeAutospacing="1" w:after="100" w:afterAutospacing="1"/>
              <w:rPr>
                <w:rFonts w:cstheme="minorHAnsi"/>
              </w:rPr>
            </w:pPr>
            <w:r w:rsidRPr="00322301">
              <w:rPr>
                <w:rFonts w:cs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5">
              <w:r w:rsidRPr="00322301">
                <w:rPr>
                  <w:rFonts w:cstheme="minorHAnsi"/>
                  <w:color w:val="0000FF"/>
                  <w:u w:val="single"/>
                </w:rPr>
                <w:t>Bekijk alle openbare raadplegingen op "Uw stem in Europa"</w:t>
              </w:r>
            </w:hyperlink>
            <w:r w:rsidRPr="00322301">
              <w:rPr>
                <w:rFonts w:cstheme="minorHAnsi"/>
              </w:rPr>
              <w:t xml:space="preserve"> . </w:t>
            </w:r>
          </w:p>
        </w:tc>
        <w:tc>
          <w:tcPr>
            <w:tcW w:w="5103" w:type="dxa"/>
          </w:tcPr>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als</w:t>
            </w:r>
            <w:proofErr w:type="gramEnd"/>
            <w:r w:rsidRPr="00322301">
              <w:rPr>
                <w:rFonts w:cstheme="minorHAnsi"/>
              </w:rPr>
              <w:t xml:space="preserve"> burger, lid, fractie of in commissieverband (via schriftelijke inbreng in de vorm van een politieke dialoog). </w:t>
            </w:r>
            <w:proofErr w:type="gramStart"/>
            <w:r w:rsidRPr="00322301">
              <w:rPr>
                <w:rFonts w:cstheme="minorHAnsi"/>
              </w:rPr>
              <w:t>meedoen</w:t>
            </w:r>
            <w:proofErr w:type="gramEnd"/>
            <w:r w:rsidRPr="00322301">
              <w:rPr>
                <w:rFonts w:cstheme="minorHAnsi"/>
              </w:rPr>
              <w:t xml:space="preserve"> aan de openbare raadpleging.</w:t>
            </w:r>
          </w:p>
          <w:p w:rsidRPr="00322301" w:rsidR="00322301" w:rsidP="00322301" w:rsidRDefault="00322301">
            <w:pPr>
              <w:numPr>
                <w:ilvl w:val="0"/>
                <w:numId w:val="1"/>
              </w:numPr>
              <w:autoSpaceDE w:val="0"/>
              <w:autoSpaceDN w:val="0"/>
              <w:rPr>
                <w:rFonts w:cstheme="minorHAnsi"/>
              </w:rPr>
            </w:pPr>
            <w:proofErr w:type="gramStart"/>
            <w:r w:rsidRPr="00322301">
              <w:rPr>
                <w:rFonts w:cstheme="minorHAnsi"/>
              </w:rPr>
              <w:t>kabinet</w:t>
            </w:r>
            <w:proofErr w:type="gramEnd"/>
            <w:r w:rsidRPr="00322301">
              <w:rPr>
                <w:rFonts w:cstheme="minorHAnsi"/>
              </w:rPr>
              <w:t xml:space="preserve"> verzoeken om de concept-kabinetsreactie naar de Kamer te sturen voordat de definitieve versie naar de Europese Commissie wordt gestuurd, teneinde desgewenst hierover met de bewindspersoon in gesprek te treden.</w:t>
            </w:r>
          </w:p>
          <w:p w:rsidRPr="00322301" w:rsidR="00322301" w:rsidP="00322301" w:rsidRDefault="00322301">
            <w:pPr>
              <w:numPr>
                <w:ilvl w:val="0"/>
                <w:numId w:val="1"/>
              </w:numPr>
              <w:autoSpaceDE w:val="0"/>
              <w:autoSpaceDN w:val="0"/>
              <w:rPr>
                <w:rFonts w:cstheme="minorHAnsi"/>
              </w:rPr>
            </w:pPr>
            <w:r w:rsidRPr="00322301">
              <w:rPr>
                <w:rFonts w:cstheme="minorHAnsi"/>
              </w:rPr>
              <w:t>de Kamer ontvangt krachtens de standaard-informatieafspraken de definitieve kabinetsreactie op alle consultaties van de Europese Commissie waarop het kabinet reageert.</w:t>
            </w:r>
          </w:p>
        </w:tc>
      </w:tr>
      <w:tr w:rsidRPr="00322301" w:rsidR="00322301" w:rsidTr="00501A7F">
        <w:tc>
          <w:tcPr>
            <w:tcW w:w="14142" w:type="dxa"/>
            <w:gridSpan w:val="3"/>
          </w:tcPr>
          <w:p w:rsidRPr="00322301" w:rsidR="00322301" w:rsidP="00322301" w:rsidRDefault="00322301">
            <w:pPr>
              <w:rPr>
                <w:rFonts w:cstheme="minorHAnsi"/>
                <w:i/>
              </w:rPr>
            </w:pPr>
            <w:r w:rsidRPr="00322301">
              <w:rPr>
                <w:rFonts w:cstheme="minorHAnsi"/>
                <w:i/>
              </w:rPr>
              <w:t>Uitgelicht: twee specifieke parlementaire instrumenten bij nieuw gepubliceerde EU-voorstellen</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lastRenderedPageBreak/>
              <w:t xml:space="preserve">Subsidiariteitstoets </w:t>
            </w:r>
          </w:p>
          <w:p w:rsidRPr="00322301" w:rsidR="00322301" w:rsidP="00322301" w:rsidRDefault="00322301">
            <w:pPr>
              <w:rPr>
                <w:rFonts w:cstheme="minorHAnsi"/>
              </w:rPr>
            </w:pPr>
            <w:r w:rsidRPr="00322301">
              <w:rPr>
                <w:rFonts w:cstheme="minorHAnsi"/>
              </w:rPr>
              <w:t>(richting EU)</w:t>
            </w:r>
          </w:p>
        </w:tc>
        <w:tc>
          <w:tcPr>
            <w:tcW w:w="6946" w:type="dxa"/>
          </w:tcPr>
          <w:p w:rsidRPr="00322301" w:rsidR="00322301" w:rsidP="00322301" w:rsidRDefault="00322301">
            <w:pPr>
              <w:rPr>
                <w:rFonts w:cstheme="minorHAnsi"/>
              </w:rPr>
            </w:pPr>
            <w:r w:rsidRPr="00322301">
              <w:rPr>
                <w:rFonts w:cstheme="minorHAnsi"/>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322301">
              <w:rPr>
                <w:rFonts w:cstheme="minorHAnsi"/>
                <w:color w:val="000000" w:themeColor="text1"/>
              </w:rPr>
              <w:t xml:space="preserve">Elk parlement krijgt 2 stemmen, maar bij een </w:t>
            </w:r>
            <w:proofErr w:type="spellStart"/>
            <w:r w:rsidRPr="00322301">
              <w:rPr>
                <w:rFonts w:cstheme="minorHAnsi"/>
                <w:color w:val="000000" w:themeColor="text1"/>
              </w:rPr>
              <w:t>bicameraal</w:t>
            </w:r>
            <w:proofErr w:type="spellEnd"/>
            <w:r w:rsidRPr="00322301">
              <w:rPr>
                <w:rFonts w:cstheme="minorHAnsi"/>
                <w:color w:val="000000" w:themeColor="text1"/>
              </w:rPr>
              <w:t xml:space="preserve"> stelsel, zoals in Nederland, krijgt elke kamer 1 stem</w:t>
            </w:r>
            <w:r w:rsidRPr="00322301">
              <w:rPr>
                <w:rFonts w:cstheme="minorHAnsi"/>
              </w:rPr>
              <w:t>.</w:t>
            </w:r>
            <w:r w:rsidRPr="00322301">
              <w:rPr>
                <w:rFonts w:cstheme="minorHAnsi"/>
                <w:color w:val="000000" w:themeColor="text1"/>
              </w:rPr>
              <w:t xml:space="preserve"> Om een gele kaart te trekken moeten er 19 stemmen worden gehaald.</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Kamercommissie besluiten tot het uitvoeren van een subsidiariteitstoets. Let op: dit moet binnen acht weken na het uitkomen van alle taalversies van het voorstel.</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subsidiariteitstoetsen binnen drie weken t.b.v. een snelle behandeling.</w:t>
            </w:r>
          </w:p>
          <w:p w:rsidRPr="00322301" w:rsidR="00322301" w:rsidP="00322301" w:rsidRDefault="00322301">
            <w:pPr>
              <w:numPr>
                <w:ilvl w:val="0"/>
                <w:numId w:val="1"/>
              </w:numPr>
              <w:rPr>
                <w:rFonts w:cstheme="minorHAnsi"/>
              </w:rPr>
            </w:pPr>
            <w:proofErr w:type="gramStart"/>
            <w:r w:rsidRPr="00322301">
              <w:rPr>
                <w:rFonts w:cstheme="minorHAnsi"/>
              </w:rPr>
              <w:t>met</w:t>
            </w:r>
            <w:proofErr w:type="gramEnd"/>
            <w:r w:rsidRPr="00322301">
              <w:rPr>
                <w:rFonts w:cstheme="minorHAnsi"/>
              </w:rPr>
              <w:t xml:space="preserve"> andere parlementen in overleg treden t.b.v. behalen meerderheid voor ’gele kaart’ (1/3 stemmen) via parlementaire vertegenwoordiging en/of fractielijnen. </w:t>
            </w:r>
          </w:p>
        </w:tc>
      </w:tr>
      <w:tr w:rsidRPr="00322301" w:rsidR="00322301" w:rsidTr="00501A7F">
        <w:tc>
          <w:tcPr>
            <w:tcW w:w="2093" w:type="dxa"/>
          </w:tcPr>
          <w:p w:rsidRPr="00322301" w:rsidR="00322301" w:rsidP="00322301" w:rsidRDefault="00322301">
            <w:pPr>
              <w:rPr>
                <w:rFonts w:cstheme="minorHAnsi"/>
              </w:rPr>
            </w:pPr>
            <w:r w:rsidRPr="00322301">
              <w:rPr>
                <w:rFonts w:cstheme="minorHAnsi"/>
              </w:rPr>
              <w:t>Behandel-voorbehoud (richting regering)</w:t>
            </w:r>
          </w:p>
        </w:tc>
        <w:tc>
          <w:tcPr>
            <w:tcW w:w="6946" w:type="dxa"/>
          </w:tcPr>
          <w:p w:rsidRPr="00322301" w:rsidR="00322301" w:rsidP="00322301" w:rsidRDefault="00322301">
            <w:pPr>
              <w:ind w:left="34"/>
              <w:rPr>
                <w:rFonts w:cstheme="minorHAnsi"/>
              </w:rPr>
            </w:pPr>
            <w:r w:rsidRPr="00322301">
              <w:rPr>
                <w:rFonts w:cstheme="minorHAnsi"/>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w:t>
            </w:r>
            <w:proofErr w:type="gramStart"/>
            <w:r w:rsidRPr="00322301">
              <w:rPr>
                <w:rFonts w:cstheme="minorHAnsi"/>
              </w:rPr>
              <w:t>EU onderhandelingen</w:t>
            </w:r>
            <w:proofErr w:type="gramEnd"/>
            <w:r w:rsidRPr="00322301">
              <w:rPr>
                <w:rFonts w:cstheme="minorHAnsi"/>
              </w:rPr>
              <w:t xml:space="preserve">.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322301" w:rsidR="00322301" w:rsidP="00322301" w:rsidRDefault="00322301">
            <w:pPr>
              <w:numPr>
                <w:ilvl w:val="0"/>
                <w:numId w:val="1"/>
              </w:numPr>
              <w:rPr>
                <w:rFonts w:cstheme="minorHAnsi"/>
              </w:rPr>
            </w:pPr>
            <w:proofErr w:type="gramStart"/>
            <w:r w:rsidRPr="00322301">
              <w:rPr>
                <w:rFonts w:cstheme="minorHAnsi"/>
              </w:rPr>
              <w:t>bij</w:t>
            </w:r>
            <w:proofErr w:type="gramEnd"/>
            <w:r w:rsidRPr="00322301">
              <w:rPr>
                <w:rFonts w:cstheme="minorHAnsi"/>
              </w:rPr>
              <w:t xml:space="preserve"> wetgevende EU-voorstellen kan een commissie besluiten tot het uitvoeren van een zgn. ‘behandelvoorbehoud’. Over deze brief moet plenair gestemd worden (let op de termijnen).</w:t>
            </w:r>
          </w:p>
          <w:p w:rsidRPr="00322301" w:rsidR="00322301" w:rsidP="00322301" w:rsidRDefault="00322301">
            <w:pPr>
              <w:numPr>
                <w:ilvl w:val="0"/>
                <w:numId w:val="1"/>
              </w:numPr>
              <w:rPr>
                <w:rFonts w:cstheme="minorHAnsi"/>
              </w:rPr>
            </w:pPr>
            <w:proofErr w:type="gramStart"/>
            <w:r w:rsidRPr="00322301">
              <w:rPr>
                <w:rFonts w:cstheme="minorHAnsi"/>
              </w:rPr>
              <w:t>tijdens</w:t>
            </w:r>
            <w:proofErr w:type="gramEnd"/>
            <w:r w:rsidRPr="00322301">
              <w:rPr>
                <w:rFonts w:cstheme="minorHAnsi"/>
              </w:rPr>
              <w:t xml:space="preserve"> een speciaal overleg kan de commissie afspraken maken over informatieverstrekking (bv. in kwartaalrapportages) zolang het desbetreffende dossier in onderhandeling is.</w:t>
            </w:r>
          </w:p>
          <w:p w:rsidRPr="00322301" w:rsidR="00322301" w:rsidP="00322301" w:rsidRDefault="00322301">
            <w:pPr>
              <w:numPr>
                <w:ilvl w:val="0"/>
                <w:numId w:val="1"/>
              </w:numPr>
              <w:rPr>
                <w:rFonts w:cstheme="minorHAnsi"/>
              </w:rPr>
            </w:pPr>
            <w:proofErr w:type="gramStart"/>
            <w:r w:rsidRPr="00322301">
              <w:rPr>
                <w:rFonts w:cstheme="minorHAnsi"/>
              </w:rPr>
              <w:t>kabinetsappreciatie</w:t>
            </w:r>
            <w:proofErr w:type="gramEnd"/>
            <w:r w:rsidRPr="00322301">
              <w:rPr>
                <w:rFonts w:cstheme="minorHAnsi"/>
              </w:rPr>
              <w:t xml:space="preserve"> (‘BNC-fiche’) komt voor aangekondigde </w:t>
            </w:r>
            <w:proofErr w:type="spellStart"/>
            <w:r w:rsidRPr="00322301">
              <w:rPr>
                <w:rFonts w:cstheme="minorHAnsi"/>
              </w:rPr>
              <w:t>behandelvoorbehouden</w:t>
            </w:r>
            <w:proofErr w:type="spellEnd"/>
            <w:r w:rsidRPr="00322301">
              <w:rPr>
                <w:rFonts w:cstheme="minorHAnsi"/>
              </w:rPr>
              <w:t xml:space="preserve"> binnen drie weken t.b.v. een snelle behandeling.</w:t>
            </w:r>
          </w:p>
          <w:p w:rsidRPr="00322301" w:rsidR="00322301" w:rsidP="00322301" w:rsidRDefault="00322301">
            <w:pPr>
              <w:rPr>
                <w:rFonts w:cstheme="minorHAnsi"/>
              </w:rPr>
            </w:pPr>
          </w:p>
        </w:tc>
      </w:tr>
    </w:tbl>
    <w:p w:rsidR="003D5E74" w:rsidRDefault="00427003"/>
    <w:sectPr w:rsidR="003D5E74" w:rsidSect="003A651B">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A88" w:rsidRDefault="00634A88" w:rsidP="00322301">
      <w:pPr>
        <w:spacing w:after="0" w:line="240" w:lineRule="auto"/>
      </w:pPr>
      <w:r>
        <w:separator/>
      </w:r>
    </w:p>
  </w:endnote>
  <w:endnote w:type="continuationSeparator" w:id="0">
    <w:p w:rsidR="00634A88" w:rsidRDefault="00634A88" w:rsidP="00322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A88" w:rsidRDefault="00634A88" w:rsidP="00322301">
      <w:pPr>
        <w:spacing w:after="0" w:line="240" w:lineRule="auto"/>
      </w:pPr>
      <w:r>
        <w:separator/>
      </w:r>
    </w:p>
  </w:footnote>
  <w:footnote w:type="continuationSeparator" w:id="0">
    <w:p w:rsidR="00634A88" w:rsidRDefault="00634A88" w:rsidP="00322301">
      <w:pPr>
        <w:spacing w:after="0" w:line="240" w:lineRule="auto"/>
      </w:pPr>
      <w:r>
        <w:continuationSeparator/>
      </w:r>
    </w:p>
  </w:footnote>
  <w:footnote w:id="1">
    <w:p w:rsidR="00322301" w:rsidRPr="00B45904" w:rsidRDefault="00322301" w:rsidP="00322301">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 xml:space="preserve">ontvangt de Kamer over alle nieuwe wetgevende en niet-wetgevende EU voorstellen een kabinetsappreciatie in de vorm van een zgn. “BNC fiche” (‘Beoordeling nieuwe commissievoorstellen). </w:t>
      </w:r>
      <w:proofErr w:type="gramStart"/>
      <w:r w:rsidRPr="00B45904">
        <w:rPr>
          <w:rFonts w:ascii="Verdana" w:hAnsi="Verdana"/>
          <w:sz w:val="16"/>
          <w:szCs w:val="16"/>
        </w:rPr>
        <w:t>met</w:t>
      </w:r>
      <w:proofErr w:type="gramEnd"/>
      <w:r w:rsidRPr="00B45904">
        <w:rPr>
          <w:rFonts w:ascii="Verdana" w:hAnsi="Verdana"/>
          <w:sz w:val="16"/>
          <w:szCs w:val="16"/>
        </w:rPr>
        <w:t xml:space="preserve">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01"/>
    <w:rsid w:val="000146C6"/>
    <w:rsid w:val="00020F4E"/>
    <w:rsid w:val="0003352B"/>
    <w:rsid w:val="00051CB0"/>
    <w:rsid w:val="000B2639"/>
    <w:rsid w:val="000F7621"/>
    <w:rsid w:val="00104B2A"/>
    <w:rsid w:val="001C4EB7"/>
    <w:rsid w:val="001E4F43"/>
    <w:rsid w:val="001F395D"/>
    <w:rsid w:val="002B4980"/>
    <w:rsid w:val="002B507F"/>
    <w:rsid w:val="002C535D"/>
    <w:rsid w:val="00322301"/>
    <w:rsid w:val="00373E28"/>
    <w:rsid w:val="003F2A67"/>
    <w:rsid w:val="00427003"/>
    <w:rsid w:val="00460601"/>
    <w:rsid w:val="0046326C"/>
    <w:rsid w:val="00472DDD"/>
    <w:rsid w:val="00475ED2"/>
    <w:rsid w:val="00506E11"/>
    <w:rsid w:val="00533A3C"/>
    <w:rsid w:val="00573CC6"/>
    <w:rsid w:val="0058776F"/>
    <w:rsid w:val="005A6AA5"/>
    <w:rsid w:val="005B2077"/>
    <w:rsid w:val="005B2D4B"/>
    <w:rsid w:val="00634A88"/>
    <w:rsid w:val="00690A79"/>
    <w:rsid w:val="00722340"/>
    <w:rsid w:val="0074646B"/>
    <w:rsid w:val="007511C0"/>
    <w:rsid w:val="007602C3"/>
    <w:rsid w:val="007D7A2F"/>
    <w:rsid w:val="008110E3"/>
    <w:rsid w:val="0082402A"/>
    <w:rsid w:val="008249FF"/>
    <w:rsid w:val="008B20CA"/>
    <w:rsid w:val="0090098F"/>
    <w:rsid w:val="00901510"/>
    <w:rsid w:val="00901B17"/>
    <w:rsid w:val="0097279D"/>
    <w:rsid w:val="009A63E5"/>
    <w:rsid w:val="009C0B8A"/>
    <w:rsid w:val="009D6988"/>
    <w:rsid w:val="009E1753"/>
    <w:rsid w:val="009F3E89"/>
    <w:rsid w:val="00A26DF5"/>
    <w:rsid w:val="00A60741"/>
    <w:rsid w:val="00A874AD"/>
    <w:rsid w:val="00AB391E"/>
    <w:rsid w:val="00B3300A"/>
    <w:rsid w:val="00B34F35"/>
    <w:rsid w:val="00BB7631"/>
    <w:rsid w:val="00C1723E"/>
    <w:rsid w:val="00C57BEE"/>
    <w:rsid w:val="00C63D42"/>
    <w:rsid w:val="00CE0FFD"/>
    <w:rsid w:val="00CF4F4B"/>
    <w:rsid w:val="00D246BD"/>
    <w:rsid w:val="00D24B00"/>
    <w:rsid w:val="00DA03FC"/>
    <w:rsid w:val="00E363FF"/>
    <w:rsid w:val="00E41016"/>
    <w:rsid w:val="00E919FB"/>
    <w:rsid w:val="00E91D2A"/>
    <w:rsid w:val="00F131AA"/>
    <w:rsid w:val="00F426AC"/>
    <w:rsid w:val="00F65B78"/>
    <w:rsid w:val="00FA654D"/>
    <w:rsid w:val="00FB7446"/>
    <w:rsid w:val="00FD4B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52D9D"/>
  <w15:chartTrackingRefBased/>
  <w15:docId w15:val="{65E893BC-C95C-4D03-8AE7-0AE6EAD47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22301"/>
    <w:rPr>
      <w:color w:val="0000FF"/>
      <w:u w:val="single"/>
    </w:rPr>
  </w:style>
  <w:style w:type="paragraph" w:styleId="Voetnoottekst">
    <w:name w:val="footnote text"/>
    <w:basedOn w:val="Standaard"/>
    <w:link w:val="VoetnoottekstChar"/>
    <w:rsid w:val="00322301"/>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322301"/>
    <w:rPr>
      <w:rFonts w:ascii="Times New Roman" w:eastAsia="Times New Roman" w:hAnsi="Times New Roman" w:cs="Times New Roman"/>
      <w:sz w:val="20"/>
      <w:szCs w:val="20"/>
      <w:lang w:eastAsia="nl-NL"/>
    </w:rPr>
  </w:style>
  <w:style w:type="table" w:styleId="Tabelraster">
    <w:name w:val="Table Grid"/>
    <w:basedOn w:val="Standaardtabel"/>
    <w:rsid w:val="0032230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322301"/>
    <w:rPr>
      <w:vertAlign w:val="superscript"/>
    </w:rPr>
  </w:style>
  <w:style w:type="character" w:styleId="GevolgdeHyperlink">
    <w:name w:val="FollowedHyperlink"/>
    <w:basedOn w:val="Standaardalinea-lettertype"/>
    <w:uiPriority w:val="99"/>
    <w:semiHidden/>
    <w:unhideWhenUsed/>
    <w:rsid w:val="000F7621"/>
    <w:rPr>
      <w:color w:val="954F72" w:themeColor="followedHyperlink"/>
      <w:u w:val="single"/>
    </w:rPr>
  </w:style>
  <w:style w:type="character" w:styleId="Verwijzingopmerking">
    <w:name w:val="annotation reference"/>
    <w:basedOn w:val="Standaardalinea-lettertype"/>
    <w:uiPriority w:val="99"/>
    <w:semiHidden/>
    <w:unhideWhenUsed/>
    <w:rsid w:val="000B2639"/>
    <w:rPr>
      <w:sz w:val="16"/>
      <w:szCs w:val="16"/>
    </w:rPr>
  </w:style>
  <w:style w:type="paragraph" w:styleId="Tekstopmerking">
    <w:name w:val="annotation text"/>
    <w:basedOn w:val="Standaard"/>
    <w:link w:val="TekstopmerkingChar"/>
    <w:uiPriority w:val="99"/>
    <w:semiHidden/>
    <w:unhideWhenUsed/>
    <w:rsid w:val="000B263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B2639"/>
    <w:rPr>
      <w:sz w:val="20"/>
      <w:szCs w:val="20"/>
    </w:rPr>
  </w:style>
  <w:style w:type="paragraph" w:styleId="Onderwerpvanopmerking">
    <w:name w:val="annotation subject"/>
    <w:basedOn w:val="Tekstopmerking"/>
    <w:next w:val="Tekstopmerking"/>
    <w:link w:val="OnderwerpvanopmerkingChar"/>
    <w:uiPriority w:val="99"/>
    <w:semiHidden/>
    <w:unhideWhenUsed/>
    <w:rsid w:val="000B2639"/>
    <w:rPr>
      <w:b/>
      <w:bCs/>
    </w:rPr>
  </w:style>
  <w:style w:type="character" w:customStyle="1" w:styleId="OnderwerpvanopmerkingChar">
    <w:name w:val="Onderwerp van opmerking Char"/>
    <w:basedOn w:val="TekstopmerkingChar"/>
    <w:link w:val="Onderwerpvanopmerking"/>
    <w:uiPriority w:val="99"/>
    <w:semiHidden/>
    <w:rsid w:val="000B2639"/>
    <w:rPr>
      <w:b/>
      <w:bCs/>
      <w:sz w:val="20"/>
      <w:szCs w:val="20"/>
    </w:rPr>
  </w:style>
  <w:style w:type="paragraph" w:styleId="Ballontekst">
    <w:name w:val="Balloon Text"/>
    <w:basedOn w:val="Standaard"/>
    <w:link w:val="BallontekstChar"/>
    <w:uiPriority w:val="99"/>
    <w:semiHidden/>
    <w:unhideWhenUsed/>
    <w:rsid w:val="000B26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B26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0341">
      <w:bodyDiv w:val="1"/>
      <w:marLeft w:val="0"/>
      <w:marRight w:val="0"/>
      <w:marTop w:val="0"/>
      <w:marBottom w:val="0"/>
      <w:divBdr>
        <w:top w:val="none" w:sz="0" w:space="0" w:color="auto"/>
        <w:left w:val="none" w:sz="0" w:space="0" w:color="auto"/>
        <w:bottom w:val="none" w:sz="0" w:space="0" w:color="auto"/>
        <w:right w:val="none" w:sz="0" w:space="0" w:color="auto"/>
      </w:divBdr>
    </w:div>
    <w:div w:id="141391896">
      <w:bodyDiv w:val="1"/>
      <w:marLeft w:val="0"/>
      <w:marRight w:val="0"/>
      <w:marTop w:val="0"/>
      <w:marBottom w:val="0"/>
      <w:divBdr>
        <w:top w:val="none" w:sz="0" w:space="0" w:color="auto"/>
        <w:left w:val="none" w:sz="0" w:space="0" w:color="auto"/>
        <w:bottom w:val="none" w:sz="0" w:space="0" w:color="auto"/>
        <w:right w:val="none" w:sz="0" w:space="0" w:color="auto"/>
      </w:divBdr>
    </w:div>
    <w:div w:id="263615701">
      <w:bodyDiv w:val="1"/>
      <w:marLeft w:val="0"/>
      <w:marRight w:val="0"/>
      <w:marTop w:val="0"/>
      <w:marBottom w:val="0"/>
      <w:divBdr>
        <w:top w:val="none" w:sz="0" w:space="0" w:color="auto"/>
        <w:left w:val="none" w:sz="0" w:space="0" w:color="auto"/>
        <w:bottom w:val="none" w:sz="0" w:space="0" w:color="auto"/>
        <w:right w:val="none" w:sz="0" w:space="0" w:color="auto"/>
      </w:divBdr>
    </w:div>
    <w:div w:id="537552811">
      <w:bodyDiv w:val="1"/>
      <w:marLeft w:val="0"/>
      <w:marRight w:val="0"/>
      <w:marTop w:val="0"/>
      <w:marBottom w:val="0"/>
      <w:divBdr>
        <w:top w:val="none" w:sz="0" w:space="0" w:color="auto"/>
        <w:left w:val="none" w:sz="0" w:space="0" w:color="auto"/>
        <w:bottom w:val="none" w:sz="0" w:space="0" w:color="auto"/>
        <w:right w:val="none" w:sz="0" w:space="0" w:color="auto"/>
      </w:divBdr>
    </w:div>
    <w:div w:id="559677609">
      <w:bodyDiv w:val="1"/>
      <w:marLeft w:val="0"/>
      <w:marRight w:val="0"/>
      <w:marTop w:val="0"/>
      <w:marBottom w:val="0"/>
      <w:divBdr>
        <w:top w:val="none" w:sz="0" w:space="0" w:color="auto"/>
        <w:left w:val="none" w:sz="0" w:space="0" w:color="auto"/>
        <w:bottom w:val="none" w:sz="0" w:space="0" w:color="auto"/>
        <w:right w:val="none" w:sz="0" w:space="0" w:color="auto"/>
      </w:divBdr>
    </w:div>
    <w:div w:id="651252875">
      <w:bodyDiv w:val="1"/>
      <w:marLeft w:val="0"/>
      <w:marRight w:val="0"/>
      <w:marTop w:val="0"/>
      <w:marBottom w:val="0"/>
      <w:divBdr>
        <w:top w:val="none" w:sz="0" w:space="0" w:color="auto"/>
        <w:left w:val="none" w:sz="0" w:space="0" w:color="auto"/>
        <w:bottom w:val="none" w:sz="0" w:space="0" w:color="auto"/>
        <w:right w:val="none" w:sz="0" w:space="0" w:color="auto"/>
      </w:divBdr>
    </w:div>
    <w:div w:id="830414032">
      <w:bodyDiv w:val="1"/>
      <w:marLeft w:val="0"/>
      <w:marRight w:val="0"/>
      <w:marTop w:val="0"/>
      <w:marBottom w:val="0"/>
      <w:divBdr>
        <w:top w:val="none" w:sz="0" w:space="0" w:color="auto"/>
        <w:left w:val="none" w:sz="0" w:space="0" w:color="auto"/>
        <w:bottom w:val="none" w:sz="0" w:space="0" w:color="auto"/>
        <w:right w:val="none" w:sz="0" w:space="0" w:color="auto"/>
      </w:divBdr>
    </w:div>
    <w:div w:id="848445114">
      <w:bodyDiv w:val="1"/>
      <w:marLeft w:val="0"/>
      <w:marRight w:val="0"/>
      <w:marTop w:val="0"/>
      <w:marBottom w:val="0"/>
      <w:divBdr>
        <w:top w:val="none" w:sz="0" w:space="0" w:color="auto"/>
        <w:left w:val="none" w:sz="0" w:space="0" w:color="auto"/>
        <w:bottom w:val="none" w:sz="0" w:space="0" w:color="auto"/>
        <w:right w:val="none" w:sz="0" w:space="0" w:color="auto"/>
      </w:divBdr>
    </w:div>
    <w:div w:id="946692881">
      <w:bodyDiv w:val="1"/>
      <w:marLeft w:val="0"/>
      <w:marRight w:val="0"/>
      <w:marTop w:val="0"/>
      <w:marBottom w:val="0"/>
      <w:divBdr>
        <w:top w:val="none" w:sz="0" w:space="0" w:color="auto"/>
        <w:left w:val="none" w:sz="0" w:space="0" w:color="auto"/>
        <w:bottom w:val="none" w:sz="0" w:space="0" w:color="auto"/>
        <w:right w:val="none" w:sz="0" w:space="0" w:color="auto"/>
      </w:divBdr>
    </w:div>
    <w:div w:id="1011445172">
      <w:bodyDiv w:val="1"/>
      <w:marLeft w:val="0"/>
      <w:marRight w:val="0"/>
      <w:marTop w:val="0"/>
      <w:marBottom w:val="0"/>
      <w:divBdr>
        <w:top w:val="none" w:sz="0" w:space="0" w:color="auto"/>
        <w:left w:val="none" w:sz="0" w:space="0" w:color="auto"/>
        <w:bottom w:val="none" w:sz="0" w:space="0" w:color="auto"/>
        <w:right w:val="none" w:sz="0" w:space="0" w:color="auto"/>
      </w:divBdr>
    </w:div>
    <w:div w:id="1066226234">
      <w:bodyDiv w:val="1"/>
      <w:marLeft w:val="0"/>
      <w:marRight w:val="0"/>
      <w:marTop w:val="0"/>
      <w:marBottom w:val="0"/>
      <w:divBdr>
        <w:top w:val="none" w:sz="0" w:space="0" w:color="auto"/>
        <w:left w:val="none" w:sz="0" w:space="0" w:color="auto"/>
        <w:bottom w:val="none" w:sz="0" w:space="0" w:color="auto"/>
        <w:right w:val="none" w:sz="0" w:space="0" w:color="auto"/>
      </w:divBdr>
    </w:div>
    <w:div w:id="1185023048">
      <w:bodyDiv w:val="1"/>
      <w:marLeft w:val="0"/>
      <w:marRight w:val="0"/>
      <w:marTop w:val="0"/>
      <w:marBottom w:val="0"/>
      <w:divBdr>
        <w:top w:val="none" w:sz="0" w:space="0" w:color="auto"/>
        <w:left w:val="none" w:sz="0" w:space="0" w:color="auto"/>
        <w:bottom w:val="none" w:sz="0" w:space="0" w:color="auto"/>
        <w:right w:val="none" w:sz="0" w:space="0" w:color="auto"/>
      </w:divBdr>
    </w:div>
    <w:div w:id="1278021298">
      <w:bodyDiv w:val="1"/>
      <w:marLeft w:val="0"/>
      <w:marRight w:val="0"/>
      <w:marTop w:val="0"/>
      <w:marBottom w:val="0"/>
      <w:divBdr>
        <w:top w:val="none" w:sz="0" w:space="0" w:color="auto"/>
        <w:left w:val="none" w:sz="0" w:space="0" w:color="auto"/>
        <w:bottom w:val="none" w:sz="0" w:space="0" w:color="auto"/>
        <w:right w:val="none" w:sz="0" w:space="0" w:color="auto"/>
      </w:divBdr>
    </w:div>
    <w:div w:id="1302616931">
      <w:bodyDiv w:val="1"/>
      <w:marLeft w:val="0"/>
      <w:marRight w:val="0"/>
      <w:marTop w:val="0"/>
      <w:marBottom w:val="0"/>
      <w:divBdr>
        <w:top w:val="none" w:sz="0" w:space="0" w:color="auto"/>
        <w:left w:val="none" w:sz="0" w:space="0" w:color="auto"/>
        <w:bottom w:val="none" w:sz="0" w:space="0" w:color="auto"/>
        <w:right w:val="none" w:sz="0" w:space="0" w:color="auto"/>
      </w:divBdr>
    </w:div>
    <w:div w:id="1391995126">
      <w:bodyDiv w:val="1"/>
      <w:marLeft w:val="0"/>
      <w:marRight w:val="0"/>
      <w:marTop w:val="0"/>
      <w:marBottom w:val="0"/>
      <w:divBdr>
        <w:top w:val="none" w:sz="0" w:space="0" w:color="auto"/>
        <w:left w:val="none" w:sz="0" w:space="0" w:color="auto"/>
        <w:bottom w:val="none" w:sz="0" w:space="0" w:color="auto"/>
        <w:right w:val="none" w:sz="0" w:space="0" w:color="auto"/>
      </w:divBdr>
    </w:div>
    <w:div w:id="1393236644">
      <w:bodyDiv w:val="1"/>
      <w:marLeft w:val="0"/>
      <w:marRight w:val="0"/>
      <w:marTop w:val="0"/>
      <w:marBottom w:val="0"/>
      <w:divBdr>
        <w:top w:val="none" w:sz="0" w:space="0" w:color="auto"/>
        <w:left w:val="none" w:sz="0" w:space="0" w:color="auto"/>
        <w:bottom w:val="none" w:sz="0" w:space="0" w:color="auto"/>
        <w:right w:val="none" w:sz="0" w:space="0" w:color="auto"/>
      </w:divBdr>
    </w:div>
    <w:div w:id="1420370076">
      <w:bodyDiv w:val="1"/>
      <w:marLeft w:val="0"/>
      <w:marRight w:val="0"/>
      <w:marTop w:val="0"/>
      <w:marBottom w:val="0"/>
      <w:divBdr>
        <w:top w:val="none" w:sz="0" w:space="0" w:color="auto"/>
        <w:left w:val="none" w:sz="0" w:space="0" w:color="auto"/>
        <w:bottom w:val="none" w:sz="0" w:space="0" w:color="auto"/>
        <w:right w:val="none" w:sz="0" w:space="0" w:color="auto"/>
      </w:divBdr>
    </w:div>
    <w:div w:id="1595555061">
      <w:bodyDiv w:val="1"/>
      <w:marLeft w:val="0"/>
      <w:marRight w:val="0"/>
      <w:marTop w:val="0"/>
      <w:marBottom w:val="0"/>
      <w:divBdr>
        <w:top w:val="none" w:sz="0" w:space="0" w:color="auto"/>
        <w:left w:val="none" w:sz="0" w:space="0" w:color="auto"/>
        <w:bottom w:val="none" w:sz="0" w:space="0" w:color="auto"/>
        <w:right w:val="none" w:sz="0" w:space="0" w:color="auto"/>
      </w:divBdr>
    </w:div>
    <w:div w:id="1648121415">
      <w:bodyDiv w:val="1"/>
      <w:marLeft w:val="0"/>
      <w:marRight w:val="0"/>
      <w:marTop w:val="0"/>
      <w:marBottom w:val="0"/>
      <w:divBdr>
        <w:top w:val="none" w:sz="0" w:space="0" w:color="auto"/>
        <w:left w:val="none" w:sz="0" w:space="0" w:color="auto"/>
        <w:bottom w:val="none" w:sz="0" w:space="0" w:color="auto"/>
        <w:right w:val="none" w:sz="0" w:space="0" w:color="auto"/>
      </w:divBdr>
    </w:div>
    <w:div w:id="1706444585">
      <w:bodyDiv w:val="1"/>
      <w:marLeft w:val="0"/>
      <w:marRight w:val="0"/>
      <w:marTop w:val="0"/>
      <w:marBottom w:val="0"/>
      <w:divBdr>
        <w:top w:val="none" w:sz="0" w:space="0" w:color="auto"/>
        <w:left w:val="none" w:sz="0" w:space="0" w:color="auto"/>
        <w:bottom w:val="none" w:sz="0" w:space="0" w:color="auto"/>
        <w:right w:val="none" w:sz="0" w:space="0" w:color="auto"/>
      </w:divBdr>
    </w:div>
    <w:div w:id="1795825567">
      <w:bodyDiv w:val="1"/>
      <w:marLeft w:val="0"/>
      <w:marRight w:val="0"/>
      <w:marTop w:val="0"/>
      <w:marBottom w:val="0"/>
      <w:divBdr>
        <w:top w:val="none" w:sz="0" w:space="0" w:color="auto"/>
        <w:left w:val="none" w:sz="0" w:space="0" w:color="auto"/>
        <w:bottom w:val="none" w:sz="0" w:space="0" w:color="auto"/>
        <w:right w:val="none" w:sz="0" w:space="0" w:color="auto"/>
      </w:divBdr>
    </w:div>
    <w:div w:id="1833331345">
      <w:bodyDiv w:val="1"/>
      <w:marLeft w:val="0"/>
      <w:marRight w:val="0"/>
      <w:marTop w:val="0"/>
      <w:marBottom w:val="0"/>
      <w:divBdr>
        <w:top w:val="none" w:sz="0" w:space="0" w:color="auto"/>
        <w:left w:val="none" w:sz="0" w:space="0" w:color="auto"/>
        <w:bottom w:val="none" w:sz="0" w:space="0" w:color="auto"/>
        <w:right w:val="none" w:sz="0" w:space="0" w:color="auto"/>
      </w:divBdr>
    </w:div>
    <w:div w:id="1944141871">
      <w:bodyDiv w:val="1"/>
      <w:marLeft w:val="0"/>
      <w:marRight w:val="0"/>
      <w:marTop w:val="0"/>
      <w:marBottom w:val="0"/>
      <w:divBdr>
        <w:top w:val="none" w:sz="0" w:space="0" w:color="auto"/>
        <w:left w:val="none" w:sz="0" w:space="0" w:color="auto"/>
        <w:bottom w:val="none" w:sz="0" w:space="0" w:color="auto"/>
        <w:right w:val="none" w:sz="0" w:space="0" w:color="auto"/>
      </w:divBdr>
    </w:div>
    <w:div w:id="1965502606">
      <w:bodyDiv w:val="1"/>
      <w:marLeft w:val="0"/>
      <w:marRight w:val="0"/>
      <w:marTop w:val="0"/>
      <w:marBottom w:val="0"/>
      <w:divBdr>
        <w:top w:val="none" w:sz="0" w:space="0" w:color="auto"/>
        <w:left w:val="none" w:sz="0" w:space="0" w:color="auto"/>
        <w:bottom w:val="none" w:sz="0" w:space="0" w:color="auto"/>
        <w:right w:val="none" w:sz="0" w:space="0" w:color="auto"/>
      </w:divBdr>
    </w:div>
    <w:div w:id="197921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ecure.ipex.eu/IPEXL-WEB/dossier/document/COM20200620.do" TargetMode="External" Id="rId13" /><Relationship Type="http://schemas.openxmlformats.org/officeDocument/2006/relationships/webSettings" Target="webSettings.xml" Id="rId7" /><Relationship Type="http://schemas.openxmlformats.org/officeDocument/2006/relationships/hyperlink" Target="https://secure.ipex.eu/IPEXL-WEB/dossier/document/COM20200621.do"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yperlink" Target="https://secure.ipex.eu/IPEXL-WEB/dossier/document/COM20200634.do" TargetMode="External" Id="rId11" /><Relationship Type="http://schemas.openxmlformats.org/officeDocument/2006/relationships/styles" Target="styles.xml" Id="rId5" /><Relationship Type="http://schemas.openxmlformats.org/officeDocument/2006/relationships/hyperlink" Target="http://ec.europa.eu/yourvoice/consultations/index_nl.htm" TargetMode="External" Id="rId15" /><Relationship Type="http://schemas.openxmlformats.org/officeDocument/2006/relationships/hyperlink" Target="https://ec.europa.eu/social/BlobServlet?docId=23091&amp;langId=en"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2659</ap:Words>
  <ap:Characters>14630</ap:Characters>
  <ap:DocSecurity>0</ap:DocSecurity>
  <ap:Lines>121</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17255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2020-10-29T14:03:00.0000000Z</dcterms:created>
  <dcterms:modified xsi:type="dcterms:W3CDTF">2020-10-29T14:03:00.0000000Z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0x01010058F62ECC89924447BDF98F6CEF552943</vt:lpwstr>
  </property>
</Properties>
</file>