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D6E" w:rsidRDefault="00047D27">
      <w:r>
        <w:t xml:space="preserve">Onderstaande tabel geeft weer welke kostencomponenten </w:t>
      </w:r>
      <w:r w:rsidR="00027159">
        <w:t xml:space="preserve">en werkzaamheden </w:t>
      </w:r>
      <w:r>
        <w:t xml:space="preserve">zijn opgenomen in de prijs van eHerkenning, niveau 3. De tweede kolom geeft </w:t>
      </w:r>
      <w:r w:rsidR="00C9071A">
        <w:t xml:space="preserve">het </w:t>
      </w:r>
      <w:r>
        <w:t xml:space="preserve">geschatte </w:t>
      </w:r>
      <w:r w:rsidR="00C9071A">
        <w:t xml:space="preserve">percentage </w:t>
      </w:r>
      <w:r>
        <w:t>van de totale kost</w:t>
      </w:r>
      <w:r w:rsidR="006341E0">
        <w:t>en</w:t>
      </w:r>
      <w:r w:rsidR="00C9071A">
        <w:t xml:space="preserve"> aan</w:t>
      </w:r>
      <w:r>
        <w:t xml:space="preserve">. </w:t>
      </w:r>
    </w:p>
    <w:p w:rsidR="003B2D6E" w:rsidRDefault="003B2D6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098"/>
      </w:tblGrid>
      <w:tr w:rsidR="003B2D6E" w:rsidTr="000B1BFA">
        <w:tc>
          <w:tcPr>
            <w:tcW w:w="2122" w:type="dxa"/>
          </w:tcPr>
          <w:p w:rsidRPr="000B1BFA" w:rsidR="003B2D6E" w:rsidRDefault="000B1BFA">
            <w:pPr>
              <w:rPr>
                <w:b/>
              </w:rPr>
            </w:pPr>
            <w:r w:rsidRPr="000B1BFA">
              <w:rPr>
                <w:b/>
              </w:rPr>
              <w:t>Kostensoort eH3</w:t>
            </w:r>
          </w:p>
          <w:p w:rsidR="000B1BFA" w:rsidRDefault="000B1BFA"/>
        </w:tc>
        <w:tc>
          <w:tcPr>
            <w:tcW w:w="1842" w:type="dxa"/>
          </w:tcPr>
          <w:p w:rsidRPr="000B1BFA" w:rsidR="003B2D6E" w:rsidP="00073D24" w:rsidRDefault="000B1BFA">
            <w:pPr>
              <w:rPr>
                <w:b/>
              </w:rPr>
            </w:pPr>
            <w:r w:rsidRPr="000B1BFA">
              <w:rPr>
                <w:b/>
              </w:rPr>
              <w:t>In %</w:t>
            </w:r>
            <w:r w:rsidR="00073D24">
              <w:rPr>
                <w:b/>
              </w:rPr>
              <w:t xml:space="preserve"> van totaal</w:t>
            </w:r>
          </w:p>
        </w:tc>
        <w:tc>
          <w:tcPr>
            <w:tcW w:w="5098" w:type="dxa"/>
          </w:tcPr>
          <w:p w:rsidRPr="000B1BFA" w:rsidR="003B2D6E" w:rsidRDefault="000B1BFA">
            <w:pPr>
              <w:rPr>
                <w:b/>
              </w:rPr>
            </w:pPr>
            <w:r w:rsidRPr="000B1BFA">
              <w:rPr>
                <w:b/>
              </w:rPr>
              <w:t>Omschrijving</w:t>
            </w:r>
          </w:p>
        </w:tc>
      </w:tr>
      <w:tr w:rsidR="003B2D6E" w:rsidTr="000B1BFA">
        <w:tc>
          <w:tcPr>
            <w:tcW w:w="2122" w:type="dxa"/>
          </w:tcPr>
          <w:p w:rsidR="003B2D6E" w:rsidP="000B1BFA" w:rsidRDefault="000B1BFA">
            <w:r>
              <w:t>1. Helpdesk</w:t>
            </w:r>
          </w:p>
        </w:tc>
        <w:tc>
          <w:tcPr>
            <w:tcW w:w="1842" w:type="dxa"/>
          </w:tcPr>
          <w:p w:rsidR="003B2D6E" w:rsidRDefault="000B1BFA">
            <w:r>
              <w:t>~10%</w:t>
            </w:r>
          </w:p>
        </w:tc>
        <w:tc>
          <w:tcPr>
            <w:tcW w:w="5098" w:type="dxa"/>
          </w:tcPr>
          <w:p w:rsidR="003B2D6E" w:rsidP="000B1BFA" w:rsidRDefault="00073D24">
            <w:r>
              <w:t>Informeren van potentiële gebruikers, ondersteuning bij het aanvraagproces, advisering bij de keuze van het betrouwbaarheidsniveau, oplossen van klachten en technische problemen</w:t>
            </w:r>
          </w:p>
          <w:p w:rsidR="00073D24" w:rsidP="000B1BFA" w:rsidRDefault="00073D24"/>
        </w:tc>
      </w:tr>
      <w:tr w:rsidR="003B2D6E" w:rsidTr="000B1BFA">
        <w:tc>
          <w:tcPr>
            <w:tcW w:w="2122" w:type="dxa"/>
          </w:tcPr>
          <w:p w:rsidR="003B2D6E" w:rsidP="000B1BFA" w:rsidRDefault="000B1BFA">
            <w:r>
              <w:t>2. Validatie</w:t>
            </w:r>
          </w:p>
        </w:tc>
        <w:tc>
          <w:tcPr>
            <w:tcW w:w="1842" w:type="dxa"/>
          </w:tcPr>
          <w:p w:rsidR="003B2D6E" w:rsidRDefault="000B1BFA">
            <w:r>
              <w:t>~</w:t>
            </w:r>
            <w:r w:rsidR="00073D24">
              <w:t>20%</w:t>
            </w:r>
          </w:p>
        </w:tc>
        <w:tc>
          <w:tcPr>
            <w:tcW w:w="5098" w:type="dxa"/>
          </w:tcPr>
          <w:p w:rsidR="00073D24" w:rsidRDefault="00D2585B">
            <w:r>
              <w:t xml:space="preserve">Verificatie van het bestaan van de organisatie door onder meer een check op </w:t>
            </w:r>
            <w:proofErr w:type="spellStart"/>
            <w:r>
              <w:t>kvK</w:t>
            </w:r>
            <w:proofErr w:type="spellEnd"/>
            <w:r>
              <w:t xml:space="preserve">-nummer, adresgegevens en statutaire naam. Ook wordt gecheckt of de organisatie in faillissement </w:t>
            </w:r>
            <w:proofErr w:type="gramStart"/>
            <w:r>
              <w:t>of  surseance</w:t>
            </w:r>
            <w:proofErr w:type="gramEnd"/>
            <w:r>
              <w:t xml:space="preserve"> van betaling verkeert. </w:t>
            </w:r>
            <w:r w:rsidR="00B56AEA">
              <w:t xml:space="preserve">Controle op de identiteit van de aanvrager en of deze persoon vertegenwoordigingsbevoegd is voor de betreffende rechtspersoon of eenmanszaak. </w:t>
            </w:r>
          </w:p>
          <w:p w:rsidR="00073D24" w:rsidRDefault="00073D24"/>
        </w:tc>
      </w:tr>
      <w:tr w:rsidR="003B2D6E" w:rsidTr="000B1BFA">
        <w:tc>
          <w:tcPr>
            <w:tcW w:w="2122" w:type="dxa"/>
          </w:tcPr>
          <w:p w:rsidR="003B2D6E" w:rsidP="000B1BFA" w:rsidRDefault="000E107E">
            <w:pPr>
              <w:ind w:left="164" w:hanging="142"/>
            </w:pPr>
            <w:r>
              <w:t>3. KvK-uittreksel</w:t>
            </w:r>
          </w:p>
          <w:p w:rsidR="000E107E" w:rsidP="000B1BFA" w:rsidRDefault="000E107E">
            <w:pPr>
              <w:ind w:left="164" w:hanging="142"/>
            </w:pPr>
          </w:p>
        </w:tc>
        <w:tc>
          <w:tcPr>
            <w:tcW w:w="1842" w:type="dxa"/>
          </w:tcPr>
          <w:p w:rsidR="003B2D6E" w:rsidRDefault="000E107E">
            <w:r>
              <w:t>~10%</w:t>
            </w:r>
          </w:p>
        </w:tc>
        <w:tc>
          <w:tcPr>
            <w:tcW w:w="5098" w:type="dxa"/>
          </w:tcPr>
          <w:p w:rsidR="003B2D6E" w:rsidP="000E107E" w:rsidRDefault="000E107E">
            <w:r>
              <w:t>Gemiddeld zijn er twee uittreksels á € 2,30 benodigd (totaal € 4,60)</w:t>
            </w:r>
          </w:p>
          <w:p w:rsidR="006E6A23" w:rsidP="000E107E" w:rsidRDefault="006E6A23"/>
        </w:tc>
      </w:tr>
      <w:tr w:rsidR="003B2D6E" w:rsidTr="000B1BFA">
        <w:tc>
          <w:tcPr>
            <w:tcW w:w="2122" w:type="dxa"/>
          </w:tcPr>
          <w:p w:rsidR="003B2D6E" w:rsidP="000B1BFA" w:rsidRDefault="000E107E">
            <w:pPr>
              <w:ind w:left="164" w:hanging="142"/>
            </w:pPr>
            <w:r>
              <w:t>4. BKR VIS check</w:t>
            </w:r>
          </w:p>
          <w:p w:rsidR="000E107E" w:rsidP="000B1BFA" w:rsidRDefault="000E107E">
            <w:pPr>
              <w:ind w:left="164" w:hanging="142"/>
            </w:pPr>
          </w:p>
          <w:p w:rsidR="000E107E" w:rsidP="000B1BFA" w:rsidRDefault="000E107E">
            <w:pPr>
              <w:ind w:left="164" w:hanging="142"/>
            </w:pPr>
          </w:p>
        </w:tc>
        <w:tc>
          <w:tcPr>
            <w:tcW w:w="1842" w:type="dxa"/>
          </w:tcPr>
          <w:p w:rsidR="003B2D6E" w:rsidRDefault="000E107E">
            <w:r>
              <w:t>~1%</w:t>
            </w:r>
          </w:p>
        </w:tc>
        <w:tc>
          <w:tcPr>
            <w:tcW w:w="5098" w:type="dxa"/>
          </w:tcPr>
          <w:p w:rsidR="003B2D6E" w:rsidRDefault="000E107E">
            <w:r>
              <w:t>Verificatie dat het identiteitsdocument niet is gestolen á € 0,46 per keer.</w:t>
            </w:r>
          </w:p>
        </w:tc>
      </w:tr>
      <w:tr w:rsidR="003B2D6E" w:rsidTr="000B1BFA">
        <w:tc>
          <w:tcPr>
            <w:tcW w:w="2122" w:type="dxa"/>
          </w:tcPr>
          <w:p w:rsidR="003B2D6E" w:rsidP="000B1BFA" w:rsidRDefault="000E107E">
            <w:pPr>
              <w:ind w:left="164" w:hanging="142"/>
            </w:pPr>
            <w:r>
              <w:t xml:space="preserve">5. Software en IT </w:t>
            </w:r>
          </w:p>
          <w:p w:rsidR="000E107E" w:rsidP="000B1BFA" w:rsidRDefault="000E107E">
            <w:pPr>
              <w:ind w:left="164" w:hanging="142"/>
            </w:pPr>
          </w:p>
          <w:p w:rsidR="000E107E" w:rsidP="000B1BFA" w:rsidRDefault="000E107E">
            <w:pPr>
              <w:ind w:left="164" w:hanging="142"/>
            </w:pPr>
          </w:p>
        </w:tc>
        <w:tc>
          <w:tcPr>
            <w:tcW w:w="1842" w:type="dxa"/>
          </w:tcPr>
          <w:p w:rsidR="003B2D6E" w:rsidRDefault="006E5F34">
            <w:r>
              <w:t>~30%</w:t>
            </w:r>
          </w:p>
        </w:tc>
        <w:tc>
          <w:tcPr>
            <w:tcW w:w="5098" w:type="dxa"/>
          </w:tcPr>
          <w:p w:rsidR="003B2D6E" w:rsidP="006E5F34" w:rsidRDefault="006E5F34">
            <w:r>
              <w:t>Onderhoud en doorontwikkeling van de software, testen en beveiliging. Aanschaf, hosting, beheer en licentiekosten voor de hardware</w:t>
            </w:r>
            <w:r w:rsidR="00AF4298">
              <w:t xml:space="preserve"> en software</w:t>
            </w:r>
            <w:r>
              <w:t xml:space="preserve">.   </w:t>
            </w:r>
          </w:p>
          <w:p w:rsidR="006E6A23" w:rsidP="006E5F34" w:rsidRDefault="006E6A23"/>
        </w:tc>
      </w:tr>
      <w:tr w:rsidRPr="006E5F34" w:rsidR="003B2D6E" w:rsidTr="000B1BFA">
        <w:tc>
          <w:tcPr>
            <w:tcW w:w="2122" w:type="dxa"/>
          </w:tcPr>
          <w:p w:rsidR="006E5F34" w:rsidP="006E5F34" w:rsidRDefault="006E5F34">
            <w:pPr>
              <w:ind w:left="164" w:hanging="142"/>
            </w:pPr>
            <w:r>
              <w:t>6. (Elektronische)</w:t>
            </w:r>
          </w:p>
          <w:p w:rsidR="003B2D6E" w:rsidP="006E5F34" w:rsidRDefault="00B864ED">
            <w:pPr>
              <w:ind w:left="164" w:hanging="142"/>
            </w:pPr>
            <w:r>
              <w:t>identificatie</w:t>
            </w:r>
          </w:p>
        </w:tc>
        <w:tc>
          <w:tcPr>
            <w:tcW w:w="1842" w:type="dxa"/>
          </w:tcPr>
          <w:p w:rsidR="003B2D6E" w:rsidRDefault="006E5F34">
            <w:r>
              <w:t>~10%</w:t>
            </w:r>
          </w:p>
        </w:tc>
        <w:tc>
          <w:tcPr>
            <w:tcW w:w="5098" w:type="dxa"/>
          </w:tcPr>
          <w:p w:rsidR="006E5F34" w:rsidP="006E5F34" w:rsidRDefault="00AF4298">
            <w:r>
              <w:t xml:space="preserve">De </w:t>
            </w:r>
            <w:r w:rsidRPr="006E5F34" w:rsidR="006E5F34">
              <w:t xml:space="preserve">identificatie van de aanvrager. </w:t>
            </w:r>
            <w:r w:rsidR="006E5F34">
              <w:t>Dit gebeurt bij diverse erkende leveranciers met (ingekochte) identificatiesoftware. Fysieke identificatie wordt meestal uitbesteed.</w:t>
            </w:r>
          </w:p>
          <w:p w:rsidRPr="006E5F34" w:rsidR="006E5F34" w:rsidP="006E5F34" w:rsidRDefault="006E5F34"/>
        </w:tc>
      </w:tr>
      <w:tr w:rsidRPr="006E5F34" w:rsidR="006E5F34" w:rsidTr="000B1BFA">
        <w:tc>
          <w:tcPr>
            <w:tcW w:w="2122" w:type="dxa"/>
          </w:tcPr>
          <w:p w:rsidR="00500F1A" w:rsidP="000B1BFA" w:rsidRDefault="00500F1A">
            <w:pPr>
              <w:ind w:left="164" w:hanging="142"/>
            </w:pPr>
            <w:r>
              <w:t>7. Overhead, winst-</w:t>
            </w:r>
          </w:p>
          <w:p w:rsidR="006E5F34" w:rsidP="000B1BFA" w:rsidRDefault="00500F1A">
            <w:pPr>
              <w:ind w:left="164" w:hanging="142"/>
            </w:pPr>
            <w:proofErr w:type="gramStart"/>
            <w:r>
              <w:t>en</w:t>
            </w:r>
            <w:proofErr w:type="gramEnd"/>
            <w:r>
              <w:t xml:space="preserve"> risico-opslag </w:t>
            </w:r>
          </w:p>
          <w:p w:rsidRPr="006E5F34" w:rsidR="00500F1A" w:rsidP="000B1BFA" w:rsidRDefault="00500F1A">
            <w:pPr>
              <w:ind w:left="164" w:hanging="142"/>
            </w:pPr>
          </w:p>
        </w:tc>
        <w:tc>
          <w:tcPr>
            <w:tcW w:w="1842" w:type="dxa"/>
          </w:tcPr>
          <w:p w:rsidR="006E5F34" w:rsidRDefault="00500F1A">
            <w:r>
              <w:t>~20%</w:t>
            </w:r>
          </w:p>
          <w:p w:rsidRPr="006E5F34" w:rsidR="00500F1A" w:rsidRDefault="00500F1A"/>
        </w:tc>
        <w:tc>
          <w:tcPr>
            <w:tcW w:w="5098" w:type="dxa"/>
          </w:tcPr>
          <w:p w:rsidR="006E5F34" w:rsidP="00500F1A" w:rsidRDefault="00500F1A">
            <w:r>
              <w:t xml:space="preserve">Huisvesting, </w:t>
            </w:r>
            <w:r w:rsidRPr="00500F1A">
              <w:t>marketing, P&amp;O, facilitaire zaken,</w:t>
            </w:r>
            <w:r>
              <w:t xml:space="preserve"> </w:t>
            </w:r>
            <w:proofErr w:type="spellStart"/>
            <w:r>
              <w:t>finance</w:t>
            </w:r>
            <w:proofErr w:type="spellEnd"/>
            <w:r>
              <w:t>, winstopslag en opslag voor aanvragen die niet tot uitgifte en dus facturering leiden</w:t>
            </w:r>
            <w:r w:rsidR="00292DE6">
              <w:t xml:space="preserve"> (uitval)</w:t>
            </w:r>
            <w:r>
              <w:t xml:space="preserve">. </w:t>
            </w:r>
          </w:p>
          <w:p w:rsidRPr="006E5F34" w:rsidR="00FA6852" w:rsidP="00500F1A" w:rsidRDefault="00FA6852"/>
        </w:tc>
      </w:tr>
    </w:tbl>
    <w:p w:rsidRPr="006E5F34" w:rsidR="006131D0" w:rsidRDefault="006131D0">
      <w:bookmarkStart w:name="_GoBack" w:id="0"/>
      <w:bookmarkEnd w:id="0"/>
    </w:p>
    <w:sectPr w:rsidRPr="006E5F34" w:rsidR="006131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142DC"/>
    <w:multiLevelType w:val="hybridMultilevel"/>
    <w:tmpl w:val="7E7E22D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564340"/>
    <w:multiLevelType w:val="hybridMultilevel"/>
    <w:tmpl w:val="FD94C2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A7E9F"/>
    <w:multiLevelType w:val="hybridMultilevel"/>
    <w:tmpl w:val="D452F6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739A4"/>
    <w:multiLevelType w:val="hybridMultilevel"/>
    <w:tmpl w:val="1F4619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87944"/>
    <w:multiLevelType w:val="hybridMultilevel"/>
    <w:tmpl w:val="10D2A70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07291D"/>
    <w:multiLevelType w:val="hybridMultilevel"/>
    <w:tmpl w:val="9670C704"/>
    <w:lvl w:ilvl="0" w:tplc="EEC6D38E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02" w:hanging="360"/>
      </w:pPr>
    </w:lvl>
    <w:lvl w:ilvl="2" w:tplc="0413001B" w:tentative="1">
      <w:start w:val="1"/>
      <w:numFmt w:val="lowerRoman"/>
      <w:lvlText w:val="%3."/>
      <w:lvlJc w:val="right"/>
      <w:pPr>
        <w:ind w:left="1822" w:hanging="180"/>
      </w:pPr>
    </w:lvl>
    <w:lvl w:ilvl="3" w:tplc="0413000F" w:tentative="1">
      <w:start w:val="1"/>
      <w:numFmt w:val="decimal"/>
      <w:lvlText w:val="%4."/>
      <w:lvlJc w:val="left"/>
      <w:pPr>
        <w:ind w:left="2542" w:hanging="360"/>
      </w:pPr>
    </w:lvl>
    <w:lvl w:ilvl="4" w:tplc="04130019" w:tentative="1">
      <w:start w:val="1"/>
      <w:numFmt w:val="lowerLetter"/>
      <w:lvlText w:val="%5."/>
      <w:lvlJc w:val="left"/>
      <w:pPr>
        <w:ind w:left="3262" w:hanging="360"/>
      </w:pPr>
    </w:lvl>
    <w:lvl w:ilvl="5" w:tplc="0413001B" w:tentative="1">
      <w:start w:val="1"/>
      <w:numFmt w:val="lowerRoman"/>
      <w:lvlText w:val="%6."/>
      <w:lvlJc w:val="right"/>
      <w:pPr>
        <w:ind w:left="3982" w:hanging="180"/>
      </w:pPr>
    </w:lvl>
    <w:lvl w:ilvl="6" w:tplc="0413000F" w:tentative="1">
      <w:start w:val="1"/>
      <w:numFmt w:val="decimal"/>
      <w:lvlText w:val="%7."/>
      <w:lvlJc w:val="left"/>
      <w:pPr>
        <w:ind w:left="4702" w:hanging="360"/>
      </w:pPr>
    </w:lvl>
    <w:lvl w:ilvl="7" w:tplc="04130019" w:tentative="1">
      <w:start w:val="1"/>
      <w:numFmt w:val="lowerLetter"/>
      <w:lvlText w:val="%8."/>
      <w:lvlJc w:val="left"/>
      <w:pPr>
        <w:ind w:left="5422" w:hanging="360"/>
      </w:pPr>
    </w:lvl>
    <w:lvl w:ilvl="8" w:tplc="0413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5D851039"/>
    <w:multiLevelType w:val="multilevel"/>
    <w:tmpl w:val="21DC6296"/>
    <w:lvl w:ilvl="0">
      <w:start w:val="1"/>
      <w:numFmt w:val="decimal"/>
      <w:lvlText w:val="%1."/>
      <w:lvlJc w:val="left"/>
      <w:pPr>
        <w:ind w:left="-81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386" w:hanging="432"/>
      </w:pPr>
    </w:lvl>
    <w:lvl w:ilvl="2">
      <w:start w:val="1"/>
      <w:numFmt w:val="decimal"/>
      <w:lvlText w:val="%1.%2.%3."/>
      <w:lvlJc w:val="left"/>
      <w:pPr>
        <w:ind w:left="46" w:hanging="504"/>
      </w:pPr>
    </w:lvl>
    <w:lvl w:ilvl="3">
      <w:start w:val="1"/>
      <w:numFmt w:val="decimal"/>
      <w:lvlText w:val="%1.%2.%3.%4."/>
      <w:lvlJc w:val="left"/>
      <w:pPr>
        <w:ind w:left="550" w:hanging="648"/>
      </w:pPr>
    </w:lvl>
    <w:lvl w:ilvl="4">
      <w:start w:val="1"/>
      <w:numFmt w:val="decimal"/>
      <w:lvlText w:val="%1.%2.%3.%4.%5."/>
      <w:lvlJc w:val="left"/>
      <w:pPr>
        <w:ind w:left="1054" w:hanging="792"/>
      </w:pPr>
    </w:lvl>
    <w:lvl w:ilvl="5">
      <w:start w:val="1"/>
      <w:numFmt w:val="decimal"/>
      <w:lvlText w:val="%1.%2.%3.%4.%5.%6."/>
      <w:lvlJc w:val="left"/>
      <w:pPr>
        <w:ind w:left="1558" w:hanging="936"/>
      </w:pPr>
    </w:lvl>
    <w:lvl w:ilvl="6">
      <w:start w:val="1"/>
      <w:numFmt w:val="decimal"/>
      <w:lvlText w:val="%1.%2.%3.%4.%5.%6.%7."/>
      <w:lvlJc w:val="left"/>
      <w:pPr>
        <w:ind w:left="2062" w:hanging="1080"/>
      </w:pPr>
    </w:lvl>
    <w:lvl w:ilvl="7">
      <w:start w:val="1"/>
      <w:numFmt w:val="decimal"/>
      <w:lvlText w:val="%1.%2.%3.%4.%5.%6.%7.%8."/>
      <w:lvlJc w:val="left"/>
      <w:pPr>
        <w:ind w:left="2566" w:hanging="1224"/>
      </w:pPr>
    </w:lvl>
    <w:lvl w:ilvl="8">
      <w:start w:val="1"/>
      <w:numFmt w:val="decimal"/>
      <w:lvlText w:val="%1.%2.%3.%4.%5.%6.%7.%8.%9."/>
      <w:lvlJc w:val="left"/>
      <w:pPr>
        <w:ind w:left="3142" w:hanging="1440"/>
      </w:pPr>
    </w:lvl>
  </w:abstractNum>
  <w:abstractNum w:abstractNumId="7" w15:restartNumberingAfterBreak="0">
    <w:nsid w:val="62AF1A57"/>
    <w:multiLevelType w:val="hybridMultilevel"/>
    <w:tmpl w:val="C9B4BC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D6E"/>
    <w:rsid w:val="00027159"/>
    <w:rsid w:val="00047D27"/>
    <w:rsid w:val="00073D24"/>
    <w:rsid w:val="000B1BFA"/>
    <w:rsid w:val="000E107E"/>
    <w:rsid w:val="00292DE6"/>
    <w:rsid w:val="003B2D6E"/>
    <w:rsid w:val="0045333D"/>
    <w:rsid w:val="00500F1A"/>
    <w:rsid w:val="006131D0"/>
    <w:rsid w:val="006341E0"/>
    <w:rsid w:val="006E5F34"/>
    <w:rsid w:val="006E6A23"/>
    <w:rsid w:val="00AF4298"/>
    <w:rsid w:val="00B56AEA"/>
    <w:rsid w:val="00B864ED"/>
    <w:rsid w:val="00C9071A"/>
    <w:rsid w:val="00D2585B"/>
    <w:rsid w:val="00FA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B0FF1-D7C9-4206-8766-7454BD5B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B2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B1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246</ap:Words>
  <ap:Characters>1353</ap:Characters>
  <ap:DocSecurity>4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2020-10-08T12:31:00.0000000Z</dcterms:created>
  <dcterms:modified xsi:type="dcterms:W3CDTF">2020-10-08T12:31:00.0000000Z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0x01010078686B079A00AD409984EA21CA2DF79F</vt:lpwstr>
  </property>
</Properties>
</file>