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2.0 -->
  <w:body>
    <w:sdt>
      <w:sdtPr>
        <w:id w:val="1980570636"/>
        <w:lock w:val="contentLocked"/>
        <w:placeholder>
          <w:docPart w:val="DefaultPlaceholder_1082065158"/>
        </w:placeholder>
        <w:group/>
      </w:sdtPr>
      <w:sdtContent>
        <w:p w:rsidR="002C6867" w:rsidP="0017188E">
          <w:pPr>
            <w:tabs>
              <w:tab w:val="left" w:pos="3686"/>
            </w:tabs>
          </w:pPr>
          <w:r>
            <w:rPr>
              <w:noProof/>
            </w:rPr>
            <mc:AlternateContent>
              <mc:Choice Requires="wps">
                <w:drawing>
                  <wp:anchor distT="0" distB="0" distL="114300" distR="114300" simplePos="0" relativeHeight="251659264" behindDoc="0" locked="0" layoutInCell="1" allowOverlap="1">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29000" cy="20828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03044" w:rsidRPr="00A4487D" w:rsidP="00A349AF">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270pt;height:16.4pt;margin-top:19.85pt;margin-left:311.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0288" stroked="f">
                    <v:textbox style="mso-fit-shape-to-text:t">
                      <w:txbxContent>
                        <w:p w:rsidR="00503044" w:rsidRPr="00A4487D" w:rsidP="00A349AF">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v:shape>
                </w:pict>
              </mc:Fallback>
            </mc:AlternateContent>
          </w:r>
          <w:r>
            <w:rPr>
              <w:noProof/>
            </w:rPr>
            <w:drawing>
              <wp:anchor distT="0" distB="0" distL="114300" distR="114300" simplePos="0" relativeHeight="251658240"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AAD"/>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t>No.</w:t>
          </w:r>
          <w:sdt>
            <w:sdtPr>
              <w:alias w:val="ZaakNummerPlus"/>
              <w:tag w:val="ZaakNummerPlus"/>
              <w:id w:val="-2079433656"/>
              <w:lock w:val="sdtContentLocked"/>
              <w:placeholder>
                <w:docPart w:val="DefaultPlaceholder_1082065158"/>
              </w:placeholder>
              <w:text/>
            </w:sdtPr>
            <w:sdtContent>
              <w:r>
                <w:t>W12.20.0099/III</w:t>
              </w:r>
            </w:sdtContent>
          </w:sdt>
          <w:r>
            <w:tab/>
            <w:t xml:space="preserve">'s-Gravenhage, </w:t>
          </w:r>
          <w:sdt>
            <w:sdtPr>
              <w:alias w:val="DatumAdvies"/>
              <w:tag w:val="DatumAdvies"/>
              <w:id w:val="-287518040"/>
              <w:lock w:val="sdtContentLocked"/>
              <w:placeholder>
                <w:docPart w:val="DefaultPlaceholder_1082065158"/>
              </w:placeholder>
              <w:text/>
            </w:sdtPr>
            <w:sdtContent>
              <w:r>
                <w:t>27 mei 2020</w:t>
              </w:r>
            </w:sdtContent>
          </w:sdt>
        </w:p>
        <w:p w:rsidR="00503044" w:rsidP="00503044">
          <w:pPr>
            <w:tabs>
              <w:tab w:val="left" w:pos="3685"/>
            </w:tabs>
          </w:pPr>
        </w:p>
        <w:p w:rsidR="00503044" w:rsidP="00503044">
          <w:pPr>
            <w:tabs>
              <w:tab w:val="left" w:pos="3685"/>
            </w:tabs>
          </w:pPr>
        </w:p>
        <w:sdt>
          <w:sdtPr>
            <w:alias w:val="Aanhef"/>
            <w:tag w:val="Aanhef"/>
            <w:id w:val="2074146362"/>
            <w:lock w:val="sdtContentLocked"/>
            <w:placeholder>
              <w:docPart w:val="DefaultPlaceholder_1082065158"/>
            </w:placeholder>
            <w:text w:multiLine="1"/>
          </w:sdtPr>
          <w:sdtContent>
            <w:p>
              <w:r>
                <w:t>Bij Kabinetsmissive van 10 april 2020, no.2020000745, heeft Uwe Majesteit, op voordracht van de Staatssecretaris van Sociale Zaken en Werkgelegenheid, bij de Afdeling advisering van de Raad van State ter overweging aanhangig gemaakt het voorstel van wet tot wijziging van de Wet kinderopvang in verband met enkele wijzigingen met betrekking tot het recht op kinderopvangtoeslag, met memorie van toelichting.</w:t>
              </w:r>
            </w:p>
          </w:sdtContent>
        </w:sdt>
        <w:p w:rsidR="0071031E"/>
        <w:sdt>
          <w:sdtPr>
            <w:alias w:val="VrijeTekst1"/>
            <w:tag w:val="VrijeTekst1"/>
            <w:id w:val="-437221631"/>
            <w:lock w:val="sdtLocked"/>
            <w:richText/>
          </w:sdtPr>
          <w:sdtContent>
            <w:p w:rsidR="00ED4376" w:rsidRPr="00511EDD" w:rsidP="000C4656">
              <w:pPr>
                <w:rPr>
                  <w:szCs w:val="22"/>
                </w:rPr>
              </w:pPr>
              <w:r>
                <w:t>Het voorstel bevat een verzameling van maatregelen op het gebied van kinderopvangtoeslag. Naast enkele technische reparaties voorziet het voorstel in twee inhoudelijke maatregelen. Te</w:t>
              </w:r>
              <w:r>
                <w:t xml:space="preserve">n eerste wordt het recht op  kinderopvangtoeslag verlengd voor zwangere vrouwen die in hun werkloosheidstermijn zitten. Ten tweede krijgen ouderparen </w:t>
              </w:r>
              <w:r>
                <w:t>van wie</w:t>
              </w:r>
              <w:r>
                <w:t xml:space="preserve"> één ouder werkt of </w:t>
              </w:r>
              <w:r w:rsidRPr="00511EDD">
                <w:rPr>
                  <w:szCs w:val="22"/>
                </w:rPr>
                <w:t>een traject naar werk volgt en de andere ouder een indicatie heeft vanuit de We</w:t>
              </w:r>
              <w:r w:rsidRPr="00511EDD">
                <w:rPr>
                  <w:szCs w:val="22"/>
                </w:rPr>
                <w:t xml:space="preserve">t </w:t>
              </w:r>
              <w:r>
                <w:rPr>
                  <w:szCs w:val="22"/>
                </w:rPr>
                <w:t>l</w:t>
              </w:r>
              <w:r w:rsidRPr="00511EDD">
                <w:rPr>
                  <w:szCs w:val="22"/>
                </w:rPr>
                <w:t xml:space="preserve">angdurige </w:t>
              </w:r>
              <w:r>
                <w:rPr>
                  <w:szCs w:val="22"/>
                </w:rPr>
                <w:t>z</w:t>
              </w:r>
              <w:r w:rsidRPr="00511EDD">
                <w:rPr>
                  <w:szCs w:val="22"/>
                </w:rPr>
                <w:t xml:space="preserve">org (Wlz) recht op kinderopvangtoeslag. Op dit moment bestaat dit recht niet. </w:t>
              </w:r>
              <w:r>
                <w:rPr>
                  <w:szCs w:val="22"/>
                </w:rPr>
                <w:t>Zij kunnen wel een beroep doen op de ondersteuning vanuit de gemeente.</w:t>
              </w:r>
            </w:p>
            <w:p w:rsidR="000C4656" w:rsidRPr="00511EDD" w:rsidP="000C4656">
              <w:pPr>
                <w:rPr>
                  <w:szCs w:val="22"/>
                </w:rPr>
              </w:pPr>
            </w:p>
            <w:p w:rsidR="00B97D56" w:rsidRPr="00511EDD" w:rsidP="00B97D56">
              <w:pPr>
                <w:rPr>
                  <w:rFonts w:cs="Segoe UI"/>
                  <w:color w:val="000000"/>
                  <w:szCs w:val="22"/>
                </w:rPr>
              </w:pPr>
              <w:r w:rsidRPr="00511EDD">
                <w:rPr>
                  <w:szCs w:val="22"/>
                </w:rPr>
                <w:t>De Afdeling advisering van de Raad van State onderschrijft het voorstel, maar maakt</w:t>
              </w:r>
              <w:r>
                <w:rPr>
                  <w:szCs w:val="22"/>
                </w:rPr>
                <w:t xml:space="preserve"> een opme</w:t>
              </w:r>
              <w:r>
                <w:rPr>
                  <w:szCs w:val="22"/>
                </w:rPr>
                <w:t xml:space="preserve">rking over de afbakening van de groep ouders/partners die een Wlz-indicatie hebben en straks in aanmerking komen voor kinderopvangtoeslag. </w:t>
              </w:r>
              <w:r w:rsidR="00B636E4">
                <w:rPr>
                  <w:szCs w:val="22"/>
                </w:rPr>
                <w:t>I</w:t>
              </w:r>
              <w:r w:rsidRPr="00511EDD">
                <w:rPr>
                  <w:rFonts w:cs="Segoe UI"/>
                  <w:color w:val="000000"/>
                  <w:szCs w:val="22"/>
                </w:rPr>
                <w:t xml:space="preserve">n verband daarmee </w:t>
              </w:r>
              <w:r w:rsidR="00B636E4">
                <w:rPr>
                  <w:rFonts w:cs="Segoe UI"/>
                  <w:color w:val="000000"/>
                  <w:szCs w:val="22"/>
                </w:rPr>
                <w:t xml:space="preserve">is </w:t>
              </w:r>
              <w:r w:rsidRPr="00511EDD">
                <w:rPr>
                  <w:rFonts w:cs="Segoe UI"/>
                  <w:color w:val="000000"/>
                  <w:szCs w:val="22"/>
                </w:rPr>
                <w:t xml:space="preserve">aanpassing </w:t>
              </w:r>
              <w:r w:rsidR="00B636E4">
                <w:rPr>
                  <w:rFonts w:cs="Segoe UI"/>
                  <w:color w:val="000000"/>
                  <w:szCs w:val="22"/>
                </w:rPr>
                <w:t xml:space="preserve">wenselijk </w:t>
              </w:r>
              <w:r w:rsidRPr="00511EDD">
                <w:rPr>
                  <w:rFonts w:cs="Segoe UI"/>
                  <w:color w:val="000000"/>
                  <w:szCs w:val="22"/>
                </w:rPr>
                <w:t xml:space="preserve">van het </w:t>
              </w:r>
              <w:r w:rsidR="00B636E4">
                <w:rPr>
                  <w:rFonts w:cs="Segoe UI"/>
                  <w:color w:val="000000"/>
                  <w:szCs w:val="22"/>
                </w:rPr>
                <w:t>wets</w:t>
              </w:r>
              <w:r w:rsidRPr="00511EDD">
                <w:rPr>
                  <w:rFonts w:cs="Segoe UI"/>
                  <w:color w:val="000000"/>
                  <w:szCs w:val="22"/>
                </w:rPr>
                <w:t xml:space="preserve">voorstel </w:t>
              </w:r>
              <w:r>
                <w:rPr>
                  <w:rFonts w:cs="Segoe UI"/>
                  <w:color w:val="000000"/>
                  <w:szCs w:val="22"/>
                </w:rPr>
                <w:t xml:space="preserve">en de </w:t>
              </w:r>
              <w:r>
                <w:rPr>
                  <w:rFonts w:cs="Segoe UI"/>
                  <w:color w:val="000000"/>
                  <w:szCs w:val="22"/>
                </w:rPr>
                <w:t>toelichting</w:t>
              </w:r>
              <w:r w:rsidRPr="00511EDD">
                <w:rPr>
                  <w:rFonts w:cs="Segoe UI"/>
                  <w:color w:val="000000"/>
                  <w:szCs w:val="22"/>
                </w:rPr>
                <w:t xml:space="preserve">. </w:t>
              </w:r>
            </w:p>
            <w:p w:rsidR="00E803F0" w:rsidP="00B97D56">
              <w:pPr>
                <w:rPr>
                  <w:szCs w:val="22"/>
                </w:rPr>
              </w:pPr>
            </w:p>
            <w:p>
              <w:pPr>
                <w:rPr>
                  <w:i/>
                  <w:iCs/>
                  <w:szCs w:val="22"/>
                </w:rPr>
              </w:pPr>
              <w:r w:rsidRPr="00C04AC7">
                <w:rPr>
                  <w:i/>
                  <w:iCs/>
                  <w:szCs w:val="22"/>
                </w:rPr>
                <w:t>Huidige situatie</w:t>
              </w:r>
            </w:p>
            <w:p w:rsidR="00E77F87" w:rsidP="00511EDD">
              <w:r>
                <w:rPr>
                  <w:szCs w:val="22"/>
                </w:rPr>
                <w:t>Een gezin waarin éé</w:t>
              </w:r>
              <w:r>
                <w:t>n ouder werkt en de ander</w:t>
              </w:r>
              <w:r w:rsidR="00B636E4">
                <w:t>e ouder</w:t>
              </w:r>
              <w:r>
                <w:t xml:space="preserve"> een Wlz-indicatie heeft, komt op dit moment niet in aanmerking voor kinderopvangtoeslag. Ouders die geen recht hebben op kinderopvangtoeslag en om een sociale of medische reden (SMI) tijdelijk niet voor hun kinderen kunnen zorgen,</w:t>
              </w:r>
              <w:r>
                <w:t xml:space="preserve"> kunnen wel bij de gemeente terecht voor een tegemoetkoming in de kosten van kinderopvang. </w:t>
              </w:r>
              <w:r w:rsidR="00B636E4">
                <w:t>D</w:t>
              </w:r>
              <w:r>
                <w:t xml:space="preserve">e specifieke redenen waardoor en de periode gedurende welke deze ouders niet voor de kinderen kunnen zorgen </w:t>
              </w:r>
              <w:r>
                <w:t xml:space="preserve">kunnen </w:t>
              </w:r>
              <w:r w:rsidR="00B636E4">
                <w:t xml:space="preserve">sterk </w:t>
              </w:r>
              <w:r>
                <w:t>uiteenlopen</w:t>
              </w:r>
              <w:r w:rsidR="00B636E4">
                <w:t>.</w:t>
              </w:r>
              <w:r>
                <w:t xml:space="preserve"> </w:t>
              </w:r>
              <w:r w:rsidR="00B636E4">
                <w:t>D</w:t>
              </w:r>
              <w:r>
                <w:t>e toelichting noemt bi</w:t>
              </w:r>
              <w:r>
                <w:t>j wijze van voorbeeld het herstellen van een depressie, burn-out, detentie of intensieve revalidatie</w:t>
              </w:r>
              <w:r w:rsidR="00B636E4">
                <w:t>.</w:t>
              </w:r>
              <w:r>
                <w:t xml:space="preserve"> </w:t>
              </w:r>
              <w:r w:rsidR="00B636E4">
                <w:t xml:space="preserve">Daardoor </w:t>
              </w:r>
              <w:r>
                <w:t xml:space="preserve">hebben de gemeente veel vrijheid bij de vormgeving van hun </w:t>
              </w:r>
              <w:r>
                <w:t xml:space="preserve">beleid. </w:t>
              </w:r>
              <w:r w:rsidRPr="00E77F87">
                <w:t>Zij zijn het best in staat om een afweging te maken per casus en maatwerk te bieden</w:t>
              </w:r>
              <w:r>
                <w:t>, a</w:t>
              </w:r>
              <w:r>
                <w:t>ldus de toelichting.</w:t>
              </w:r>
              <w:r>
                <w:rPr>
                  <w:rStyle w:val="FootnoteReference"/>
                </w:rPr>
                <w:footnoteReference w:id="2"/>
              </w:r>
              <w:r>
                <w:t xml:space="preserve"> </w:t>
              </w:r>
            </w:p>
            <w:p w:rsidR="00E77F87" w:rsidP="00511EDD"/>
            <w:p>
              <w:pPr>
                <w:rPr>
                  <w:i/>
                  <w:iCs/>
                </w:rPr>
              </w:pPr>
              <w:r w:rsidRPr="00C04AC7">
                <w:rPr>
                  <w:i/>
                  <w:iCs/>
                </w:rPr>
                <w:t>Voorstel</w:t>
              </w:r>
            </w:p>
            <w:p w:rsidR="00B636E4" w:rsidP="00A84146">
              <w:r>
                <w:t xml:space="preserve">Voorgesteld wordt om de ouderparen </w:t>
              </w:r>
              <w:r>
                <w:t>van wie</w:t>
              </w:r>
              <w:r>
                <w:t xml:space="preserve"> één van de ouders werkt en de ander</w:t>
              </w:r>
              <w:r>
                <w:t>e ouder</w:t>
              </w:r>
              <w:r>
                <w:t xml:space="preserve"> een Wlz-indicatie heeft voortaan wel het recht op kinderopvangtoeslag te geven. In deze situatie zijn immers beide ouders niet in staat om voo</w:t>
              </w:r>
              <w:r>
                <w:t xml:space="preserve">r de kinderen te zorgen. De kinderopvangtoeslag dient er dan toe om de werkende partner de mogelijkheid te bieden te blijven werken. Deze personen hoeven hierdoor niet meer bij de gemeente aan te kloppen voor bijstand. </w:t>
              </w:r>
            </w:p>
            <w:p w:rsidR="00B636E4" w:rsidP="00A84146"/>
            <w:p w:rsidR="00DF48B7" w:rsidP="00A84146">
              <w:r>
                <w:t>Volgens de toelichting ligt lokaal ma</w:t>
              </w:r>
              <w:r>
                <w:t>atwerk ten aanzien van een tegemoetkoming in de kosten van kinderopvang in deze situatie niet voor de hand. Als reden hiervoor geldt de ernstige en blijvende situatie waarin personen met een Wlz-indicatie verkeren, zonder uitzicht op herstel of (ander) wer</w:t>
              </w:r>
              <w:r>
                <w:t>k, waarbij het gaat om een landelijke, duidelijk afgebakende groep, aldus de toelichting.</w:t>
              </w:r>
              <w:r>
                <w:rPr>
                  <w:rStyle w:val="FootnoteReference"/>
                </w:rPr>
                <w:footnoteReference w:id="3"/>
              </w:r>
              <w:r>
                <w:t xml:space="preserve"> Om deze redenen wordt een eenvormige regeling op landelijk niveau voorgesteld.</w:t>
              </w:r>
            </w:p>
            <w:p w:rsidR="00B636E4" w:rsidP="00A84146"/>
            <w:p w:rsidR="00DF48B7" w:rsidP="00A84146">
              <w:r>
                <w:t>Tegelijkertijd wordt in het voorstel een uitzondering gemaakt voor de groep personen d</w:t>
              </w:r>
              <w:r>
                <w:t>ie een tijdelijke Wlz-indicatie hebben.</w:t>
              </w:r>
              <w:r>
                <w:rPr>
                  <w:rStyle w:val="FootnoteReference"/>
                </w:rPr>
                <w:footnoteReference w:id="4"/>
              </w:r>
              <w:r>
                <w:t xml:space="preserve"> Dat zijn indicaties voor een periode van </w:t>
              </w:r>
              <w:r w:rsidRPr="00B31B29">
                <w:t>zes maanden tot en met drie jaar.</w:t>
              </w:r>
              <w:r>
                <w:rPr>
                  <w:rStyle w:val="FootnoteReference"/>
                </w:rPr>
                <w:footnoteReference w:id="5"/>
              </w:r>
              <w:r w:rsidRPr="00B31B29">
                <w:t xml:space="preserve"> Deze groep</w:t>
              </w:r>
              <w:r>
                <w:t xml:space="preserve"> </w:t>
              </w:r>
              <w:r w:rsidRPr="00B31B29">
                <w:t>krijg</w:t>
              </w:r>
              <w:r>
                <w:t>t</w:t>
              </w:r>
              <w:r w:rsidRPr="00B31B29">
                <w:t xml:space="preserve"> geen recht op kinderopvangtoeslag en k</w:t>
              </w:r>
              <w:r>
                <w:t>an</w:t>
              </w:r>
              <w:r w:rsidRPr="00B31B29">
                <w:t xml:space="preserve"> zich </w:t>
              </w:r>
              <w:r>
                <w:t xml:space="preserve">zo nodig </w:t>
              </w:r>
              <w:r w:rsidRPr="00B31B29">
                <w:t>wenden tot de gemeente</w:t>
              </w:r>
              <w:r>
                <w:t xml:space="preserve"> voor een voorziening op maat, aldus de toel</w:t>
              </w:r>
              <w:r>
                <w:t>ichting</w:t>
              </w:r>
              <w:r w:rsidRPr="00B31B29">
                <w:t>.</w:t>
              </w:r>
              <w:r>
                <w:rPr>
                  <w:rStyle w:val="FootnoteReference"/>
                </w:rPr>
                <w:footnoteReference w:id="6"/>
              </w:r>
              <w:r>
                <w:t xml:space="preserve"> </w:t>
              </w:r>
            </w:p>
            <w:p w:rsidR="00DF48B7" w:rsidP="00A84146"/>
            <w:p w:rsidR="00F847FA" w:rsidRPr="00C04AC7" w:rsidP="00F847FA">
              <w:pPr>
                <w:rPr>
                  <w:i/>
                  <w:iCs/>
                </w:rPr>
              </w:pPr>
              <w:r w:rsidRPr="00C04AC7">
                <w:rPr>
                  <w:i/>
                  <w:iCs/>
                </w:rPr>
                <w:t>Beoordeling uitzondering voor tijdelijke Wlz-indicatie</w:t>
              </w:r>
            </w:p>
            <w:p w:rsidR="00F847FA" w:rsidP="00F847FA">
              <w:r>
                <w:t xml:space="preserve">De Afdeling merkt op dat het </w:t>
              </w:r>
              <w:r w:rsidR="00B636E4">
                <w:t>wets</w:t>
              </w:r>
              <w:r>
                <w:t>voorstel een onderscheid maakt tussen enerzijds personen met een permanente Wlz-indicatie en anderzijds degenen met een tijdelijke Wlz-indicatie. In beide geval</w:t>
              </w:r>
              <w:r>
                <w:t xml:space="preserve">len gaat het om personen die op basis van strikte criteria en indicatiestelling door het CIZ toegang hebben gekregen tot de zware Wlz-zorg. Dat betekent dat voor beide groepen geldt dat zij </w:t>
              </w:r>
              <w:r w:rsidRPr="005D2BE4">
                <w:t xml:space="preserve">behoefte </w:t>
              </w:r>
              <w:r>
                <w:t xml:space="preserve">hebben </w:t>
              </w:r>
              <w:r w:rsidRPr="005D2BE4">
                <w:t>aan permanent toezicht</w:t>
              </w:r>
              <w:r>
                <w:t xml:space="preserve"> of </w:t>
              </w:r>
              <w:r w:rsidRPr="005D2BE4">
                <w:t xml:space="preserve">24-uurs zorg in de </w:t>
              </w:r>
              <w:r w:rsidRPr="005D2BE4">
                <w:t>directe nabijheid</w:t>
              </w:r>
              <w:r>
                <w:t xml:space="preserve">. Het enige verschil tussen de beide groepen is dat deze behoefte voor de eerste groep blijvend is. Bij de tijdelijke indicatie is de behoefte niet blijvend. De verwachting is </w:t>
              </w:r>
              <w:r>
                <w:t>dat de betrokkene op termijn geen behoefte zal hebben aan de Wl</w:t>
              </w:r>
              <w:r>
                <w:t xml:space="preserve">z-zorg. Dat speelt echter niet in de periode waarvoor de indicatie is afgegeven, maar pas daarna. </w:t>
              </w:r>
            </w:p>
            <w:p w:rsidR="00F847FA" w:rsidP="00F847FA"/>
            <w:p>
              <w:r>
                <w:t>Zowel in het geval van de</w:t>
              </w:r>
              <w:bookmarkStart w:id="0" w:name="_GoBack"/>
              <w:bookmarkEnd w:id="0"/>
              <w:r>
                <w:t xml:space="preserve"> permanente als dat van de tijdelijke Wlz-indicatie gaat het dus om een uniforme groep die in de periode waarvoor de indicatie geldt als gevolg van deze indicatie niet in staat in om voor de kinderen te zorgen. De Afdeling ziet dan</w:t>
              </w:r>
              <w:r>
                <w:t xml:space="preserve"> ook geen objectieve rechtvaardiging voor het gemaakte onderscheid. Zij adviseert </w:t>
              </w:r>
              <w:r w:rsidRPr="00F847FA">
                <w:t xml:space="preserve">het voorstel </w:t>
              </w:r>
              <w:r>
                <w:t xml:space="preserve">op </w:t>
              </w:r>
              <w:r>
                <w:t xml:space="preserve">dit punt </w:t>
              </w:r>
              <w:r w:rsidRPr="00F847FA">
                <w:t>aan te passen.</w:t>
              </w:r>
            </w:p>
          </w:sdtContent>
        </w:sdt>
        <w:p w:rsidR="003A1FC7"/>
        <w:sdt>
          <w:sdtPr>
            <w:alias w:val="Dictum"/>
            <w:tag w:val="Dictum"/>
            <w:id w:val="1621489950"/>
            <w:lock w:val="sdtContentLocked"/>
            <w:placeholder>
              <w:docPart w:val="DefaultPlaceholder_1082065158"/>
            </w:placeholder>
            <w:text w:multiLine="1"/>
          </w:sdtPr>
          <w:sdtContent>
            <w:p>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Sect="00503044">
      <w:headerReference w:type="default" r:id="rId12"/>
      <w:footerReference w:type="first" r:id="rId13"/>
      <w:pgSz w:w="11906" w:h="16838"/>
      <w:pgMar w:top="2523" w:right="1417" w:bottom="1417" w:left="1984" w:header="141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1644BA" w:rsidP="005B3E03">
      <w:r>
        <w:separator/>
      </w:r>
    </w:p>
    <w:p w:rsidR="001644BA"/>
  </w:endnote>
  <w:endnote w:type="continuationSeparator" w:id="1">
    <w:p w:rsidR="001644BA" w:rsidP="005B3E03">
      <w:r>
        <w:continuationSeparator/>
      </w:r>
    </w:p>
    <w:p w:rsidR="001644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44F3" w:rsidP="00AA44F3">
    <w:pPr>
      <w:pStyle w:val="Footer"/>
      <w:tabs>
        <w:tab w:val="left" w:pos="1995"/>
        <w:tab w:val="clear" w:pos="4536"/>
        <w:tab w:val="clear" w:pos="9072"/>
      </w:tabs>
    </w:pPr>
    <w:r>
      <w:tab/>
    </w:r>
    <w:r>
      <w:rPr>
        <w:noProof/>
        <w:lang w:val="nl-NL" w:eastAsia="nl-NL"/>
      </w:rPr>
      <mc:AlternateContent>
        <mc:Choice Requires="wps">
          <w:drawing>
            <wp:anchor distT="0" distB="0" distL="114300" distR="114300" simplePos="0" relativeHeight="251658240" behindDoc="0" locked="1" layoutInCell="1" allowOverlap="1">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68170" cy="34163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2049" type="#_x0000_t202" style="width:147.1pt;height:26.9pt;margin-top:802.3pt;margin-left:99.25pt;mso-height-percent:0;mso-height-relative:page;mso-position-horizontal-relative:page;mso-position-vertical-relative:page;mso-width-percent:0;mso-width-relative:page;mso-wrap-distance-bottom:0;mso-wrap-distance-left:9pt;mso-wrap-distance-right:9pt;mso-wrap-distance-top:0;mso-wrap-style:none;position:absolute;visibility:visible;v-text-anchor:top;z-index:251659264" stroked="f">
              <v:textbox>
                <w:txbxContent>
                  <w:p w:rsidR="00AA44F3" w:rsidRPr="00B71C66" w:rsidP="00AA44F3">
                    <w:pPr>
                      <w:shd w:val="solid" w:color="FFFFFF" w:fill="FFFFFF"/>
                      <w:rPr>
                        <w:rFonts w:ascii="Bembo" w:hAnsi="Bembo"/>
                        <w:sz w:val="32"/>
                        <w:szCs w:val="32"/>
                      </w:rPr>
                    </w:pPr>
                    <w:r>
                      <w:rPr>
                        <w:rStyle w:val="LogoKoninginnepapier"/>
                      </w:rPr>
                      <w:t>AAN DE KONING</w:t>
                    </w:r>
                  </w:p>
                </w:txbxContent>
              </v:textbox>
              <w10:wrap type="squar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644BA">
      <w:r>
        <w:separator/>
      </w:r>
    </w:p>
  </w:footnote>
  <w:footnote w:type="continuationSeparator" w:id="1">
    <w:p w:rsidR="001644BA">
      <w:r>
        <w:continuationSeparator/>
      </w:r>
    </w:p>
  </w:footnote>
  <w:footnote w:id="2">
    <w:p w:rsidR="00E77F87">
      <w:pPr>
        <w:pStyle w:val="FootnoteText"/>
      </w:pPr>
      <w:r>
        <w:rPr>
          <w:rStyle w:val="FootnoteReference"/>
        </w:rPr>
        <w:footnoteRef/>
      </w:r>
      <w:r>
        <w:t xml:space="preserve"> </w:t>
      </w:r>
      <w:r>
        <w:tab/>
        <w:t>Memorie van toelichting, paragraaf 2.1.</w:t>
      </w:r>
    </w:p>
  </w:footnote>
  <w:footnote w:id="3">
    <w:p w:rsidR="00B31B29">
      <w:pPr>
        <w:pStyle w:val="FootnoteText"/>
      </w:pPr>
      <w:r>
        <w:rPr>
          <w:rStyle w:val="FootnoteReference"/>
        </w:rPr>
        <w:footnoteRef/>
      </w:r>
      <w:r>
        <w:t xml:space="preserve"> </w:t>
      </w:r>
      <w:r>
        <w:tab/>
        <w:t>Memorie van toelichting, paragraaf 2.1.</w:t>
      </w:r>
    </w:p>
  </w:footnote>
  <w:footnote w:id="4">
    <w:p w:rsidR="007401C6">
      <w:pPr>
        <w:pStyle w:val="FootnoteText"/>
      </w:pPr>
      <w:r>
        <w:rPr>
          <w:rStyle w:val="FootnoteReference"/>
        </w:rPr>
        <w:footnoteRef/>
      </w:r>
      <w:r>
        <w:t xml:space="preserve"> </w:t>
      </w:r>
      <w:r>
        <w:tab/>
        <w:t xml:space="preserve">Overigens gaat het voorstel </w:t>
      </w:r>
      <w:r>
        <w:t xml:space="preserve">nu </w:t>
      </w:r>
      <w:r>
        <w:t xml:space="preserve">nog uit van de toekenning van het recht op </w:t>
      </w:r>
      <w:r>
        <w:t>kinderopvangtoeslag aan degenen die op basis van de overgangsregeling een tijdelijke Wlz-indicatie hebben.</w:t>
      </w:r>
    </w:p>
  </w:footnote>
  <w:footnote w:id="5">
    <w:p w:rsidR="009853D6">
      <w:pPr>
        <w:pStyle w:val="FootnoteText"/>
      </w:pPr>
      <w:r>
        <w:rPr>
          <w:rStyle w:val="FootnoteReference"/>
        </w:rPr>
        <w:footnoteRef/>
      </w:r>
      <w:r>
        <w:t xml:space="preserve"> </w:t>
      </w:r>
      <w:r>
        <w:tab/>
        <w:t>Als voorbeeld van een tijdelijke Wlz-indicatie noemt de toelichting een situatie waarin</w:t>
      </w:r>
      <w:r w:rsidRPr="00B31B29">
        <w:t xml:space="preserve"> iemand</w:t>
      </w:r>
    </w:p>
    <w:p w:rsidR="009853D6">
      <w:pPr>
        <w:pStyle w:val="FootnoteText"/>
      </w:pPr>
      <w:r>
        <w:t xml:space="preserve">  </w:t>
      </w:r>
      <w:r>
        <w:tab/>
      </w:r>
      <w:r w:rsidRPr="00B31B29">
        <w:t>intensief moet revalideren na een ongeluk. Na re</w:t>
      </w:r>
      <w:r w:rsidRPr="00B31B29">
        <w:t>validatie kan iemand mogelijk re-integreren of is</w:t>
      </w:r>
      <w:r>
        <w:t xml:space="preserve"> </w:t>
      </w:r>
    </w:p>
    <w:p w:rsidR="009853D6">
      <w:pPr>
        <w:pStyle w:val="FootnoteText"/>
      </w:pPr>
      <w:r>
        <w:t xml:space="preserve">  </w:t>
      </w:r>
      <w:r>
        <w:tab/>
      </w:r>
      <w:r w:rsidRPr="00B31B29">
        <w:t>diegene weer in staat om de zorg voor kinderen op zich te nemen</w:t>
      </w:r>
      <w:r>
        <w:t xml:space="preserve">, memorie van toelichting, </w:t>
      </w:r>
    </w:p>
    <w:p w:rsidR="009853D6">
      <w:pPr>
        <w:pStyle w:val="FootnoteText"/>
      </w:pPr>
      <w:r>
        <w:tab/>
        <w:t xml:space="preserve">paragraaf 2.1. Dit is echter geen typerende situatie. Een tijdelijke indicatie wordt gegeven aan personen met </w:t>
      </w:r>
      <w:r>
        <w:t xml:space="preserve">een licht verstandelijke handicap in combinatie met al dan niet ernstige gedragsproblemen en vaak ook psychische stoornissen. Het gaat </w:t>
      </w:r>
      <w:r w:rsidRPr="00D64DDD">
        <w:t xml:space="preserve">hier om de LVG, SGLVG en de GGZ-B profielen op basis van </w:t>
      </w:r>
      <w:r>
        <w:t xml:space="preserve">de </w:t>
      </w:r>
      <w:r w:rsidRPr="00D64DDD">
        <w:t>artikelen 3.2.1, derde lid en 3.2.2. van de Wet op de langdur</w:t>
      </w:r>
      <w:r w:rsidRPr="00D64DDD">
        <w:t>ige zorg</w:t>
      </w:r>
      <w:r>
        <w:t xml:space="preserve">. Het laatste profiel wordt door het CIZ afgegeven </w:t>
      </w:r>
      <w:r w:rsidRPr="00247C37">
        <w:t>na drie jaar ggz-behandeling vanuit de Zvw</w:t>
      </w:r>
      <w:r>
        <w:t>. Het gaat om de voortzetting van deze behandeling vanuit de Wlz. C</w:t>
      </w:r>
      <w:r w:rsidRPr="00247C37">
        <w:t xml:space="preserve">liënten </w:t>
      </w:r>
      <w:r>
        <w:t xml:space="preserve">hebben dan </w:t>
      </w:r>
      <w:r w:rsidRPr="00247C37">
        <w:t>toegang tot de Wlz op grond van art 3.2.2 Wlz</w:t>
      </w:r>
      <w:r>
        <w:t xml:space="preserve">. </w:t>
      </w:r>
      <w:r w:rsidRPr="00247C37">
        <w:t>Het CIZ beoordeelt nie</w:t>
      </w:r>
      <w:r w:rsidRPr="00247C37">
        <w:t xml:space="preserve">t of deze aanvragen voldoen aan de Wlz-toegangscriteria. </w:t>
      </w:r>
      <w:r>
        <w:t>Zie ook de Beleidsregels indicatiestelling Wlz 2020 van het CIZ.</w:t>
      </w:r>
      <w:r w:rsidRPr="00B31B29">
        <w:t xml:space="preserve"> </w:t>
      </w:r>
      <w:r>
        <w:t xml:space="preserve"> </w:t>
      </w:r>
    </w:p>
  </w:footnote>
  <w:footnote w:id="6">
    <w:p w:rsidR="00B31B29">
      <w:pPr>
        <w:pStyle w:val="FootnoteText"/>
      </w:pPr>
      <w:r>
        <w:rPr>
          <w:rStyle w:val="FootnoteReference"/>
        </w:rPr>
        <w:footnoteRef/>
      </w:r>
      <w:r>
        <w:t xml:space="preserve"> </w:t>
      </w:r>
      <w:r>
        <w:tab/>
        <w:t>Memorie van toelichting, paragraaf 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503044">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E674C3"/>
    <w:multiLevelType w:val="hybridMultilevel"/>
    <w:tmpl w:val="EEDC20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9011483"/>
    <w:multiLevelType w:val="hybridMultilevel"/>
    <w:tmpl w:val="77A8E296"/>
    <w:lvl w:ilvl="0">
      <w:start w:val="1"/>
      <w:numFmt w:val="decimal"/>
      <w:lvlText w:val="%1."/>
      <w:lvlJc w:val="left"/>
      <w:pPr>
        <w:ind w:left="720" w:hanging="360"/>
      </w:pPr>
      <w:rPr>
        <w:rFonts w:ascii="Univers" w:hAnsi="Univer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F1E28A2"/>
    <w:multiLevelType w:val="hybridMultilevel"/>
    <w:tmpl w:val="50B0C0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BCD7104"/>
    <w:multiLevelType w:val="hybridMultilevel"/>
    <w:tmpl w:val="9EF6C7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81"/>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D4F"/>
    <w:rsid w:val="00006A34"/>
    <w:rsid w:val="000C4656"/>
    <w:rsid w:val="00156F0B"/>
    <w:rsid w:val="0017188E"/>
    <w:rsid w:val="00247C37"/>
    <w:rsid w:val="002656A3"/>
    <w:rsid w:val="0027703A"/>
    <w:rsid w:val="002A16F1"/>
    <w:rsid w:val="002C6867"/>
    <w:rsid w:val="002D0875"/>
    <w:rsid w:val="00303CA7"/>
    <w:rsid w:val="00322CB5"/>
    <w:rsid w:val="003A1FC7"/>
    <w:rsid w:val="004421C1"/>
    <w:rsid w:val="004C120D"/>
    <w:rsid w:val="00503044"/>
    <w:rsid w:val="00511EDD"/>
    <w:rsid w:val="005D2BE4"/>
    <w:rsid w:val="006D3E6B"/>
    <w:rsid w:val="0071031E"/>
    <w:rsid w:val="00724C4B"/>
    <w:rsid w:val="007401C6"/>
    <w:rsid w:val="00743D19"/>
    <w:rsid w:val="00831756"/>
    <w:rsid w:val="009853D6"/>
    <w:rsid w:val="009E72D2"/>
    <w:rsid w:val="00A349AF"/>
    <w:rsid w:val="00A4487D"/>
    <w:rsid w:val="00A84146"/>
    <w:rsid w:val="00AA44F3"/>
    <w:rsid w:val="00B03C96"/>
    <w:rsid w:val="00B31B29"/>
    <w:rsid w:val="00B44919"/>
    <w:rsid w:val="00B636E4"/>
    <w:rsid w:val="00B71C66"/>
    <w:rsid w:val="00B97D56"/>
    <w:rsid w:val="00C02F92"/>
    <w:rsid w:val="00C04AC7"/>
    <w:rsid w:val="00C5066A"/>
    <w:rsid w:val="00C50D4F"/>
    <w:rsid w:val="00C94D31"/>
    <w:rsid w:val="00D32A9E"/>
    <w:rsid w:val="00D64DDD"/>
    <w:rsid w:val="00D76613"/>
    <w:rsid w:val="00DD4122"/>
    <w:rsid w:val="00DE075A"/>
    <w:rsid w:val="00DE1A79"/>
    <w:rsid w:val="00DF48B7"/>
    <w:rsid w:val="00DF6602"/>
    <w:rsid w:val="00E722B1"/>
    <w:rsid w:val="00E77F87"/>
    <w:rsid w:val="00E803F0"/>
    <w:rsid w:val="00E905C7"/>
    <w:rsid w:val="00EC0E59"/>
    <w:rsid w:val="00ED4376"/>
    <w:rsid w:val="00F847FA"/>
    <w:rsid w:val="00FE44FD"/>
    <w:rsid w:val="00FF6790"/>
  </w:rsids>
  <w:docVars>
    <w:docVar w:name="XML1" w:val="&lt;?xml version=&quot;1.0&quot;?&gt;&#13;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13;_x000a_"/>
  </w:docVar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VoetnoottekstChar"/>
    <w:rsid w:val="00210837"/>
    <w:pPr>
      <w:tabs>
        <w:tab w:val="left" w:pos="227"/>
      </w:tabs>
      <w:ind w:left="227" w:hanging="227"/>
    </w:pPr>
    <w:rPr>
      <w:sz w:val="18"/>
      <w:szCs w:val="20"/>
    </w:rPr>
  </w:style>
  <w:style w:type="character" w:customStyle="1" w:styleId="VoetnoottekstChar">
    <w:name w:val="Voetnoottekst Char"/>
    <w:link w:val="FootnoteText"/>
    <w:rsid w:val="00210837"/>
    <w:rPr>
      <w:rFonts w:ascii="Univers" w:hAnsi="Univers"/>
      <w:sz w:val="18"/>
    </w:rPr>
  </w:style>
  <w:style w:type="paragraph" w:styleId="Header">
    <w:name w:val="header"/>
    <w:basedOn w:val="Normal"/>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ntekstChar"/>
    <w:rsid w:val="004B4C27"/>
    <w:rPr>
      <w:rFonts w:ascii="Tahoma" w:hAnsi="Tahoma" w:cs="Tahoma"/>
      <w:sz w:val="16"/>
      <w:szCs w:val="16"/>
    </w:rPr>
  </w:style>
  <w:style w:type="character" w:customStyle="1" w:styleId="BallontekstChar">
    <w:name w:val="Ballonteks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Kop1Char">
    <w:name w:val="Kop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basedOn w:val="DefaultParagraphFont"/>
    <w:semiHidden/>
    <w:unhideWhenUsed/>
    <w:rsid w:val="00E77F87"/>
    <w:rPr>
      <w:vertAlign w:val="superscript"/>
    </w:rPr>
  </w:style>
  <w:style w:type="character" w:styleId="CommentReference">
    <w:name w:val="annotation reference"/>
    <w:basedOn w:val="DefaultParagraphFont"/>
    <w:semiHidden/>
    <w:unhideWhenUsed/>
    <w:rsid w:val="00F847FA"/>
    <w:rPr>
      <w:sz w:val="16"/>
      <w:szCs w:val="16"/>
    </w:rPr>
  </w:style>
  <w:style w:type="paragraph" w:styleId="CommentText">
    <w:name w:val="annotation text"/>
    <w:basedOn w:val="Normal"/>
    <w:link w:val="TekstopmerkingChar"/>
    <w:semiHidden/>
    <w:unhideWhenUsed/>
    <w:rsid w:val="00F847FA"/>
    <w:rPr>
      <w:sz w:val="20"/>
      <w:szCs w:val="20"/>
    </w:rPr>
  </w:style>
  <w:style w:type="character" w:customStyle="1" w:styleId="TekstopmerkingChar">
    <w:name w:val="Tekst opmerking Char"/>
    <w:basedOn w:val="DefaultParagraphFont"/>
    <w:link w:val="CommentText"/>
    <w:semiHidden/>
    <w:rsid w:val="00F847FA"/>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Relationships xmlns="http://schemas.openxmlformats.org/package/2006/relationships"><Relationship Id="rId1" Type="http://schemas.microsoft.com/office/2006/relationships/attachedToolbars" Target="attachedToolbars.bin" /></Relationship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image" Target="media/image1.png" /><Relationship Id="rId12" Type="http://schemas.openxmlformats.org/officeDocument/2006/relationships/header" Target="header1.xml" /><Relationship Id="rId13" Type="http://schemas.openxmlformats.org/officeDocument/2006/relationships/footer" Target="footer1.xml" /><Relationship Id="rId14" Type="http://schemas.microsoft.com/office/2006/relationships/keyMapCustomizations" Target="customizations.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truijsg\AppData\Roaming\Microsoft\Sjablonen\normal.dot"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DocumentRootNode xmlns="http://schemas.WordDocumentGenerator.com/DocumentGeneration">
  <Document DocumentType="GenericDocumentGeneratorUsingXml" Version="1.0"/>
</DocumentRootNode>
</file>

<file path=customXml/item2.xml><?xml version="1.0" encoding="utf-8"?>
<ct:contentTypeSchema xmlns:ct="http://schemas.microsoft.com/office/2006/metadata/contentType" xmlns:ma="http://schemas.microsoft.com/office/2006/metadata/properties/metaAttributes" ct:_="" ma:_="" ma:contentTypeName="Document" ma:contentTypeID="0x01010078686B079A00AD409984EA21CA2DF79F" ma:contentTypeVersion="0" ma:contentTypeDescription="Een nieuw document maken." ma:contentTypeScope="" ma:versionID="e5d047aee3b4878bcf899404096d35d2">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8017B-AAB2-47A7-B8F7-240075C7AFB7}">
  <ds:schemaRefs>
    <ds:schemaRef ds:uri="http://schemas.WordDocumentGenerator.com/DocumentGeneration"/>
  </ds:schemaRefs>
</ds:datastoreItem>
</file>

<file path=customXml/itemProps2.xml><?xml version="1.0" encoding="utf-8"?>
<ds:datastoreItem xmlns:ds="http://schemas.openxmlformats.org/officeDocument/2006/customXml" ds:itemID="{0835F26E-C716-4E5D-96E3-95EA8C7FF2E1}">
  <ds:schemaRefs/>
</ds:datastoreItem>
</file>

<file path=customXml/itemProps3.xml><?xml version="1.0" encoding="utf-8"?>
<ds:datastoreItem xmlns:ds="http://schemas.openxmlformats.org/officeDocument/2006/customXml" ds:itemID="{7941F110-9984-4FEC-B89D-CD3D594489C8}">
  <ds:schemaRefs/>
</ds:datastoreItem>
</file>

<file path=customXml/itemProps4.xml><?xml version="1.0" encoding="utf-8"?>
<ds:datastoreItem xmlns:ds="http://schemas.openxmlformats.org/officeDocument/2006/customXml" ds:itemID="{E17795B1-5D44-4042-A7EB-BCCADD8915AD}">
  <ds:schemaRefs/>
</ds:datastoreItem>
</file>

<file path=customXml/itemProps5.xml><?xml version="1.0" encoding="utf-8"?>
<ds:datastoreItem xmlns:ds="http://schemas.openxmlformats.org/officeDocument/2006/customXml" ds:itemID="{98841013-6F4D-4F47-908F-59E87C60B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Pages>
  <Words>9</Words>
  <Characters>68</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c:description>
  <cp:revision>0</cp:revision>
  <dcterms:created xsi:type="dcterms:W3CDTF">2012-11-20T15:20:00Z</dcterms:created>
  <dcterms:modified xsi:type="dcterms:W3CDTF">2013-12-03T10:18:00Z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0x01010078686B079A00AD409984EA21CA2DF79F</vt:lpwstr>
  </property>
</Properties>
</file>