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862" w:rsidP="00341862" w:rsidRDefault="00341862">
      <w:pPr>
        <w:rPr>
          <w:rFonts w:asciiTheme="minorHAnsi" w:hAnsiTheme="minorHAnsi" w:cstheme="minorBidi"/>
          <w:b/>
          <w:bCs/>
          <w:sz w:val="22"/>
          <w:szCs w:val="22"/>
        </w:rPr>
      </w:pPr>
      <w:r w:rsidRPr="0B6B7D27">
        <w:rPr>
          <w:rFonts w:asciiTheme="minorHAnsi" w:hAnsiTheme="minorHAnsi" w:cstheme="minorBidi"/>
          <w:b/>
          <w:bCs/>
          <w:sz w:val="22"/>
          <w:szCs w:val="22"/>
        </w:rPr>
        <w:t xml:space="preserve">Overzicht nieuw gepubliceerde EU-voorstellen op het terrein van Buitenlandse </w:t>
      </w:r>
      <w:r>
        <w:rPr>
          <w:rFonts w:asciiTheme="minorHAnsi" w:hAnsiTheme="minorHAnsi" w:cstheme="minorBidi"/>
          <w:b/>
          <w:bCs/>
          <w:sz w:val="22"/>
          <w:szCs w:val="22"/>
        </w:rPr>
        <w:t xml:space="preserve">Zaken </w:t>
      </w:r>
    </w:p>
    <w:p w:rsidR="00341862" w:rsidP="00341862" w:rsidRDefault="00341862">
      <w:pPr>
        <w:rPr>
          <w:rFonts w:asciiTheme="minorHAnsi" w:hAnsiTheme="minorHAnsi" w:cstheme="minorBidi"/>
          <w:b/>
          <w:bCs/>
          <w:sz w:val="22"/>
          <w:szCs w:val="22"/>
        </w:rPr>
      </w:pPr>
    </w:p>
    <w:p w:rsidRPr="00F00DC7" w:rsidR="00341862" w:rsidP="00341862" w:rsidRDefault="00341862">
      <w:pPr>
        <w:rPr>
          <w:rFonts w:asciiTheme="minorHAnsi" w:hAnsiTheme="minorHAnsi" w:cstheme="minorBidi"/>
          <w:sz w:val="22"/>
          <w:szCs w:val="22"/>
          <w:u w:val="single"/>
        </w:rPr>
      </w:pPr>
      <w:r w:rsidRPr="0B6B7D27">
        <w:rPr>
          <w:rFonts w:asciiTheme="minorHAnsi" w:hAnsiTheme="minorHAnsi" w:cstheme="minorBidi"/>
          <w:sz w:val="22"/>
          <w:szCs w:val="22"/>
          <w:u w:val="single"/>
        </w:rPr>
        <w:t>Integraal overzicht met nieuw gepubliceerde EU-voorstellen d.d. 25 september 2020</w:t>
      </w:r>
    </w:p>
    <w:p w:rsidRPr="00F00DC7" w:rsidR="00341862" w:rsidP="00341862" w:rsidRDefault="00341862">
      <w:pPr>
        <w:rPr>
          <w:rFonts w:asciiTheme="minorHAnsi" w:hAnsiTheme="minorHAnsi" w:cstheme="minorHAnsi"/>
          <w:sz w:val="22"/>
          <w:szCs w:val="22"/>
        </w:rPr>
      </w:pPr>
    </w:p>
    <w:tbl>
      <w:tblPr>
        <w:tblW w:w="13626"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358"/>
        <w:gridCol w:w="957"/>
        <w:gridCol w:w="1328"/>
        <w:gridCol w:w="4615"/>
        <w:gridCol w:w="1171"/>
        <w:gridCol w:w="4197"/>
      </w:tblGrid>
      <w:tr w:rsidRPr="00F00DC7" w:rsidR="00341862" w:rsidTr="00341862">
        <w:trPr>
          <w:trHeight w:val="1550"/>
        </w:trPr>
        <w:tc>
          <w:tcPr>
            <w:tcW w:w="1358" w:type="dxa"/>
            <w:shd w:val="clear" w:color="auto" w:fill="auto"/>
            <w:textDirection w:val="btLr"/>
            <w:vAlign w:val="bottom"/>
            <w:hideMark/>
          </w:tcPr>
          <w:p w:rsidRPr="00F00DC7" w:rsidR="00341862" w:rsidP="00DB7024" w:rsidRDefault="00341862">
            <w:pPr>
              <w:jc w:val="center"/>
              <w:rPr>
                <w:rFonts w:asciiTheme="minorHAnsi" w:hAnsiTheme="minorHAnsi" w:cstheme="minorBidi"/>
                <w:b/>
                <w:bCs/>
                <w:color w:val="000000" w:themeColor="text1"/>
                <w:sz w:val="22"/>
                <w:szCs w:val="22"/>
              </w:rPr>
            </w:pPr>
            <w:r w:rsidRPr="0B6B7D27">
              <w:rPr>
                <w:rFonts w:asciiTheme="minorHAnsi" w:hAnsiTheme="minorHAnsi" w:cstheme="minorBidi"/>
                <w:b/>
                <w:bCs/>
                <w:color w:val="000000" w:themeColor="text1"/>
                <w:sz w:val="22"/>
                <w:szCs w:val="22"/>
              </w:rPr>
              <w:t>Publicatie-</w:t>
            </w:r>
          </w:p>
          <w:p w:rsidRPr="00F00DC7" w:rsidR="00341862" w:rsidP="00DB7024" w:rsidRDefault="00341862">
            <w:pPr>
              <w:jc w:val="center"/>
              <w:rPr>
                <w:rFonts w:asciiTheme="minorHAnsi" w:hAnsiTheme="minorHAnsi" w:cstheme="minorBidi"/>
                <w:b/>
                <w:bCs/>
                <w:color w:val="000000" w:themeColor="text1"/>
                <w:sz w:val="22"/>
                <w:szCs w:val="22"/>
              </w:rPr>
            </w:pPr>
            <w:r w:rsidRPr="0B6B7D27">
              <w:rPr>
                <w:rFonts w:asciiTheme="minorHAnsi" w:hAnsiTheme="minorHAnsi" w:cstheme="minorBidi"/>
                <w:b/>
                <w:bCs/>
                <w:color w:val="000000" w:themeColor="text1"/>
                <w:sz w:val="22"/>
                <w:szCs w:val="22"/>
              </w:rPr>
              <w:t>datum</w:t>
            </w:r>
          </w:p>
        </w:tc>
        <w:tc>
          <w:tcPr>
            <w:tcW w:w="957" w:type="dxa"/>
            <w:shd w:val="clear" w:color="auto" w:fill="auto"/>
            <w:textDirection w:val="btLr"/>
            <w:vAlign w:val="bottom"/>
            <w:hideMark/>
          </w:tcPr>
          <w:p w:rsidRPr="00F00DC7" w:rsidR="00341862" w:rsidP="00DB7024" w:rsidRDefault="00341862">
            <w:pPr>
              <w:jc w:val="center"/>
              <w:rPr>
                <w:rFonts w:asciiTheme="minorHAnsi" w:hAnsiTheme="minorHAnsi" w:cstheme="minorBidi"/>
                <w:b/>
                <w:bCs/>
                <w:color w:val="000000" w:themeColor="text1"/>
                <w:sz w:val="22"/>
                <w:szCs w:val="22"/>
              </w:rPr>
            </w:pPr>
            <w:r w:rsidRPr="0B6B7D27">
              <w:rPr>
                <w:rFonts w:asciiTheme="minorHAnsi" w:hAnsiTheme="minorHAnsi" w:cstheme="minorBidi"/>
                <w:b/>
                <w:bCs/>
                <w:color w:val="000000" w:themeColor="text1"/>
                <w:sz w:val="22"/>
                <w:szCs w:val="22"/>
              </w:rPr>
              <w:t>Voortouw</w:t>
            </w:r>
          </w:p>
        </w:tc>
        <w:tc>
          <w:tcPr>
            <w:tcW w:w="1328" w:type="dxa"/>
            <w:shd w:val="clear" w:color="auto" w:fill="auto"/>
            <w:textDirection w:val="btLr"/>
            <w:vAlign w:val="bottom"/>
            <w:hideMark/>
          </w:tcPr>
          <w:p w:rsidRPr="00F00DC7" w:rsidR="00341862" w:rsidP="00DB7024" w:rsidRDefault="00341862">
            <w:pPr>
              <w:jc w:val="center"/>
              <w:rPr>
                <w:rFonts w:asciiTheme="minorHAnsi" w:hAnsiTheme="minorHAnsi" w:cstheme="minorBidi"/>
                <w:b/>
                <w:bCs/>
                <w:color w:val="000000" w:themeColor="text1"/>
                <w:sz w:val="22"/>
                <w:szCs w:val="22"/>
              </w:rPr>
            </w:pPr>
            <w:r w:rsidRPr="0B6B7D27">
              <w:rPr>
                <w:rFonts w:asciiTheme="minorHAnsi" w:hAnsiTheme="minorHAnsi" w:cstheme="minorBidi"/>
                <w:b/>
                <w:bCs/>
                <w:color w:val="000000" w:themeColor="text1"/>
                <w:sz w:val="22"/>
                <w:szCs w:val="22"/>
              </w:rPr>
              <w:t>Soort</w:t>
            </w:r>
          </w:p>
        </w:tc>
        <w:tc>
          <w:tcPr>
            <w:tcW w:w="4615" w:type="dxa"/>
            <w:shd w:val="clear" w:color="auto" w:fill="auto"/>
            <w:textDirection w:val="btLr"/>
            <w:vAlign w:val="bottom"/>
            <w:hideMark/>
          </w:tcPr>
          <w:p w:rsidRPr="00F00DC7" w:rsidR="00341862" w:rsidP="00DB7024" w:rsidRDefault="00341862">
            <w:pPr>
              <w:jc w:val="center"/>
              <w:rPr>
                <w:rFonts w:asciiTheme="minorHAnsi" w:hAnsiTheme="minorHAnsi" w:cstheme="minorBidi"/>
                <w:b/>
                <w:bCs/>
                <w:color w:val="000000" w:themeColor="text1"/>
                <w:sz w:val="22"/>
                <w:szCs w:val="22"/>
              </w:rPr>
            </w:pPr>
            <w:r w:rsidRPr="0B6B7D27">
              <w:rPr>
                <w:rFonts w:asciiTheme="minorHAnsi" w:hAnsiTheme="minorHAnsi" w:cstheme="minorBidi"/>
                <w:b/>
                <w:bCs/>
                <w:color w:val="000000" w:themeColor="text1"/>
                <w:sz w:val="22"/>
                <w:szCs w:val="22"/>
              </w:rPr>
              <w:t>Titel</w:t>
            </w:r>
          </w:p>
        </w:tc>
        <w:tc>
          <w:tcPr>
            <w:tcW w:w="1171" w:type="dxa"/>
            <w:shd w:val="clear" w:color="auto" w:fill="auto"/>
            <w:textDirection w:val="btLr"/>
            <w:vAlign w:val="bottom"/>
            <w:hideMark/>
          </w:tcPr>
          <w:p w:rsidRPr="00F00DC7" w:rsidR="00341862" w:rsidP="00DB7024" w:rsidRDefault="00341862">
            <w:pPr>
              <w:jc w:val="center"/>
              <w:rPr>
                <w:rFonts w:asciiTheme="minorHAnsi" w:hAnsiTheme="minorHAnsi" w:cstheme="minorBidi"/>
                <w:b/>
                <w:bCs/>
                <w:color w:val="000000" w:themeColor="text1"/>
                <w:sz w:val="22"/>
                <w:szCs w:val="22"/>
              </w:rPr>
            </w:pPr>
            <w:r w:rsidRPr="0B6B7D27">
              <w:rPr>
                <w:rFonts w:asciiTheme="minorHAnsi" w:hAnsiTheme="minorHAnsi" w:cstheme="minorBidi"/>
                <w:b/>
                <w:bCs/>
                <w:color w:val="000000" w:themeColor="text1"/>
                <w:sz w:val="22"/>
                <w:szCs w:val="22"/>
              </w:rPr>
              <w:t>COM-nummer</w:t>
            </w:r>
          </w:p>
        </w:tc>
        <w:tc>
          <w:tcPr>
            <w:tcW w:w="4197" w:type="dxa"/>
            <w:shd w:val="clear" w:color="auto" w:fill="auto"/>
            <w:textDirection w:val="btLr"/>
            <w:vAlign w:val="bottom"/>
            <w:hideMark/>
          </w:tcPr>
          <w:p w:rsidRPr="00F00DC7" w:rsidR="00341862" w:rsidP="00DB7024" w:rsidRDefault="00341862">
            <w:pPr>
              <w:jc w:val="center"/>
              <w:rPr>
                <w:rFonts w:asciiTheme="minorHAnsi" w:hAnsiTheme="minorHAnsi" w:cstheme="minorBidi"/>
                <w:b/>
                <w:bCs/>
                <w:color w:val="000000" w:themeColor="text1"/>
                <w:sz w:val="22"/>
                <w:szCs w:val="22"/>
              </w:rPr>
            </w:pPr>
            <w:r w:rsidRPr="0B6B7D27">
              <w:rPr>
                <w:rFonts w:asciiTheme="minorHAnsi" w:hAnsiTheme="minorHAnsi" w:cstheme="minorBidi"/>
                <w:b/>
                <w:bCs/>
                <w:color w:val="000000" w:themeColor="text1"/>
                <w:sz w:val="22"/>
                <w:szCs w:val="22"/>
              </w:rPr>
              <w:t>Opmerking</w:t>
            </w:r>
          </w:p>
        </w:tc>
      </w:tr>
      <w:tr w:rsidRPr="00F00DC7" w:rsidR="00341862" w:rsidTr="00341862">
        <w:trPr>
          <w:trHeight w:val="300"/>
        </w:trPr>
        <w:tc>
          <w:tcPr>
            <w:tcW w:w="1358" w:type="dxa"/>
            <w:tcBorders>
              <w:bottom w:val="single" w:color="auto" w:sz="4" w:space="0"/>
            </w:tcBorders>
            <w:shd w:val="clear" w:color="auto" w:fill="538DD5"/>
            <w:vAlign w:val="bottom"/>
            <w:hideMark/>
          </w:tcPr>
          <w:p w:rsidRPr="00F00DC7" w:rsidR="00341862" w:rsidP="00DB7024" w:rsidRDefault="00341862">
            <w:pPr>
              <w:jc w:val="center"/>
              <w:rPr>
                <w:rFonts w:asciiTheme="minorHAnsi" w:hAnsiTheme="minorHAnsi" w:cstheme="minorBidi"/>
                <w:b/>
                <w:bCs/>
                <w:color w:val="000000" w:themeColor="text1"/>
                <w:sz w:val="22"/>
                <w:szCs w:val="22"/>
              </w:rPr>
            </w:pPr>
            <w:r w:rsidRPr="0B6B7D27">
              <w:rPr>
                <w:rFonts w:asciiTheme="minorHAnsi" w:hAnsiTheme="minorHAnsi" w:cstheme="minorBidi"/>
                <w:b/>
                <w:bCs/>
                <w:color w:val="000000" w:themeColor="text1"/>
                <w:sz w:val="22"/>
                <w:szCs w:val="22"/>
              </w:rPr>
              <w:t> </w:t>
            </w:r>
          </w:p>
        </w:tc>
        <w:tc>
          <w:tcPr>
            <w:tcW w:w="957" w:type="dxa"/>
            <w:tcBorders>
              <w:bottom w:val="single" w:color="auto" w:sz="4" w:space="0"/>
            </w:tcBorders>
            <w:shd w:val="clear" w:color="auto" w:fill="538DD5"/>
            <w:vAlign w:val="bottom"/>
            <w:hideMark/>
          </w:tcPr>
          <w:p w:rsidRPr="00F00DC7" w:rsidR="00341862" w:rsidP="00DB7024" w:rsidRDefault="00341862">
            <w:pPr>
              <w:jc w:val="center"/>
              <w:rPr>
                <w:rFonts w:asciiTheme="minorHAnsi" w:hAnsiTheme="minorHAnsi" w:cstheme="minorBidi"/>
                <w:b/>
                <w:bCs/>
                <w:color w:val="000000" w:themeColor="text1"/>
                <w:sz w:val="22"/>
                <w:szCs w:val="22"/>
              </w:rPr>
            </w:pPr>
            <w:r w:rsidRPr="0B6B7D27">
              <w:rPr>
                <w:rFonts w:asciiTheme="minorHAnsi" w:hAnsiTheme="minorHAnsi" w:cstheme="minorBidi"/>
                <w:b/>
                <w:bCs/>
                <w:color w:val="000000" w:themeColor="text1"/>
                <w:sz w:val="22"/>
                <w:szCs w:val="22"/>
              </w:rPr>
              <w:t> </w:t>
            </w:r>
          </w:p>
        </w:tc>
        <w:tc>
          <w:tcPr>
            <w:tcW w:w="1328" w:type="dxa"/>
            <w:tcBorders>
              <w:bottom w:val="single" w:color="auto" w:sz="4" w:space="0"/>
            </w:tcBorders>
            <w:shd w:val="clear" w:color="auto" w:fill="538DD5"/>
            <w:vAlign w:val="bottom"/>
            <w:hideMark/>
          </w:tcPr>
          <w:p w:rsidRPr="00F00DC7" w:rsidR="00341862" w:rsidP="00DB7024" w:rsidRDefault="00341862">
            <w:pPr>
              <w:rPr>
                <w:rFonts w:asciiTheme="minorHAnsi" w:hAnsiTheme="minorHAnsi" w:cstheme="minorBidi"/>
                <w:b/>
                <w:bCs/>
                <w:color w:val="000000" w:themeColor="text1"/>
                <w:sz w:val="22"/>
                <w:szCs w:val="22"/>
              </w:rPr>
            </w:pPr>
            <w:r w:rsidRPr="0B6B7D27">
              <w:rPr>
                <w:rFonts w:asciiTheme="minorHAnsi" w:hAnsiTheme="minorHAnsi" w:cstheme="minorBidi"/>
                <w:b/>
                <w:bCs/>
                <w:color w:val="000000" w:themeColor="text1"/>
                <w:sz w:val="22"/>
                <w:szCs w:val="22"/>
              </w:rPr>
              <w:t> </w:t>
            </w:r>
          </w:p>
        </w:tc>
        <w:tc>
          <w:tcPr>
            <w:tcW w:w="4615" w:type="dxa"/>
            <w:tcBorders>
              <w:bottom w:val="single" w:color="auto" w:sz="4" w:space="0"/>
            </w:tcBorders>
            <w:shd w:val="clear" w:color="auto" w:fill="538DD5"/>
            <w:vAlign w:val="bottom"/>
            <w:hideMark/>
          </w:tcPr>
          <w:p w:rsidRPr="00F00DC7" w:rsidR="00341862" w:rsidP="00DB7024" w:rsidRDefault="00341862">
            <w:pPr>
              <w:jc w:val="center"/>
              <w:rPr>
                <w:rFonts w:asciiTheme="minorHAnsi" w:hAnsiTheme="minorHAnsi" w:cstheme="minorBidi"/>
                <w:b/>
                <w:bCs/>
                <w:color w:val="000000" w:themeColor="text1"/>
                <w:sz w:val="22"/>
                <w:szCs w:val="22"/>
              </w:rPr>
            </w:pPr>
            <w:r w:rsidRPr="0B6B7D27">
              <w:rPr>
                <w:rFonts w:asciiTheme="minorHAnsi" w:hAnsiTheme="minorHAnsi" w:cstheme="minorBidi"/>
                <w:b/>
                <w:bCs/>
                <w:color w:val="000000" w:themeColor="text1"/>
                <w:sz w:val="22"/>
                <w:szCs w:val="22"/>
              </w:rPr>
              <w:t> </w:t>
            </w:r>
          </w:p>
        </w:tc>
        <w:tc>
          <w:tcPr>
            <w:tcW w:w="1171" w:type="dxa"/>
            <w:tcBorders>
              <w:bottom w:val="single" w:color="auto" w:sz="4" w:space="0"/>
            </w:tcBorders>
            <w:shd w:val="clear" w:color="auto" w:fill="538DD5"/>
            <w:vAlign w:val="bottom"/>
            <w:hideMark/>
          </w:tcPr>
          <w:p w:rsidRPr="00F00DC7" w:rsidR="00341862" w:rsidP="00DB7024" w:rsidRDefault="00341862">
            <w:pPr>
              <w:jc w:val="center"/>
              <w:rPr>
                <w:rFonts w:asciiTheme="minorHAnsi" w:hAnsiTheme="minorHAnsi" w:cstheme="minorBidi"/>
                <w:b/>
                <w:bCs/>
                <w:color w:val="000000" w:themeColor="text1"/>
                <w:sz w:val="22"/>
                <w:szCs w:val="22"/>
              </w:rPr>
            </w:pPr>
            <w:r w:rsidRPr="0B6B7D27">
              <w:rPr>
                <w:rFonts w:asciiTheme="minorHAnsi" w:hAnsiTheme="minorHAnsi" w:cstheme="minorBidi"/>
                <w:b/>
                <w:bCs/>
                <w:color w:val="000000" w:themeColor="text1"/>
                <w:sz w:val="22"/>
                <w:szCs w:val="22"/>
              </w:rPr>
              <w:t> </w:t>
            </w:r>
          </w:p>
        </w:tc>
        <w:tc>
          <w:tcPr>
            <w:tcW w:w="4197" w:type="dxa"/>
            <w:tcBorders>
              <w:bottom w:val="single" w:color="auto" w:sz="4" w:space="0"/>
            </w:tcBorders>
            <w:shd w:val="clear" w:color="auto" w:fill="538DD5"/>
            <w:hideMark/>
          </w:tcPr>
          <w:p w:rsidRPr="00F00DC7" w:rsidR="00341862" w:rsidP="00DB7024" w:rsidRDefault="00341862">
            <w:pPr>
              <w:rPr>
                <w:rFonts w:asciiTheme="minorHAnsi" w:hAnsiTheme="minorHAnsi" w:cstheme="minorBidi"/>
                <w:b/>
                <w:bCs/>
                <w:color w:val="000000" w:themeColor="text1"/>
                <w:sz w:val="22"/>
                <w:szCs w:val="22"/>
              </w:rPr>
            </w:pPr>
            <w:r w:rsidRPr="0B6B7D27">
              <w:rPr>
                <w:rFonts w:asciiTheme="minorHAnsi" w:hAnsiTheme="minorHAnsi" w:cstheme="minorBidi"/>
                <w:b/>
                <w:bCs/>
                <w:color w:val="000000" w:themeColor="text1"/>
                <w:sz w:val="22"/>
                <w:szCs w:val="22"/>
              </w:rPr>
              <w:t> </w:t>
            </w:r>
          </w:p>
        </w:tc>
      </w:tr>
      <w:tr w:rsidR="00341862" w:rsidTr="00341862">
        <w:trPr>
          <w:trHeight w:val="1140"/>
        </w:trPr>
        <w:tc>
          <w:tcPr>
            <w:tcW w:w="1358" w:type="dxa"/>
            <w:shd w:val="clear" w:color="auto" w:fill="auto"/>
            <w:noWrap/>
          </w:tcPr>
          <w:p w:rsidR="00341862" w:rsidP="00DB7024" w:rsidRDefault="00341862">
            <w:pPr>
              <w:rPr>
                <w:rFonts w:ascii="Calibri" w:hAnsi="Calibri" w:cs="Calibri"/>
                <w:color w:val="000000" w:themeColor="text1"/>
                <w:sz w:val="22"/>
                <w:szCs w:val="22"/>
              </w:rPr>
            </w:pPr>
            <w:r>
              <w:rPr>
                <w:rFonts w:ascii="Calibri" w:hAnsi="Calibri" w:cs="Calibri"/>
                <w:color w:val="000000" w:themeColor="text1"/>
                <w:sz w:val="22"/>
                <w:szCs w:val="22"/>
              </w:rPr>
              <w:t xml:space="preserve">3 september 2020 </w:t>
            </w:r>
          </w:p>
        </w:tc>
        <w:tc>
          <w:tcPr>
            <w:tcW w:w="957" w:type="dxa"/>
            <w:shd w:val="clear" w:color="auto" w:fill="auto"/>
            <w:noWrap/>
          </w:tcPr>
          <w:p w:rsidR="00341862" w:rsidP="00DB7024" w:rsidRDefault="00341862">
            <w:pPr>
              <w:rPr>
                <w:rFonts w:ascii="Calibri" w:hAnsi="Calibri" w:cs="Calibri"/>
                <w:color w:val="000000" w:themeColor="text1"/>
                <w:sz w:val="22"/>
                <w:szCs w:val="22"/>
              </w:rPr>
            </w:pPr>
            <w:r w:rsidRPr="0B6B7D27">
              <w:rPr>
                <w:rFonts w:ascii="Calibri" w:hAnsi="Calibri" w:cs="Calibri"/>
                <w:color w:val="000000" w:themeColor="text1"/>
                <w:sz w:val="22"/>
                <w:szCs w:val="22"/>
              </w:rPr>
              <w:t>Bu</w:t>
            </w:r>
            <w:r>
              <w:rPr>
                <w:rFonts w:ascii="Calibri" w:hAnsi="Calibri" w:cs="Calibri"/>
                <w:color w:val="000000" w:themeColor="text1"/>
                <w:sz w:val="22"/>
                <w:szCs w:val="22"/>
              </w:rPr>
              <w:t>Za</w:t>
            </w:r>
          </w:p>
        </w:tc>
        <w:tc>
          <w:tcPr>
            <w:tcW w:w="1328" w:type="dxa"/>
            <w:shd w:val="clear" w:color="auto" w:fill="auto"/>
            <w:noWrap/>
          </w:tcPr>
          <w:p w:rsidR="00341862" w:rsidP="00DB7024" w:rsidRDefault="00341862">
            <w:pPr>
              <w:rPr>
                <w:rFonts w:ascii="Calibri" w:hAnsi="Calibri" w:cs="Calibri"/>
                <w:color w:val="000000" w:themeColor="text1"/>
                <w:sz w:val="22"/>
                <w:szCs w:val="22"/>
              </w:rPr>
            </w:pPr>
            <w:r w:rsidRPr="0B6B7D27">
              <w:rPr>
                <w:rFonts w:ascii="Calibri" w:hAnsi="Calibri" w:cs="Calibri"/>
                <w:color w:val="000000" w:themeColor="text1"/>
                <w:sz w:val="22"/>
                <w:szCs w:val="22"/>
              </w:rPr>
              <w:t>Besluit</w:t>
            </w:r>
          </w:p>
        </w:tc>
        <w:tc>
          <w:tcPr>
            <w:tcW w:w="4615" w:type="dxa"/>
            <w:shd w:val="clear" w:color="auto" w:fill="auto"/>
          </w:tcPr>
          <w:p w:rsidR="00341862" w:rsidP="00DB7024" w:rsidRDefault="00341862">
            <w:pPr>
              <w:rPr>
                <w:rFonts w:ascii="Calibri" w:hAnsi="Calibri" w:cs="Calibri"/>
                <w:color w:val="000000" w:themeColor="text1"/>
                <w:sz w:val="22"/>
                <w:szCs w:val="22"/>
              </w:rPr>
            </w:pPr>
            <w:r w:rsidRPr="00341862">
              <w:rPr>
                <w:rFonts w:ascii="Calibri" w:hAnsi="Calibri" w:cs="Calibri" w:eastAsiaTheme="minorHAnsi"/>
                <w:color w:val="000000"/>
                <w:sz w:val="22"/>
                <w:szCs w:val="22"/>
              </w:rPr>
              <w:t>Voorstel voor een BESLUIT VAN DE RAAD betreffende de toewijzing van geannuleerde middelen van projecten uit het tiende Europees Ontwikkelingsfonds met het oog op aanvullende financiering van de Vredesfaciliteit voor Afrika</w:t>
            </w:r>
          </w:p>
        </w:tc>
        <w:tc>
          <w:tcPr>
            <w:tcW w:w="1171" w:type="dxa"/>
            <w:shd w:val="clear" w:color="auto" w:fill="auto"/>
            <w:noWrap/>
          </w:tcPr>
          <w:p w:rsidR="00341862" w:rsidP="00DB7024" w:rsidRDefault="00F4235A">
            <w:pPr>
              <w:rPr>
                <w:rFonts w:ascii="Calibri" w:hAnsi="Calibri" w:cs="Calibri"/>
                <w:color w:val="0000FF"/>
                <w:sz w:val="22"/>
                <w:szCs w:val="22"/>
                <w:u w:val="single"/>
              </w:rPr>
            </w:pPr>
            <w:hyperlink w:history="1" r:id="rId7">
              <w:r w:rsidRPr="00341862" w:rsidR="00341862">
                <w:rPr>
                  <w:rFonts w:ascii="Calibri" w:hAnsi="Calibri" w:cs="Calibri" w:eastAsiaTheme="minorHAnsi"/>
                  <w:color w:val="0000FF"/>
                  <w:sz w:val="22"/>
                  <w:szCs w:val="22"/>
                  <w:u w:val="single"/>
                </w:rPr>
                <w:t>COM (2020) 477</w:t>
              </w:r>
            </w:hyperlink>
          </w:p>
        </w:tc>
        <w:tc>
          <w:tcPr>
            <w:tcW w:w="4197" w:type="dxa"/>
            <w:tcBorders>
              <w:top w:val="single" w:color="auto" w:sz="4" w:space="0"/>
              <w:bottom w:val="single" w:color="auto" w:sz="4" w:space="0"/>
            </w:tcBorders>
            <w:shd w:val="clear" w:color="auto" w:fill="auto"/>
          </w:tcPr>
          <w:p w:rsidRPr="00091856" w:rsidR="00341862" w:rsidP="00DB7024" w:rsidRDefault="00341862">
            <w:pPr>
              <w:rPr>
                <w:rFonts w:ascii="Calibri" w:hAnsi="Calibri" w:cs="Calibri"/>
                <w:sz w:val="22"/>
                <w:szCs w:val="22"/>
                <w:lang w:eastAsia="en-US"/>
              </w:rPr>
            </w:pPr>
            <w:r w:rsidRPr="0B6B7D27">
              <w:rPr>
                <w:rFonts w:ascii="Calibri" w:hAnsi="Calibri" w:cs="Calibri"/>
                <w:b/>
                <w:bCs/>
                <w:sz w:val="22"/>
                <w:szCs w:val="22"/>
                <w:lang w:eastAsia="en-US"/>
              </w:rPr>
              <w:t>Voorstel</w:t>
            </w:r>
            <w:r w:rsidRPr="0B6B7D27">
              <w:rPr>
                <w:rFonts w:ascii="Calibri" w:hAnsi="Calibri" w:cs="Calibri"/>
                <w:sz w:val="22"/>
                <w:szCs w:val="22"/>
                <w:lang w:eastAsia="en-US"/>
              </w:rPr>
              <w:t xml:space="preserve">: </w:t>
            </w:r>
            <w:r w:rsidR="00C51883">
              <w:rPr>
                <w:rFonts w:ascii="Calibri" w:hAnsi="Calibri" w:cs="Calibri"/>
                <w:sz w:val="22"/>
                <w:szCs w:val="22"/>
                <w:lang w:eastAsia="en-US"/>
              </w:rPr>
              <w:t xml:space="preserve">Voor kennisgeving aannemen. </w:t>
            </w:r>
          </w:p>
          <w:p w:rsidRPr="004A39AA" w:rsidR="00341862" w:rsidP="00DB7024" w:rsidRDefault="00341862">
            <w:pPr>
              <w:rPr>
                <w:rFonts w:asciiTheme="minorHAnsi" w:hAnsiTheme="minorHAnsi" w:cstheme="minorHAnsi"/>
                <w:noProof/>
                <w:sz w:val="22"/>
                <w:szCs w:val="22"/>
              </w:rPr>
            </w:pPr>
            <w:bookmarkStart w:name="_GoBack" w:id="0"/>
            <w:bookmarkEnd w:id="0"/>
            <w:r w:rsidRPr="004A39AA">
              <w:rPr>
                <w:rFonts w:asciiTheme="minorHAnsi" w:hAnsiTheme="minorHAnsi" w:cstheme="minorHAnsi"/>
                <w:b/>
                <w:bCs/>
                <w:sz w:val="22"/>
                <w:szCs w:val="22"/>
                <w:lang w:eastAsia="en-US"/>
              </w:rPr>
              <w:t>Noot</w:t>
            </w:r>
            <w:r w:rsidRPr="004A39AA">
              <w:rPr>
                <w:rFonts w:asciiTheme="minorHAnsi" w:hAnsiTheme="minorHAnsi" w:cstheme="minorHAnsi"/>
                <w:sz w:val="22"/>
                <w:szCs w:val="22"/>
                <w:lang w:eastAsia="en-US"/>
              </w:rPr>
              <w:t xml:space="preserve">: </w:t>
            </w:r>
            <w:r w:rsidRPr="004A39AA" w:rsidR="004A39AA">
              <w:rPr>
                <w:rFonts w:asciiTheme="minorHAnsi" w:hAnsiTheme="minorHAnsi" w:cstheme="minorHAnsi"/>
                <w:noProof/>
                <w:sz w:val="22"/>
                <w:szCs w:val="22"/>
              </w:rPr>
              <w:t xml:space="preserve">Het doel van dit voorstel is van de Raad toestemming te krijgen om geannuleerde middelen uit het tiende </w:t>
            </w:r>
            <w:r w:rsidR="004A39AA">
              <w:rPr>
                <w:rFonts w:asciiTheme="minorHAnsi" w:hAnsiTheme="minorHAnsi" w:cstheme="minorHAnsi"/>
                <w:noProof/>
                <w:sz w:val="22"/>
                <w:szCs w:val="22"/>
              </w:rPr>
              <w:t>Europees Ontwikkelingsfonds (</w:t>
            </w:r>
            <w:r w:rsidRPr="004A39AA" w:rsidR="004A39AA">
              <w:rPr>
                <w:rFonts w:asciiTheme="minorHAnsi" w:hAnsiTheme="minorHAnsi" w:cstheme="minorHAnsi"/>
                <w:noProof/>
                <w:sz w:val="22"/>
                <w:szCs w:val="22"/>
              </w:rPr>
              <w:t>EOF</w:t>
            </w:r>
            <w:r w:rsidR="004A39AA">
              <w:rPr>
                <w:rFonts w:asciiTheme="minorHAnsi" w:hAnsiTheme="minorHAnsi" w:cstheme="minorHAnsi"/>
                <w:noProof/>
                <w:sz w:val="22"/>
                <w:szCs w:val="22"/>
              </w:rPr>
              <w:t>)</w:t>
            </w:r>
            <w:r w:rsidRPr="004A39AA" w:rsidR="004A39AA">
              <w:rPr>
                <w:rFonts w:asciiTheme="minorHAnsi" w:hAnsiTheme="minorHAnsi" w:cstheme="minorHAnsi"/>
                <w:noProof/>
                <w:sz w:val="22"/>
                <w:szCs w:val="22"/>
              </w:rPr>
              <w:t xml:space="preserve"> aan te wenden voor aanvullende financiering van de Vredesfaciliteit voor Afrika, voor een extra bedrag van maximaal 129 miljoen</w:t>
            </w:r>
            <w:r w:rsidR="004A39AA">
              <w:rPr>
                <w:rFonts w:asciiTheme="minorHAnsi" w:hAnsiTheme="minorHAnsi" w:cstheme="minorHAnsi"/>
                <w:noProof/>
                <w:sz w:val="22"/>
                <w:szCs w:val="22"/>
              </w:rPr>
              <w:t xml:space="preserve"> euro.</w:t>
            </w:r>
            <w:r w:rsidRPr="004A39AA" w:rsidR="004A39AA">
              <w:rPr>
                <w:rFonts w:asciiTheme="minorHAnsi" w:hAnsiTheme="minorHAnsi" w:cstheme="minorHAnsi"/>
                <w:noProof/>
                <w:sz w:val="22"/>
                <w:szCs w:val="22"/>
              </w:rPr>
              <w:t xml:space="preserve"> Deze middelen zullen worden gebruikt met toepassing van de verdeelsleutel van de lidstaten van het tiende EOF</w:t>
            </w:r>
            <w:r w:rsidRPr="004A39AA" w:rsidR="004A39AA">
              <w:rPr>
                <w:rStyle w:val="Voetnootmarkering"/>
                <w:rFonts w:asciiTheme="minorHAnsi" w:hAnsiTheme="minorHAnsi" w:cstheme="minorHAnsi"/>
                <w:noProof/>
                <w:sz w:val="22"/>
                <w:szCs w:val="22"/>
              </w:rPr>
              <w:footnoteReference w:id="1"/>
            </w:r>
            <w:r w:rsidRPr="004A39AA" w:rsidR="004A39AA">
              <w:rPr>
                <w:rFonts w:asciiTheme="minorHAnsi" w:hAnsiTheme="minorHAnsi" w:cstheme="minorHAnsi"/>
                <w:noProof/>
                <w:sz w:val="22"/>
                <w:szCs w:val="22"/>
              </w:rPr>
              <w:t>.</w:t>
            </w:r>
          </w:p>
          <w:p w:rsidRPr="00091856" w:rsidR="00341862" w:rsidP="00DB7024" w:rsidRDefault="00341862">
            <w:pPr>
              <w:rPr>
                <w:rFonts w:ascii="Calibri" w:hAnsi="Calibri" w:cs="Calibri"/>
                <w:sz w:val="22"/>
                <w:szCs w:val="22"/>
              </w:rPr>
            </w:pPr>
          </w:p>
        </w:tc>
      </w:tr>
    </w:tbl>
    <w:p w:rsidR="00D875BC" w:rsidRDefault="00F4235A"/>
    <w:p w:rsidR="00341862" w:rsidRDefault="00341862"/>
    <w:sectPr w:rsidR="00341862" w:rsidSect="00341862">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9AA" w:rsidRDefault="004A39AA" w:rsidP="004A39AA">
      <w:r>
        <w:separator/>
      </w:r>
    </w:p>
  </w:endnote>
  <w:endnote w:type="continuationSeparator" w:id="0">
    <w:p w:rsidR="004A39AA" w:rsidRDefault="004A39AA" w:rsidP="004A3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9AA" w:rsidRDefault="004A39AA" w:rsidP="004A39AA">
      <w:r>
        <w:separator/>
      </w:r>
    </w:p>
  </w:footnote>
  <w:footnote w:type="continuationSeparator" w:id="0">
    <w:p w:rsidR="004A39AA" w:rsidRDefault="004A39AA" w:rsidP="004A39AA">
      <w:r>
        <w:continuationSeparator/>
      </w:r>
    </w:p>
  </w:footnote>
  <w:footnote w:id="1">
    <w:p w:rsidR="004A39AA" w:rsidRPr="004A39AA" w:rsidRDefault="004A39AA" w:rsidP="004A39AA">
      <w:pPr>
        <w:pStyle w:val="Voetnoottekst"/>
        <w:rPr>
          <w:rFonts w:asciiTheme="minorHAnsi" w:hAnsiTheme="minorHAnsi" w:cstheme="minorHAnsi"/>
          <w:sz w:val="16"/>
          <w:szCs w:val="16"/>
        </w:rPr>
      </w:pPr>
      <w:r w:rsidRPr="004A39AA">
        <w:rPr>
          <w:rStyle w:val="Voetnootmarkering"/>
          <w:rFonts w:asciiTheme="minorHAnsi" w:hAnsiTheme="minorHAnsi" w:cstheme="minorHAnsi"/>
          <w:sz w:val="16"/>
          <w:szCs w:val="16"/>
        </w:rPr>
        <w:footnoteRef/>
      </w:r>
      <w:r w:rsidRPr="004A39AA">
        <w:rPr>
          <w:rFonts w:asciiTheme="minorHAnsi" w:hAnsiTheme="minorHAnsi" w:cstheme="minorHAnsi"/>
          <w:sz w:val="16"/>
          <w:szCs w:val="16"/>
        </w:rPr>
        <w:tab/>
        <w:t xml:space="preserve">Dit vormt geen precedent wat betreft het mogelijke toekomstige gebruik van geannuleerde middelen van eerdere </w:t>
      </w:r>
      <w:proofErr w:type="spellStart"/>
      <w:r w:rsidRPr="004A39AA">
        <w:rPr>
          <w:rFonts w:asciiTheme="minorHAnsi" w:hAnsiTheme="minorHAnsi" w:cstheme="minorHAnsi"/>
          <w:sz w:val="16"/>
          <w:szCs w:val="16"/>
        </w:rPr>
        <w:t>EOF’s</w:t>
      </w:r>
      <w:proofErr w:type="spellEnd"/>
      <w:r w:rsidRPr="004A39AA">
        <w:rPr>
          <w:rFonts w:asciiTheme="minorHAnsi" w:hAnsiTheme="minorHAnsi" w:cstheme="minorHAnsi"/>
          <w:sz w:val="16"/>
          <w:szCs w:val="16"/>
        </w:rPr>
        <w:t>; daarover moeten de lidstaten immers geval per geval beslissen overeenkomstig artikel 55 van Verordening (EU) 2018/1877 van de Raad van 26 november 2018 inzake het financieel reglement van toepassing op het 11e Europees Ontwikkelingsfonds.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862"/>
    <w:rsid w:val="002476FC"/>
    <w:rsid w:val="00341862"/>
    <w:rsid w:val="004A39AA"/>
    <w:rsid w:val="00C51883"/>
    <w:rsid w:val="00F423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85A7C"/>
  <w15:chartTrackingRefBased/>
  <w15:docId w15:val="{3A1FD864-6303-4706-A5E4-28C33568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41862"/>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41862"/>
    <w:rPr>
      <w:color w:val="0000FF"/>
      <w:u w:val="single"/>
    </w:rPr>
  </w:style>
  <w:style w:type="paragraph" w:styleId="Voetnoottekst">
    <w:name w:val="footnote text"/>
    <w:basedOn w:val="Standaard"/>
    <w:link w:val="VoetnoottekstChar"/>
    <w:uiPriority w:val="99"/>
    <w:semiHidden/>
    <w:unhideWhenUsed/>
    <w:rsid w:val="004A39AA"/>
    <w:pPr>
      <w:ind w:left="720" w:hanging="720"/>
      <w:jc w:val="both"/>
    </w:pPr>
    <w:rPr>
      <w:rFonts w:eastAsiaTheme="minorHAnsi"/>
      <w:sz w:val="20"/>
      <w:szCs w:val="20"/>
      <w:lang w:eastAsia="en-US"/>
    </w:rPr>
  </w:style>
  <w:style w:type="character" w:customStyle="1" w:styleId="VoetnoottekstChar">
    <w:name w:val="Voetnoottekst Char"/>
    <w:basedOn w:val="Standaardalinea-lettertype"/>
    <w:link w:val="Voetnoottekst"/>
    <w:uiPriority w:val="99"/>
    <w:semiHidden/>
    <w:rsid w:val="004A39AA"/>
    <w:rPr>
      <w:rFonts w:ascii="Times New Roman" w:hAnsi="Times New Roman" w:cs="Times New Roman"/>
      <w:sz w:val="20"/>
      <w:szCs w:val="20"/>
    </w:rPr>
  </w:style>
  <w:style w:type="character" w:styleId="Voetnootmarkering">
    <w:name w:val="footnote reference"/>
    <w:basedOn w:val="Standaardalinea-lettertype"/>
    <w:uiPriority w:val="99"/>
    <w:semiHidden/>
    <w:unhideWhenUsed/>
    <w:rsid w:val="004A39AA"/>
    <w:rPr>
      <w:shd w:val="clear" w:color="auto" w:fill="auto"/>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secure.ipex.eu/IPEXL-WEB/dossier/document/COM20200477.do" TargetMode="Externa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157</ap:Words>
  <ap:Characters>868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2020-09-21T12:58:00.0000000Z</dcterms:created>
  <dcterms:modified xsi:type="dcterms:W3CDTF">2020-09-24T12:38:00.0000000Z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0x010100F98316D318AD274AA1BE54A759FAD52B</vt:lpwstr>
  </property>
</Properties>
</file>