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C411F" w:rsidR="007C411F" w:rsidP="000D0DF5" w:rsidRDefault="007C411F">
            <w:pPr>
              <w:tabs>
                <w:tab w:val="left" w:pos="-1440"/>
                <w:tab w:val="left" w:pos="-720"/>
              </w:tabs>
              <w:suppressAutoHyphens/>
              <w:rPr>
                <w:rFonts w:ascii="Times New Roman" w:hAnsi="Times New Roman"/>
              </w:rPr>
            </w:pPr>
            <w:r w:rsidRPr="007C411F">
              <w:rPr>
                <w:rFonts w:ascii="Times New Roman" w:hAnsi="Times New Roman"/>
              </w:rPr>
              <w:t>De Tweede Kamer der Staten-</w:t>
            </w:r>
            <w:r w:rsidRPr="007C411F">
              <w:rPr>
                <w:rFonts w:ascii="Times New Roman" w:hAnsi="Times New Roman"/>
              </w:rPr>
              <w:fldChar w:fldCharType="begin"/>
            </w:r>
            <w:r w:rsidRPr="007C411F">
              <w:rPr>
                <w:rFonts w:ascii="Times New Roman" w:hAnsi="Times New Roman"/>
              </w:rPr>
              <w:instrText xml:space="preserve">PRIVATE </w:instrText>
            </w:r>
            <w:r w:rsidRPr="007C411F">
              <w:rPr>
                <w:rFonts w:ascii="Times New Roman" w:hAnsi="Times New Roman"/>
              </w:rPr>
              <w:fldChar w:fldCharType="end"/>
            </w:r>
          </w:p>
          <w:p w:rsidRPr="007C411F" w:rsidR="007C411F" w:rsidP="000D0DF5" w:rsidRDefault="007C411F">
            <w:pPr>
              <w:tabs>
                <w:tab w:val="left" w:pos="-1440"/>
                <w:tab w:val="left" w:pos="-720"/>
              </w:tabs>
              <w:suppressAutoHyphens/>
              <w:rPr>
                <w:rFonts w:ascii="Times New Roman" w:hAnsi="Times New Roman"/>
              </w:rPr>
            </w:pPr>
            <w:r w:rsidRPr="007C411F">
              <w:rPr>
                <w:rFonts w:ascii="Times New Roman" w:hAnsi="Times New Roman"/>
              </w:rPr>
              <w:t>Generaal zendt bijgaand door</w:t>
            </w:r>
          </w:p>
          <w:p w:rsidRPr="007C411F" w:rsidR="007C411F" w:rsidP="000D0DF5" w:rsidRDefault="007C411F">
            <w:pPr>
              <w:tabs>
                <w:tab w:val="left" w:pos="-1440"/>
                <w:tab w:val="left" w:pos="-720"/>
              </w:tabs>
              <w:suppressAutoHyphens/>
              <w:rPr>
                <w:rFonts w:ascii="Times New Roman" w:hAnsi="Times New Roman"/>
              </w:rPr>
            </w:pPr>
            <w:r w:rsidRPr="007C411F">
              <w:rPr>
                <w:rFonts w:ascii="Times New Roman" w:hAnsi="Times New Roman"/>
              </w:rPr>
              <w:t>haar aangenomen wetsvoorstel</w:t>
            </w:r>
          </w:p>
          <w:p w:rsidRPr="007C411F" w:rsidR="007C411F" w:rsidP="000D0DF5" w:rsidRDefault="007C411F">
            <w:pPr>
              <w:tabs>
                <w:tab w:val="left" w:pos="-1440"/>
                <w:tab w:val="left" w:pos="-720"/>
              </w:tabs>
              <w:suppressAutoHyphens/>
              <w:rPr>
                <w:rFonts w:ascii="Times New Roman" w:hAnsi="Times New Roman"/>
              </w:rPr>
            </w:pPr>
            <w:r w:rsidRPr="007C411F">
              <w:rPr>
                <w:rFonts w:ascii="Times New Roman" w:hAnsi="Times New Roman"/>
              </w:rPr>
              <w:t>aan de Eerste Kamer.</w:t>
            </w: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r w:rsidRPr="007C411F">
              <w:rPr>
                <w:rFonts w:ascii="Times New Roman" w:hAnsi="Times New Roman"/>
              </w:rPr>
              <w:t>De Voorzitter,</w:t>
            </w: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tabs>
                <w:tab w:val="left" w:pos="-1440"/>
                <w:tab w:val="left" w:pos="-720"/>
              </w:tabs>
              <w:suppressAutoHyphens/>
              <w:rPr>
                <w:rFonts w:ascii="Times New Roman" w:hAnsi="Times New Roman"/>
              </w:rPr>
            </w:pPr>
          </w:p>
          <w:p w:rsidRPr="007C411F" w:rsidR="007C411F" w:rsidP="000D0DF5" w:rsidRDefault="007C411F">
            <w:pPr>
              <w:rPr>
                <w:rFonts w:ascii="Times New Roman" w:hAnsi="Times New Roman"/>
              </w:rPr>
            </w:pPr>
          </w:p>
          <w:p w:rsidRPr="007C411F" w:rsidR="00CB3578" w:rsidP="007C411F" w:rsidRDefault="007C411F">
            <w:pPr>
              <w:pStyle w:val="Amendement"/>
              <w:rPr>
                <w:rFonts w:ascii="Times New Roman" w:hAnsi="Times New Roman" w:cs="Times New Roman"/>
                <w:b w:val="0"/>
                <w:sz w:val="20"/>
                <w:szCs w:val="20"/>
              </w:rPr>
            </w:pPr>
            <w:r w:rsidRPr="007C411F">
              <w:rPr>
                <w:rFonts w:ascii="Times New Roman" w:hAnsi="Times New Roman" w:cs="Times New Roman"/>
                <w:b w:val="0"/>
                <w:sz w:val="20"/>
                <w:szCs w:val="20"/>
              </w:rPr>
              <w:t>17 september 2020</w:t>
            </w:r>
          </w:p>
        </w:tc>
      </w:tr>
      <w:tr w:rsidRPr="002168F4" w:rsidR="007C411F" w:rsidTr="00F13442">
        <w:trPr>
          <w:cantSplit/>
        </w:trPr>
        <w:tc>
          <w:tcPr>
            <w:tcW w:w="9142" w:type="dxa"/>
            <w:gridSpan w:val="2"/>
            <w:tcBorders>
              <w:top w:val="nil"/>
              <w:left w:val="nil"/>
              <w:bottom w:val="nil"/>
              <w:right w:val="nil"/>
            </w:tcBorders>
          </w:tcPr>
          <w:p w:rsidRPr="007C411F" w:rsidR="007C411F" w:rsidP="000D0DF5" w:rsidRDefault="007C411F">
            <w:pPr>
              <w:tabs>
                <w:tab w:val="left" w:pos="-1440"/>
                <w:tab w:val="left" w:pos="-720"/>
              </w:tabs>
              <w:suppressAutoHyphens/>
              <w:rPr>
                <w:rFonts w:ascii="Times New Roman" w:hAnsi="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C411F" w:rsidTr="0028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4054F" w:rsidR="007C411F" w:rsidP="0044054F" w:rsidRDefault="007C411F">
            <w:pPr>
              <w:rPr>
                <w:rFonts w:ascii="Times New Roman" w:hAnsi="Times New Roman"/>
                <w:b/>
                <w:sz w:val="24"/>
              </w:rPr>
            </w:pPr>
            <w:r w:rsidRPr="0044054F">
              <w:rPr>
                <w:rFonts w:ascii="Times New Roman" w:hAnsi="Times New Roman"/>
                <w:b/>
                <w:sz w:val="24"/>
              </w:rPr>
              <w:t>Wijziging van de Wet op rechterlijke organisatie in verband met het wegnemen van belemmeringen voor gerechten bij het verlenen van onderlinge bijstand in geval van gebrek aan voldoende zittingscapaciteit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C411F" w:rsidTr="00061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C411F" w:rsidRDefault="007C411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D6FC9" w:rsidR="0044054F" w:rsidP="0044054F" w:rsidRDefault="0044054F">
      <w:pPr>
        <w:tabs>
          <w:tab w:val="left" w:pos="244"/>
          <w:tab w:val="left" w:pos="284"/>
        </w:tabs>
        <w:rPr>
          <w:rFonts w:ascii="Times New Roman" w:hAnsi="Times New Roman"/>
          <w:sz w:val="24"/>
        </w:rPr>
      </w:pPr>
      <w:r>
        <w:rPr>
          <w:rFonts w:ascii="Times New Roman" w:hAnsi="Times New Roman"/>
          <w:sz w:val="24"/>
        </w:rPr>
        <w:tab/>
      </w:r>
      <w:r w:rsidRPr="007D6FC9">
        <w:rPr>
          <w:rFonts w:ascii="Times New Roman" w:hAnsi="Times New Roman"/>
          <w:sz w:val="24"/>
        </w:rPr>
        <w:t>Wij Willem-Alexander, bij de gratie Gods, Koning der Nederlanden, Prins van Oranje-Nassau, enz. enz. enz.</w:t>
      </w:r>
    </w:p>
    <w:p w:rsidR="00CB3578" w:rsidP="00A11E73" w:rsidRDefault="00CB3578">
      <w:pPr>
        <w:tabs>
          <w:tab w:val="left" w:pos="284"/>
          <w:tab w:val="left" w:pos="567"/>
          <w:tab w:val="left" w:pos="851"/>
        </w:tabs>
        <w:ind w:right="1848"/>
        <w:rPr>
          <w:rFonts w:ascii="Times New Roman" w:hAnsi="Times New Roman"/>
          <w:sz w:val="24"/>
          <w:szCs w:val="20"/>
        </w:rPr>
      </w:pPr>
    </w:p>
    <w:p w:rsidRPr="0044054F" w:rsidR="0044054F" w:rsidP="0044054F" w:rsidRDefault="0044054F">
      <w:pPr>
        <w:ind w:firstLine="284"/>
        <w:rPr>
          <w:rFonts w:ascii="Times New Roman" w:hAnsi="Times New Roman"/>
          <w:sz w:val="24"/>
        </w:rPr>
      </w:pPr>
      <w:r w:rsidRPr="0044054F">
        <w:rPr>
          <w:rFonts w:ascii="Times New Roman" w:hAnsi="Times New Roman"/>
          <w:sz w:val="24"/>
        </w:rPr>
        <w:t>Allen, die deze zullen zien of horen lezen, saluut! doen te weten:</w:t>
      </w:r>
    </w:p>
    <w:p w:rsidRPr="0044054F" w:rsidR="0044054F" w:rsidP="0044054F" w:rsidRDefault="0044054F">
      <w:pPr>
        <w:ind w:firstLine="284"/>
        <w:rPr>
          <w:rFonts w:ascii="Times New Roman" w:hAnsi="Times New Roman"/>
          <w:sz w:val="24"/>
        </w:rPr>
      </w:pPr>
      <w:r w:rsidRPr="0044054F">
        <w:rPr>
          <w:rFonts w:ascii="Times New Roman" w:hAnsi="Times New Roman"/>
          <w:sz w:val="24"/>
        </w:rPr>
        <w:t>Alzo Wij in overweging genomen hebben, dat het wenselijk is om de Wet op de rechterlijke organisatie aan te passen in verband met het wegnemen van belemmeringen voor gerechten bij het verlenen van onderlinge bijstand in geval van gebrek aan voldoende zittingscapaciteit;</w:t>
      </w:r>
    </w:p>
    <w:p w:rsidRPr="0044054F" w:rsidR="0044054F" w:rsidP="0044054F" w:rsidRDefault="0044054F">
      <w:pPr>
        <w:ind w:firstLine="284"/>
        <w:rPr>
          <w:rFonts w:ascii="Times New Roman" w:hAnsi="Times New Roman"/>
          <w:sz w:val="24"/>
        </w:rPr>
      </w:pPr>
      <w:r w:rsidRPr="0044054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4054F" w:rsidP="0044054F" w:rsidRDefault="0044054F">
      <w:pPr>
        <w:rPr>
          <w:rFonts w:ascii="Times New Roman" w:hAnsi="Times New Roman"/>
          <w:b/>
          <w:bCs/>
          <w:color w:val="000000"/>
          <w:sz w:val="24"/>
        </w:rPr>
      </w:pPr>
    </w:p>
    <w:p w:rsidR="0044054F" w:rsidP="0044054F" w:rsidRDefault="0044054F">
      <w:pPr>
        <w:rPr>
          <w:rFonts w:ascii="Times New Roman" w:hAnsi="Times New Roman"/>
          <w:b/>
          <w:bCs/>
          <w:color w:val="000000"/>
          <w:sz w:val="24"/>
        </w:rPr>
      </w:pPr>
    </w:p>
    <w:p w:rsidRPr="0044054F" w:rsidR="0044054F" w:rsidP="0044054F" w:rsidRDefault="0044054F">
      <w:pPr>
        <w:rPr>
          <w:rFonts w:ascii="Times New Roman" w:hAnsi="Times New Roman"/>
          <w:b/>
          <w:bCs/>
          <w:color w:val="000000"/>
          <w:sz w:val="24"/>
        </w:rPr>
      </w:pPr>
      <w:r w:rsidRPr="0044054F">
        <w:rPr>
          <w:rFonts w:ascii="Times New Roman" w:hAnsi="Times New Roman"/>
          <w:b/>
          <w:bCs/>
          <w:color w:val="000000"/>
          <w:sz w:val="24"/>
        </w:rPr>
        <w:t>ARTIKEL I</w:t>
      </w:r>
    </w:p>
    <w:p w:rsidR="0044054F" w:rsidP="0044054F" w:rsidRDefault="0044054F">
      <w:pPr>
        <w:rPr>
          <w:rFonts w:ascii="Times New Roman" w:hAnsi="Times New Roman"/>
          <w:color w:val="000000"/>
          <w:sz w:val="24"/>
        </w:rPr>
      </w:pP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De Wet op de rechterlijke organisatie wordt als volgt gewijzigd:</w:t>
      </w:r>
    </w:p>
    <w:p w:rsidR="0044054F" w:rsidP="0044054F" w:rsidRDefault="0044054F">
      <w:pPr>
        <w:rPr>
          <w:rFonts w:ascii="Times New Roman" w:hAnsi="Times New Roman"/>
          <w:color w:val="000000"/>
          <w:sz w:val="24"/>
        </w:rPr>
      </w:pPr>
    </w:p>
    <w:p w:rsidRPr="0044054F" w:rsidR="0044054F" w:rsidP="0044054F" w:rsidRDefault="0044054F">
      <w:pPr>
        <w:rPr>
          <w:rFonts w:ascii="Times New Roman" w:hAnsi="Times New Roman"/>
          <w:color w:val="000000"/>
          <w:sz w:val="24"/>
        </w:rPr>
      </w:pPr>
      <w:r w:rsidRPr="0044054F">
        <w:rPr>
          <w:rFonts w:ascii="Times New Roman" w:hAnsi="Times New Roman"/>
          <w:color w:val="000000"/>
          <w:sz w:val="24"/>
        </w:rPr>
        <w:t>A</w:t>
      </w:r>
    </w:p>
    <w:p w:rsidR="0044054F" w:rsidP="0044054F" w:rsidRDefault="0044054F">
      <w:pPr>
        <w:rPr>
          <w:rFonts w:ascii="Times New Roman" w:hAnsi="Times New Roman"/>
          <w:color w:val="000000"/>
          <w:sz w:val="24"/>
        </w:rPr>
      </w:pPr>
    </w:p>
    <w:p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Na artikel 21b wordt een artikel ingevoegd, luidende:</w:t>
      </w:r>
    </w:p>
    <w:p w:rsidR="0044054F" w:rsidP="0044054F" w:rsidRDefault="0044054F">
      <w:pPr>
        <w:rPr>
          <w:rFonts w:ascii="Times New Roman" w:hAnsi="Times New Roman"/>
          <w:color w:val="000000"/>
          <w:sz w:val="24"/>
        </w:rPr>
      </w:pPr>
    </w:p>
    <w:p w:rsidR="0044054F" w:rsidP="0044054F" w:rsidRDefault="0044054F">
      <w:pPr>
        <w:rPr>
          <w:rFonts w:ascii="Times New Roman" w:hAnsi="Times New Roman"/>
          <w:b/>
          <w:bCs/>
          <w:color w:val="000000"/>
          <w:sz w:val="24"/>
        </w:rPr>
      </w:pPr>
      <w:r w:rsidRPr="0044054F">
        <w:rPr>
          <w:rFonts w:ascii="Times New Roman" w:hAnsi="Times New Roman"/>
          <w:b/>
          <w:bCs/>
          <w:color w:val="000000"/>
          <w:sz w:val="24"/>
        </w:rPr>
        <w:t>Artikel 21c</w:t>
      </w:r>
    </w:p>
    <w:p w:rsidR="0044054F" w:rsidP="0044054F" w:rsidRDefault="0044054F">
      <w:pPr>
        <w:rPr>
          <w:rFonts w:ascii="Times New Roman" w:hAnsi="Times New Roman"/>
          <w:b/>
          <w:bCs/>
          <w:color w:val="000000"/>
          <w:sz w:val="24"/>
        </w:rPr>
      </w:pP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De zittingsplaatsen onderscheidenlijk overige zittingsplaatsen van de rechtbank Amsterdam, de rechtbank Oost-Brabant, de rechtbank Overijssel en de rechtbank Rotterdam</w:t>
      </w:r>
      <w:r w:rsidRPr="0044054F">
        <w:rPr>
          <w:rStyle w:val="Verwijzingopmerking"/>
          <w:rFonts w:ascii="Times New Roman" w:hAnsi="Times New Roman"/>
          <w:color w:val="000000"/>
          <w:sz w:val="24"/>
          <w:szCs w:val="24"/>
        </w:rPr>
        <w:t> </w:t>
      </w:r>
      <w:r w:rsidRPr="0044054F">
        <w:rPr>
          <w:rFonts w:ascii="Times New Roman" w:hAnsi="Times New Roman"/>
          <w:color w:val="000000"/>
          <w:sz w:val="24"/>
        </w:rPr>
        <w:t xml:space="preserve">zijn over en weer zittingsplaatsen onderscheidenlijk overige zittingsplaatsen van </w:t>
      </w:r>
      <w:r w:rsidRPr="0044054F">
        <w:rPr>
          <w:rFonts w:ascii="Times New Roman" w:hAnsi="Times New Roman"/>
          <w:color w:val="000000"/>
          <w:sz w:val="24"/>
        </w:rPr>
        <w:lastRenderedPageBreak/>
        <w:t>deze rechtbanken in zaken waarin deze rechtbanken bevoegd zijn op grond van artikel 2, eerste lid, voorlaatste en laatste volzin van het Wetboek van Strafvordering.</w:t>
      </w:r>
    </w:p>
    <w:p w:rsidR="0044054F" w:rsidP="0044054F" w:rsidRDefault="0044054F">
      <w:pPr>
        <w:rPr>
          <w:rFonts w:ascii="Times New Roman" w:hAnsi="Times New Roman"/>
          <w:color w:val="000000"/>
          <w:sz w:val="24"/>
        </w:rPr>
      </w:pPr>
    </w:p>
    <w:p w:rsidRPr="0044054F" w:rsidR="0044054F" w:rsidP="0044054F" w:rsidRDefault="0044054F">
      <w:pPr>
        <w:rPr>
          <w:rFonts w:ascii="Times New Roman" w:hAnsi="Times New Roman"/>
          <w:color w:val="000000"/>
          <w:sz w:val="24"/>
        </w:rPr>
      </w:pPr>
      <w:r w:rsidRPr="0044054F">
        <w:rPr>
          <w:rFonts w:ascii="Times New Roman" w:hAnsi="Times New Roman"/>
          <w:color w:val="000000"/>
          <w:sz w:val="24"/>
        </w:rPr>
        <w:t>B</w:t>
      </w:r>
    </w:p>
    <w:p w:rsidR="0044054F" w:rsidP="0044054F" w:rsidRDefault="0044054F">
      <w:pPr>
        <w:rPr>
          <w:rFonts w:ascii="Times New Roman" w:hAnsi="Times New Roman"/>
          <w:color w:val="000000"/>
          <w:sz w:val="24"/>
        </w:rPr>
      </w:pP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Artikel 46a, eerste lid, komt te luiden:</w:t>
      </w: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 xml:space="preserve">1. Onze Minister kan, gehoord de Raad, een rechtbank of meerdere rechtbanken aanwijzen waarvan de zittingsplaatsen onderscheidenlijk overige zittingsplaatsen ten behoeve van een in de aanwijzing te bepalen categorie of categorieën van zaken tijdelijk </w:t>
      </w:r>
      <w:r w:rsidRPr="0044054F">
        <w:rPr>
          <w:rStyle w:val="Verwijzingopmerking"/>
          <w:rFonts w:ascii="Times New Roman" w:hAnsi="Times New Roman"/>
          <w:color w:val="000000"/>
          <w:sz w:val="24"/>
          <w:szCs w:val="24"/>
        </w:rPr>
        <w:t xml:space="preserve">mede </w:t>
      </w:r>
      <w:r w:rsidRPr="0044054F">
        <w:rPr>
          <w:rFonts w:ascii="Times New Roman" w:hAnsi="Times New Roman"/>
          <w:color w:val="000000"/>
          <w:sz w:val="24"/>
        </w:rPr>
        <w:t>worden aangemerkt als zittingsplaatsen</w:t>
      </w:r>
      <w:r w:rsidRPr="0044054F">
        <w:rPr>
          <w:rStyle w:val="Verwijzingopmerking"/>
          <w:rFonts w:ascii="Times New Roman" w:hAnsi="Times New Roman"/>
          <w:color w:val="000000"/>
          <w:sz w:val="24"/>
          <w:szCs w:val="24"/>
        </w:rPr>
        <w:t> </w:t>
      </w:r>
      <w:r w:rsidRPr="0044054F">
        <w:rPr>
          <w:rFonts w:ascii="Times New Roman" w:hAnsi="Times New Roman"/>
          <w:color w:val="000000"/>
          <w:sz w:val="24"/>
        </w:rPr>
        <w:t>onderscheidenlijk overige zittingsplaatsen van een andere rechtbank, indien dit noodzakelijk is als gevolg van gebrek aan voldoende zittingscapaciteit binnen het arrondissement waarin die andere rechtbank is gelegen.</w:t>
      </w:r>
    </w:p>
    <w:p w:rsidR="0044054F" w:rsidP="0044054F" w:rsidRDefault="0044054F">
      <w:pPr>
        <w:rPr>
          <w:rFonts w:ascii="Times New Roman" w:hAnsi="Times New Roman"/>
          <w:color w:val="000000"/>
          <w:sz w:val="24"/>
        </w:rPr>
      </w:pPr>
    </w:p>
    <w:p w:rsidRPr="0044054F" w:rsidR="0044054F" w:rsidP="0044054F" w:rsidRDefault="0044054F">
      <w:pPr>
        <w:rPr>
          <w:rFonts w:ascii="Times New Roman" w:hAnsi="Times New Roman"/>
          <w:color w:val="000000"/>
          <w:sz w:val="24"/>
        </w:rPr>
      </w:pPr>
      <w:r w:rsidRPr="0044054F">
        <w:rPr>
          <w:rFonts w:ascii="Times New Roman" w:hAnsi="Times New Roman"/>
          <w:color w:val="000000"/>
          <w:sz w:val="24"/>
        </w:rPr>
        <w:t>C</w:t>
      </w:r>
    </w:p>
    <w:p w:rsidR="0044054F" w:rsidP="0044054F" w:rsidRDefault="0044054F">
      <w:pPr>
        <w:rPr>
          <w:rFonts w:ascii="Times New Roman" w:hAnsi="Times New Roman"/>
          <w:color w:val="000000"/>
          <w:sz w:val="24"/>
        </w:rPr>
      </w:pP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Artikel 62a, eerste lid, komt te luiden:</w:t>
      </w:r>
    </w:p>
    <w:p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1. Onze Minister kan, gehoord de Raad, een gerechtshof of meerdere gerechtshoven aanwijzen waarvan de zittingsplaatsen onderscheidenlijk overige zittingsplaatsen ten behoeve van een in de aanwijzing te bepalen categorie of categorieën van zaken tijdelijk mede worden aangemerkt als zittingsplaatsen onderscheidenlijk overige zittingsplaatsen van een ander gerechtshof, indien dit noodzakelijk is als gevolg van gebrek aan voldoende zittingscapaciteit binnen het ressort waarin dat andere gerechtshof is gelegen.</w:t>
      </w:r>
    </w:p>
    <w:p w:rsidR="0044054F" w:rsidP="0044054F" w:rsidRDefault="0044054F">
      <w:pPr>
        <w:rPr>
          <w:rFonts w:ascii="Times New Roman" w:hAnsi="Times New Roman"/>
          <w:b/>
          <w:bCs/>
          <w:color w:val="000000"/>
          <w:sz w:val="24"/>
        </w:rPr>
      </w:pPr>
    </w:p>
    <w:p w:rsidR="0044054F" w:rsidP="0044054F" w:rsidRDefault="0044054F">
      <w:pPr>
        <w:rPr>
          <w:rFonts w:ascii="Times New Roman" w:hAnsi="Times New Roman"/>
          <w:b/>
          <w:bCs/>
          <w:color w:val="000000"/>
          <w:sz w:val="24"/>
        </w:rPr>
      </w:pPr>
    </w:p>
    <w:p w:rsidRPr="0044054F" w:rsidR="0044054F" w:rsidP="0044054F" w:rsidRDefault="0044054F">
      <w:pPr>
        <w:rPr>
          <w:rFonts w:ascii="Times New Roman" w:hAnsi="Times New Roman"/>
          <w:color w:val="000000"/>
          <w:sz w:val="24"/>
        </w:rPr>
      </w:pPr>
      <w:r w:rsidRPr="0044054F">
        <w:rPr>
          <w:rFonts w:ascii="Times New Roman" w:hAnsi="Times New Roman"/>
          <w:b/>
          <w:bCs/>
          <w:color w:val="000000"/>
          <w:sz w:val="24"/>
        </w:rPr>
        <w:t>ARTIKEL II</w:t>
      </w:r>
    </w:p>
    <w:p w:rsidR="0044054F" w:rsidP="0044054F" w:rsidRDefault="0044054F">
      <w:pPr>
        <w:rPr>
          <w:rFonts w:ascii="Times New Roman" w:hAnsi="Times New Roman"/>
          <w:color w:val="000000"/>
          <w:sz w:val="24"/>
        </w:rPr>
      </w:pP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In artikel 3, aanhef, van de Beroepswet en artikel 4, aanhef, van de Wet bestuursrechtspraak bedrijfsorganisatie wordt “21b” telkens vervangen door “21b, 21c”.</w:t>
      </w:r>
    </w:p>
    <w:p w:rsidR="0044054F" w:rsidP="0044054F" w:rsidRDefault="0044054F">
      <w:pPr>
        <w:rPr>
          <w:rFonts w:ascii="Times New Roman" w:hAnsi="Times New Roman"/>
          <w:color w:val="000000"/>
          <w:sz w:val="24"/>
        </w:rPr>
      </w:pPr>
    </w:p>
    <w:p w:rsidR="0044054F" w:rsidP="0044054F" w:rsidRDefault="0044054F">
      <w:pPr>
        <w:rPr>
          <w:rFonts w:ascii="Times New Roman" w:hAnsi="Times New Roman"/>
          <w:color w:val="000000"/>
          <w:sz w:val="24"/>
        </w:rPr>
      </w:pPr>
    </w:p>
    <w:p w:rsidRPr="0044054F" w:rsidR="0044054F" w:rsidP="0044054F" w:rsidRDefault="0044054F">
      <w:pPr>
        <w:rPr>
          <w:rFonts w:ascii="Times New Roman" w:hAnsi="Times New Roman"/>
          <w:b/>
          <w:bCs/>
          <w:color w:val="000000"/>
          <w:sz w:val="24"/>
        </w:rPr>
      </w:pPr>
      <w:r w:rsidRPr="0044054F">
        <w:rPr>
          <w:rFonts w:ascii="Times New Roman" w:hAnsi="Times New Roman"/>
          <w:b/>
          <w:bCs/>
          <w:color w:val="000000"/>
          <w:sz w:val="24"/>
        </w:rPr>
        <w:t>ARTIKEL III</w:t>
      </w:r>
    </w:p>
    <w:p w:rsidR="0044054F" w:rsidP="0044054F" w:rsidRDefault="0044054F">
      <w:pPr>
        <w:rPr>
          <w:rFonts w:ascii="Times New Roman" w:hAnsi="Times New Roman"/>
          <w:color w:val="000000"/>
          <w:sz w:val="24"/>
        </w:rPr>
      </w:pPr>
    </w:p>
    <w:p w:rsidRPr="0044054F" w:rsidR="0044054F" w:rsidP="0044054F" w:rsidRDefault="0044054F">
      <w:pPr>
        <w:ind w:firstLine="284"/>
        <w:rPr>
          <w:rFonts w:ascii="Times New Roman" w:hAnsi="Times New Roman"/>
          <w:color w:val="000000"/>
          <w:sz w:val="24"/>
        </w:rPr>
      </w:pPr>
      <w:r w:rsidRPr="0044054F">
        <w:rPr>
          <w:rFonts w:ascii="Times New Roman" w:hAnsi="Times New Roman"/>
          <w:color w:val="000000"/>
          <w:sz w:val="24"/>
        </w:rPr>
        <w:t xml:space="preserve">De artikelen 46a en 62a van de Wet op de rechterlijke organisatie, zoals deze luidden op de dag vóór de datum van inwerkingtreding van artikel I, onderdelen B en C, van deze wet, blijven van toepassing op een aanwijzing als bedoeld in deze artikelen die vóór de datum van inwerkingtreding van artikel I, onderdelen B en C, van deze wet in de Staatscourant is gepubliceerd. </w:t>
      </w:r>
    </w:p>
    <w:p w:rsidR="0044054F" w:rsidP="0044054F" w:rsidRDefault="0044054F">
      <w:pPr>
        <w:rPr>
          <w:rFonts w:ascii="Times New Roman" w:hAnsi="Times New Roman"/>
          <w:b/>
          <w:sz w:val="24"/>
        </w:rPr>
      </w:pPr>
    </w:p>
    <w:p w:rsidR="0044054F" w:rsidP="0044054F" w:rsidRDefault="0044054F">
      <w:pPr>
        <w:rPr>
          <w:rFonts w:ascii="Times New Roman" w:hAnsi="Times New Roman"/>
          <w:b/>
          <w:sz w:val="24"/>
        </w:rPr>
      </w:pPr>
    </w:p>
    <w:p w:rsidRPr="0044054F" w:rsidR="0044054F" w:rsidP="0044054F" w:rsidRDefault="0044054F">
      <w:pPr>
        <w:rPr>
          <w:rFonts w:ascii="Times New Roman" w:hAnsi="Times New Roman"/>
          <w:b/>
          <w:sz w:val="24"/>
        </w:rPr>
      </w:pPr>
      <w:r w:rsidRPr="0044054F">
        <w:rPr>
          <w:rFonts w:ascii="Times New Roman" w:hAnsi="Times New Roman"/>
          <w:b/>
          <w:sz w:val="24"/>
        </w:rPr>
        <w:t>ARTIKEL IV</w:t>
      </w:r>
    </w:p>
    <w:p w:rsidR="00C757C0" w:rsidP="0044054F" w:rsidRDefault="00C757C0">
      <w:pPr>
        <w:rPr>
          <w:rFonts w:ascii="Times New Roman" w:hAnsi="Times New Roman"/>
          <w:sz w:val="24"/>
        </w:rPr>
      </w:pPr>
    </w:p>
    <w:p w:rsidRPr="0044054F" w:rsidR="0044054F" w:rsidP="00C757C0" w:rsidRDefault="0044054F">
      <w:pPr>
        <w:ind w:firstLine="284"/>
        <w:rPr>
          <w:rFonts w:ascii="Times New Roman" w:hAnsi="Times New Roman"/>
          <w:sz w:val="24"/>
        </w:rPr>
      </w:pPr>
      <w:r w:rsidRPr="0044054F">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007C411F" w:rsidP="0044054F" w:rsidRDefault="007C411F">
      <w:pPr>
        <w:rPr>
          <w:rFonts w:ascii="Times New Roman" w:hAnsi="Times New Roman"/>
          <w:sz w:val="24"/>
        </w:rPr>
      </w:pPr>
    </w:p>
    <w:p w:rsidR="007C411F" w:rsidP="0044054F" w:rsidRDefault="007C411F">
      <w:pPr>
        <w:rPr>
          <w:rFonts w:ascii="Times New Roman" w:hAnsi="Times New Roman"/>
          <w:sz w:val="24"/>
        </w:rPr>
      </w:pPr>
    </w:p>
    <w:p w:rsidRPr="0044054F" w:rsidR="0044054F" w:rsidP="0044054F" w:rsidRDefault="0044054F">
      <w:pPr>
        <w:ind w:firstLine="284"/>
        <w:rPr>
          <w:rFonts w:ascii="Times New Roman" w:hAnsi="Times New Roman"/>
          <w:sz w:val="24"/>
        </w:rPr>
      </w:pPr>
      <w:r w:rsidRPr="0044054F">
        <w:rPr>
          <w:rFonts w:ascii="Times New Roman" w:hAnsi="Times New Roman"/>
          <w:sz w:val="24"/>
        </w:rPr>
        <w:lastRenderedPageBreak/>
        <w:t xml:space="preserve">Lasten en bevelen dat deze in het Staatsblad zal worden geplaatst en dat alle ministeries, autoriteiten, colleges en ambtenaren </w:t>
      </w:r>
      <w:r>
        <w:rPr>
          <w:rFonts w:ascii="Times New Roman" w:hAnsi="Times New Roman"/>
          <w:sz w:val="24"/>
        </w:rPr>
        <w:t>d</w:t>
      </w:r>
      <w:r w:rsidRPr="0044054F">
        <w:rPr>
          <w:rFonts w:ascii="Times New Roman" w:hAnsi="Times New Roman"/>
          <w:sz w:val="24"/>
        </w:rPr>
        <w:t>ie zulks aangaat, aan de nauwkeurige uitvoering de hand zullen houden.</w:t>
      </w:r>
    </w:p>
    <w:p w:rsidRPr="0044054F" w:rsidR="0044054F" w:rsidP="0044054F" w:rsidRDefault="0044054F">
      <w:pPr>
        <w:rPr>
          <w:rFonts w:ascii="Times New Roman" w:hAnsi="Times New Roman"/>
          <w:sz w:val="24"/>
        </w:rPr>
      </w:pPr>
    </w:p>
    <w:p w:rsidR="0044054F" w:rsidP="0044054F" w:rsidRDefault="0044054F">
      <w:pPr>
        <w:rPr>
          <w:rFonts w:ascii="Times New Roman" w:hAnsi="Times New Roman"/>
          <w:sz w:val="24"/>
        </w:rPr>
      </w:pPr>
      <w:r>
        <w:rPr>
          <w:rFonts w:ascii="Times New Roman" w:hAnsi="Times New Roman"/>
          <w:sz w:val="24"/>
        </w:rPr>
        <w:t>Gegeven</w:t>
      </w: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p>
    <w:p w:rsidR="0044054F" w:rsidP="0044054F" w:rsidRDefault="0044054F">
      <w:pPr>
        <w:rPr>
          <w:rFonts w:ascii="Times New Roman" w:hAnsi="Times New Roman"/>
          <w:sz w:val="24"/>
        </w:rPr>
      </w:pPr>
      <w:r w:rsidRPr="0044054F">
        <w:rPr>
          <w:rFonts w:ascii="Times New Roman" w:hAnsi="Times New Roman"/>
          <w:sz w:val="24"/>
        </w:rPr>
        <w:t>De Minister voor Rechtsbescherming,</w:t>
      </w:r>
      <w:bookmarkStart w:name="_GoBack" w:id="0"/>
      <w:bookmarkEnd w:id="0"/>
    </w:p>
    <w:sectPr w:rsidR="0044054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54F" w:rsidRDefault="0044054F">
      <w:pPr>
        <w:spacing w:line="20" w:lineRule="exact"/>
      </w:pPr>
    </w:p>
  </w:endnote>
  <w:endnote w:type="continuationSeparator" w:id="0">
    <w:p w:rsidR="0044054F" w:rsidRDefault="0044054F">
      <w:pPr>
        <w:pStyle w:val="Amendement"/>
      </w:pPr>
      <w:r>
        <w:rPr>
          <w:b w:val="0"/>
          <w:bCs w:val="0"/>
        </w:rPr>
        <w:t xml:space="preserve"> </w:t>
      </w:r>
    </w:p>
  </w:endnote>
  <w:endnote w:type="continuationNotice" w:id="1">
    <w:p w:rsidR="0044054F" w:rsidRDefault="0044054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C411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54F" w:rsidRDefault="0044054F">
      <w:pPr>
        <w:pStyle w:val="Amendement"/>
      </w:pPr>
      <w:r>
        <w:rPr>
          <w:b w:val="0"/>
          <w:bCs w:val="0"/>
        </w:rPr>
        <w:separator/>
      </w:r>
    </w:p>
  </w:footnote>
  <w:footnote w:type="continuationSeparator" w:id="0">
    <w:p w:rsidR="0044054F" w:rsidRDefault="00440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4F"/>
    <w:rsid w:val="00012DBE"/>
    <w:rsid w:val="00066FF0"/>
    <w:rsid w:val="000A1D81"/>
    <w:rsid w:val="00111ED3"/>
    <w:rsid w:val="001C190E"/>
    <w:rsid w:val="002168F4"/>
    <w:rsid w:val="002A727C"/>
    <w:rsid w:val="003A07F9"/>
    <w:rsid w:val="0044054F"/>
    <w:rsid w:val="004E7F9A"/>
    <w:rsid w:val="005D2707"/>
    <w:rsid w:val="00606255"/>
    <w:rsid w:val="006A190C"/>
    <w:rsid w:val="006B607A"/>
    <w:rsid w:val="007C411F"/>
    <w:rsid w:val="007D451C"/>
    <w:rsid w:val="00826224"/>
    <w:rsid w:val="00930A23"/>
    <w:rsid w:val="009C7354"/>
    <w:rsid w:val="009E6D7F"/>
    <w:rsid w:val="00A11E73"/>
    <w:rsid w:val="00A2521E"/>
    <w:rsid w:val="00AE436A"/>
    <w:rsid w:val="00C135B1"/>
    <w:rsid w:val="00C757C0"/>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5E1AF"/>
  <w15:docId w15:val="{A48518F2-A3EC-4F38-B69F-3C0918B6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uiPriority w:val="99"/>
    <w:semiHidden/>
    <w:unhideWhenUsed/>
    <w:rsid w:val="0044054F"/>
    <w:rPr>
      <w:sz w:val="16"/>
      <w:szCs w:val="16"/>
    </w:rPr>
  </w:style>
  <w:style w:type="paragraph" w:customStyle="1" w:styleId="al9">
    <w:name w:val="al9"/>
    <w:basedOn w:val="Standaard"/>
    <w:rsid w:val="0044054F"/>
    <w:pPr>
      <w:spacing w:after="225"/>
    </w:pPr>
    <w:rPr>
      <w:rFonts w:ascii="Times New Roman" w:eastAsia="Calibri" w:hAnsi="Times New Roman"/>
      <w:sz w:val="24"/>
    </w:rPr>
  </w:style>
  <w:style w:type="paragraph" w:styleId="Lijstalinea">
    <w:name w:val="List Paragraph"/>
    <w:basedOn w:val="Standaard"/>
    <w:uiPriority w:val="34"/>
    <w:qFormat/>
    <w:rsid w:val="0044054F"/>
    <w:pPr>
      <w:ind w:left="720"/>
      <w:contextualSpacing/>
    </w:pPr>
  </w:style>
  <w:style w:type="paragraph" w:styleId="Ballontekst">
    <w:name w:val="Balloon Text"/>
    <w:basedOn w:val="Standaard"/>
    <w:link w:val="BallontekstChar"/>
    <w:semiHidden/>
    <w:unhideWhenUsed/>
    <w:rsid w:val="006A190C"/>
    <w:rPr>
      <w:rFonts w:ascii="Segoe UI" w:hAnsi="Segoe UI" w:cs="Segoe UI"/>
      <w:sz w:val="18"/>
      <w:szCs w:val="18"/>
    </w:rPr>
  </w:style>
  <w:style w:type="character" w:customStyle="1" w:styleId="BallontekstChar">
    <w:name w:val="Ballontekst Char"/>
    <w:basedOn w:val="Standaardalinea-lettertype"/>
    <w:link w:val="Ballontekst"/>
    <w:semiHidden/>
    <w:rsid w:val="006A190C"/>
    <w:rPr>
      <w:rFonts w:ascii="Segoe UI" w:hAnsi="Segoe UI" w:cs="Segoe UI"/>
      <w:sz w:val="18"/>
      <w:szCs w:val="18"/>
    </w:rPr>
  </w:style>
  <w:style w:type="paragraph" w:customStyle="1" w:styleId="avmp">
    <w:name w:val="avmp"/>
    <w:rsid w:val="007C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531</ap:Words>
  <ap:Characters>3193</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2020-09-17T13:40:00.0000000Z</lastPrinted>
  <dcterms:created xsi:type="dcterms:W3CDTF">2020-09-17T13:42:00.0000000Z</dcterms:created>
  <dcterms:modified xsi:type="dcterms:W3CDTF">2020-09-17T13:42:00.0000000Z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0x010100C02F40D404BC6A45A295735124F8BD89</vt:lpwstr>
  </property>
</Properties>
</file>