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W13.20.0188/III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F199D" w:rsidRDefault="00BA2BA4">
              <w:r>
                <w:t>Bij Kabinetsmissive van 17 juni 2020, no.2020001208, heeft Uwe Majesteit, op voordracht van de Minister voor Medische Zorg, bij de Afdeling advisering van de Raad van State ter overweging aanhangig gemaakt het voorstel van wet houdende wijziging van de Wet kwaliteit, klachten en geschillen zorg in verband met het creëren van grondslagen voor het verwerken van gepseudonimiseerde persoonsgegevens ten behoeve van registraties ter bevordering van de kwaliteit en veiligheid van de gezondheidszorg en wijziging van de Wet langdurige zorg in verband met het toevoegen van de bevoegdheid voor het CIZ om geaggregeerde informatie te genereren en verstrekken aan de Minister van VWS ten behoeve van het doen van ramingen, met memorie van toelichting.</w:t>
              </w:r>
            </w:p>
          </w:sdtContent>
        </w:sdt>
        <w:p w:rsidR="0071031E" w:rsidRDefault="0071031E"/>
        <w:sdt>
          <w:sdtPr>
            <w:alias w:val="VrijeTekst1"/>
            <w:tag w:val="VrijeTekst1"/>
            <w:id w:val="-437221631"/>
            <w:lock w:val="sdtLocked"/>
          </w:sdtPr>
          <w:sdtEndPr/>
          <w:sdtContent>
            <w:p w:rsidR="000A291F" w:rsidP="00FF035E" w:rsidRDefault="00BA2BA4">
              <w:r>
                <w:t>Het wetsvoorstel regelt een wettelijke grondslag voor de verwerking van (</w:t>
              </w:r>
              <w:proofErr w:type="spellStart"/>
              <w:r>
                <w:t>gepseudonimiseerde</w:t>
              </w:r>
              <w:proofErr w:type="spellEnd"/>
              <w:r>
                <w:t>) persoonsgegevens ten behoeve van kwaliteitsregisters van verslavingszorg en traumazorg. Daarnaast regelt het wetsvoorstel een grondslag voor de verwerking van (bijzondere) persoonsgegevens door het Centrum Indicatiestelling Zorg (CIZ).</w:t>
              </w:r>
            </w:p>
            <w:p w:rsidR="007C0254" w:rsidP="00FF035E" w:rsidRDefault="0063356F"/>
            <w:p w:rsidR="000A291F" w:rsidP="00FF035E" w:rsidRDefault="00BA2BA4">
              <w:r>
                <w:t>De</w:t>
              </w:r>
              <w:r w:rsidRPr="000A291F">
                <w:t xml:space="preserve"> Afdeling advisering van de Raad van State </w:t>
              </w:r>
              <w:r>
                <w:t>maakt opmerkingen over het opnemen van een definitie van verslavingszorg in de wet en de uitoefening van de rechten van betrokkenen. I</w:t>
              </w:r>
              <w:r w:rsidRPr="000A291F">
                <w:t xml:space="preserve">n verband daarmee </w:t>
              </w:r>
              <w:r>
                <w:t xml:space="preserve">is </w:t>
              </w:r>
              <w:r w:rsidRPr="000A291F">
                <w:t xml:space="preserve">aanpassing </w:t>
              </w:r>
              <w:r>
                <w:t xml:space="preserve">wenselijk </w:t>
              </w:r>
              <w:r w:rsidRPr="000A291F">
                <w:t xml:space="preserve">van het </w:t>
              </w:r>
              <w:r>
                <w:t xml:space="preserve">wetsvoorstel en de </w:t>
              </w:r>
              <w:r w:rsidRPr="000A291F">
                <w:t>toelichting.</w:t>
              </w:r>
            </w:p>
            <w:p w:rsidR="000A291F" w:rsidP="00FF035E" w:rsidRDefault="0063356F"/>
            <w:p w:rsidR="008E6CC4" w:rsidP="00FF035E" w:rsidRDefault="00BA2BA4">
              <w:r>
                <w:t xml:space="preserve">1. </w:t>
              </w:r>
              <w:r>
                <w:tab/>
              </w:r>
              <w:r w:rsidRPr="008E6CC4">
                <w:rPr>
                  <w:u w:val="single"/>
                </w:rPr>
                <w:t>Opnemen wettelijke definitie van verslavingszorg</w:t>
              </w:r>
            </w:p>
            <w:p w:rsidR="00661D7B" w:rsidP="00FF035E" w:rsidRDefault="0063356F"/>
            <w:p w:rsidR="00107B64" w:rsidP="00D71C8F" w:rsidRDefault="00BA2BA4">
              <w:pPr>
                <w:rPr>
                  <w:szCs w:val="18"/>
                </w:rPr>
              </w:pPr>
              <w:r>
                <w:t xml:space="preserve">Het wetsvoorstel regelt onder meer dat een zorgaanbieder die verslavingszorg verleent (bijzondere) persoonsgegevens verstrekt aan onze Minister ten behoeve van </w:t>
              </w:r>
              <w:r w:rsidRPr="00661D7B">
                <w:rPr>
                  <w:szCs w:val="18"/>
                </w:rPr>
                <w:t>statistische doeleinden, beleidsvorming, kwaliteitsbewaking en kwaliteitsbevordering van de verslavingszorg.</w:t>
              </w:r>
              <w:r>
                <w:rPr>
                  <w:rStyle w:val="Voetnootmarkering"/>
                  <w:szCs w:val="18"/>
                </w:rPr>
                <w:footnoteReference w:id="1"/>
              </w:r>
              <w:r>
                <w:rPr>
                  <w:szCs w:val="18"/>
                </w:rPr>
                <w:t xml:space="preserve"> Uit de toelichting blijkt dat het hierbij specifiek gaat om de (</w:t>
              </w:r>
              <w:proofErr w:type="spellStart"/>
              <w:r>
                <w:rPr>
                  <w:szCs w:val="18"/>
                </w:rPr>
                <w:t>gepseudonimiseerde</w:t>
              </w:r>
              <w:proofErr w:type="spellEnd"/>
              <w:r>
                <w:rPr>
                  <w:szCs w:val="18"/>
                </w:rPr>
                <w:t>) gegevensverwerking ten behoeve van het Landelijk Alcohol- en drugsinformatiesysteem (LADIS). Dit register bestaat al geruime tijd. De gegevens uit LADIS worden onder meer gebruikt om te kunnen voldoen aan de Europeesrechtelijke verplichting om inzicht te geven in de vraag naar verslavingszorg in Nederland.</w:t>
              </w:r>
              <w:r>
                <w:rPr>
                  <w:rStyle w:val="Voetnootmarkering"/>
                  <w:szCs w:val="18"/>
                </w:rPr>
                <w:footnoteReference w:id="2"/>
              </w:r>
              <w:r>
                <w:rPr>
                  <w:szCs w:val="18"/>
                </w:rPr>
                <w:t xml:space="preserve"> Daarnaast worden de gegevens gebruikt voor de Nationale drug monitor, kerncijfers verslavingszorg en de landelijke monitor gezondheidszorg.</w:t>
              </w:r>
              <w:r>
                <w:rPr>
                  <w:rStyle w:val="Voetnootmarkering"/>
                  <w:szCs w:val="18"/>
                </w:rPr>
                <w:footnoteReference w:id="3"/>
              </w:r>
              <w:r>
                <w:rPr>
                  <w:szCs w:val="18"/>
                </w:rPr>
                <w:t xml:space="preserve"> </w:t>
              </w:r>
            </w:p>
            <w:p w:rsidR="00107B64" w:rsidP="00D71C8F" w:rsidRDefault="0063356F">
              <w:pPr>
                <w:rPr>
                  <w:szCs w:val="18"/>
                </w:rPr>
              </w:pPr>
            </w:p>
            <w:p w:rsidR="00107B64" w:rsidP="00D71C8F" w:rsidRDefault="00BA2BA4">
              <w:pPr>
                <w:rPr>
                  <w:szCs w:val="18"/>
                </w:rPr>
              </w:pPr>
              <w:r>
                <w:rPr>
                  <w:szCs w:val="18"/>
                </w:rPr>
                <w:t xml:space="preserve">De Afdeling merkt op dat deze rapportages gegevens bevatten over uiteenlopende vormen van verslavingszorg. Zonder nadere toelichting is daarom niet duidelijk wat onder verslavingszorg moet worden verstaan. Als gevolg daarvan is ook niet zonder meer duidelijk op welke zorgaanbieders de voorgestelde verplichting rust om gegevens te verstrekken. </w:t>
              </w:r>
            </w:p>
            <w:p w:rsidR="00107B64" w:rsidP="00D71C8F" w:rsidRDefault="0063356F">
              <w:pPr>
                <w:rPr>
                  <w:szCs w:val="18"/>
                </w:rPr>
              </w:pPr>
            </w:p>
            <w:p w:rsidRPr="00A23BB3" w:rsidR="006139B3" w:rsidP="00D71C8F" w:rsidRDefault="00BA2BA4">
              <w:pPr>
                <w:rPr>
                  <w:szCs w:val="18"/>
                </w:rPr>
              </w:pPr>
              <w:r>
                <w:rPr>
                  <w:szCs w:val="18"/>
                </w:rPr>
                <w:lastRenderedPageBreak/>
                <w:t xml:space="preserve">Gelet daarop adviseert de Afdeling de reikwijdte van de wettelijke verplichting te verduidelijken en in het </w:t>
              </w:r>
              <w:r>
                <w:t xml:space="preserve">wetsvoorstel een definitie van verslavingszorg op te nemen. </w:t>
              </w:r>
            </w:p>
            <w:p w:rsidR="006139B3" w:rsidP="00FF035E" w:rsidRDefault="0063356F"/>
            <w:p w:rsidRPr="006139B3" w:rsidR="000A291F" w:rsidP="00FF035E" w:rsidRDefault="00BA2BA4">
              <w:pPr>
                <w:rPr>
                  <w:u w:val="single"/>
                </w:rPr>
              </w:pPr>
              <w:r>
                <w:t>2.</w:t>
              </w:r>
              <w:r>
                <w:tab/>
              </w:r>
              <w:r w:rsidRPr="006139B3">
                <w:rPr>
                  <w:u w:val="single"/>
                </w:rPr>
                <w:t>Rechten van betrokkene</w:t>
              </w:r>
              <w:r>
                <w:rPr>
                  <w:u w:val="single"/>
                </w:rPr>
                <w:t>n</w:t>
              </w:r>
              <w:r w:rsidRPr="006139B3">
                <w:rPr>
                  <w:u w:val="single"/>
                </w:rPr>
                <w:t xml:space="preserve"> </w:t>
              </w:r>
              <w:r>
                <w:rPr>
                  <w:u w:val="single"/>
                </w:rPr>
                <w:t xml:space="preserve">bij </w:t>
              </w:r>
              <w:proofErr w:type="spellStart"/>
              <w:r w:rsidRPr="006139B3">
                <w:rPr>
                  <w:u w:val="single"/>
                </w:rPr>
                <w:t>gepseudonimiseerde</w:t>
              </w:r>
              <w:proofErr w:type="spellEnd"/>
              <w:r w:rsidRPr="006139B3">
                <w:rPr>
                  <w:u w:val="single"/>
                </w:rPr>
                <w:t xml:space="preserve"> gegevensverwerking</w:t>
              </w:r>
            </w:p>
            <w:p w:rsidR="008E6CC4" w:rsidP="00FF035E" w:rsidRDefault="0063356F"/>
            <w:p w:rsidR="004A5290" w:rsidP="00FF035E" w:rsidRDefault="00BA2BA4">
              <w:r>
                <w:t>Voorgesteld wordt dat zorgaanbieders van verslavingszorg en traumazorg aan respectievelijk de minister en de traumacentra (bijzondere) persoonsgegevens verstrekken ten behoeve van de kwaliteitsregisters LADIS en de Landelijke Traumaregistratie (LTR).</w:t>
              </w:r>
              <w:r>
                <w:rPr>
                  <w:rStyle w:val="Voetnootmarkering"/>
                </w:rPr>
                <w:footnoteReference w:id="4"/>
              </w:r>
              <w:r>
                <w:t xml:space="preserve"> De minister en traumacentra verwerken deze gegevens vervolgens ten behoeve van deze registers voor zover deze gegevens zijn </w:t>
              </w:r>
              <w:proofErr w:type="spellStart"/>
              <w:r>
                <w:t>gepseudonimiseerd</w:t>
              </w:r>
              <w:proofErr w:type="spellEnd"/>
              <w:r>
                <w:t>.</w:t>
              </w:r>
              <w:r>
                <w:rPr>
                  <w:rStyle w:val="Voetnootmarkering"/>
                </w:rPr>
                <w:footnoteReference w:id="5"/>
              </w:r>
              <w:r>
                <w:t xml:space="preserve"> </w:t>
              </w:r>
            </w:p>
            <w:p w:rsidR="004A5290" w:rsidP="00FF035E" w:rsidRDefault="0063356F"/>
            <w:p w:rsidR="00234AB7" w:rsidP="00FF035E" w:rsidRDefault="00BA2BA4">
              <w:pPr>
                <w:rPr>
                  <w:szCs w:val="18"/>
                </w:rPr>
              </w:pPr>
              <w:r>
                <w:t>Voor verwerking van persoonsgegevens geldt dat een ieder in beginsel moet kunnen nagaan of, en zo ja, welke gegevens worden verwerkt. Ter invulling van dit beginsel zijn in de Algemene Verordening Gegevensbescherming (AVG) een aantal rechten toegekend aan betrokkene.</w:t>
              </w:r>
              <w:r>
                <w:rPr>
                  <w:rStyle w:val="Voetnootmarkering"/>
                  <w:szCs w:val="18"/>
                </w:rPr>
                <w:footnoteReference w:id="6"/>
              </w:r>
              <w:r>
                <w:t xml:space="preserve"> Ten aanzien van de rechten van betrokkenen wordt in de toelichting enerzijds opgemerkt dat deze bij algemene maatregel van bestuur nader zullen worden uitgewerkt.</w:t>
              </w:r>
              <w:r>
                <w:rPr>
                  <w:rStyle w:val="Voetnootmarkering"/>
                </w:rPr>
                <w:footnoteReference w:id="7"/>
              </w:r>
              <w:r>
                <w:t xml:space="preserve"> Elders in de toelichting wordt echter opgemerkt dat de rechten van betrokkenen niet bij Nederlands recht worden beperkt</w:t>
              </w:r>
              <w:r>
                <w:rPr>
                  <w:szCs w:val="18"/>
                </w:rPr>
                <w:t xml:space="preserve"> en dat de bepalingen in de AVG die zien op de rechten van betrokkenen niet van toepassing zijn.</w:t>
              </w:r>
              <w:r>
                <w:rPr>
                  <w:rStyle w:val="Voetnootmarkering"/>
                  <w:szCs w:val="18"/>
                </w:rPr>
                <w:footnoteReference w:id="8"/>
              </w:r>
              <w:r>
                <w:rPr>
                  <w:szCs w:val="18"/>
                </w:rPr>
                <w:t xml:space="preserve"> </w:t>
              </w:r>
            </w:p>
            <w:p w:rsidR="00234AB7" w:rsidP="00FF035E" w:rsidRDefault="0063356F">
              <w:pPr>
                <w:rPr>
                  <w:szCs w:val="18"/>
                </w:rPr>
              </w:pPr>
            </w:p>
            <w:p w:rsidR="00234AB7" w:rsidP="00234AB7" w:rsidRDefault="00BA2BA4">
              <w:pPr>
                <w:rPr>
                  <w:szCs w:val="18"/>
                </w:rPr>
              </w:pPr>
              <w:r>
                <w:rPr>
                  <w:szCs w:val="18"/>
                </w:rPr>
                <w:t xml:space="preserve">De Afdeling merkt op dat de toelichting aldus tegenstrijdig is over de (nadere) regulering van de rechten van betrokkenen. Daarbij wordt onvoldoende onderscheid gemaakt tussen de verschillende verwerkingen die plaatsvinden door respectievelijk zorgaanbieders, de minister en traumacentra. Weliswaar geldt voor de verwerking door de minister en de traumacentra dat sprake is van </w:t>
              </w:r>
              <w:proofErr w:type="spellStart"/>
              <w:r>
                <w:rPr>
                  <w:szCs w:val="18"/>
                </w:rPr>
                <w:t>gepseudonimiseerde</w:t>
              </w:r>
              <w:proofErr w:type="spellEnd"/>
              <w:r>
                <w:rPr>
                  <w:szCs w:val="18"/>
                </w:rPr>
                <w:t xml:space="preserve"> gegevens. Dit geldt blijkens het voorstel echter niet voor de gegevensverstrekking door de zorgaanbieders van verslavingszorg en acute zorg aan respectievelijk de minister en traumacentra. De Afdeling adviseert in de toelichting in te gaan op de wijze waarop de rechten van betrokkenen in die gevallen zullen worden gewaarborgd en zo nodig het voorstel aan te passen. </w:t>
              </w:r>
            </w:p>
            <w:p w:rsidR="00234AB7" w:rsidP="00FF035E" w:rsidRDefault="0063356F">
              <w:pPr>
                <w:rPr>
                  <w:szCs w:val="18"/>
                </w:rPr>
              </w:pPr>
            </w:p>
            <w:p w:rsidR="001846AB" w:rsidP="00FF035E" w:rsidRDefault="00BA2BA4">
              <w:pPr>
                <w:rPr>
                  <w:szCs w:val="18"/>
                </w:rPr>
              </w:pPr>
              <w:r>
                <w:rPr>
                  <w:szCs w:val="18"/>
                </w:rPr>
                <w:t xml:space="preserve">Volgens de toelichting zijn de bepalingen van de AVG ten aanzien van de rechten van betrokkenen niet van toepassing. Ter motivering van die stelling wordt aangevoerd dat het een verwerking betreft waarvoor de </w:t>
              </w:r>
              <w:r w:rsidRPr="00D157DB">
                <w:rPr>
                  <w:szCs w:val="18"/>
                </w:rPr>
                <w:t xml:space="preserve">betrokkene niet wordt geïdentificeerd en ook niet hoeft te worden geïdentificeerd. De verwerkingsverantwoordelijke kan vanwege de dubbele </w:t>
              </w:r>
              <w:proofErr w:type="spellStart"/>
              <w:r w:rsidRPr="00D157DB">
                <w:rPr>
                  <w:szCs w:val="18"/>
                </w:rPr>
                <w:t>pseudonimisering</w:t>
              </w:r>
              <w:proofErr w:type="spellEnd"/>
              <w:r w:rsidRPr="00D157DB">
                <w:rPr>
                  <w:szCs w:val="18"/>
                </w:rPr>
                <w:t xml:space="preserve"> de betrokkene niet identificeren</w:t>
              </w:r>
              <w:r>
                <w:rPr>
                  <w:szCs w:val="18"/>
                </w:rPr>
                <w:t>,</w:t>
              </w:r>
              <w:r w:rsidRPr="00D157DB">
                <w:rPr>
                  <w:szCs w:val="18"/>
                </w:rPr>
                <w:t xml:space="preserve"> omdat hij de gebruikte unieke pseudoniemen niet kan herleiden tot de betrokkene</w:t>
              </w:r>
              <w:r>
                <w:rPr>
                  <w:szCs w:val="18"/>
                </w:rPr>
                <w:t>n, aldus de toelichting.</w:t>
              </w:r>
              <w:r>
                <w:rPr>
                  <w:rStyle w:val="Voetnootmarkering"/>
                  <w:szCs w:val="18"/>
                </w:rPr>
                <w:footnoteReference w:id="9"/>
              </w:r>
              <w:r>
                <w:rPr>
                  <w:szCs w:val="18"/>
                </w:rPr>
                <w:t xml:space="preserve"> </w:t>
              </w:r>
              <w:r>
                <w:rPr>
                  <w:szCs w:val="18"/>
                </w:rPr>
                <w:lastRenderedPageBreak/>
                <w:t>Aldus is sprake van de uitzonderingssituatie waarin de bepalingen in de AVG, die zien op de rechten van betrokkenen, niet van toepassing zijn.</w:t>
              </w:r>
              <w:r>
                <w:rPr>
                  <w:rStyle w:val="Voetnootmarkering"/>
                  <w:szCs w:val="18"/>
                </w:rPr>
                <w:footnoteReference w:id="10"/>
              </w:r>
              <w:r>
                <w:rPr>
                  <w:szCs w:val="18"/>
                </w:rPr>
                <w:t xml:space="preserve"> </w:t>
              </w:r>
            </w:p>
            <w:p w:rsidR="00234AB7" w:rsidP="00FF035E" w:rsidRDefault="0063356F">
              <w:pPr>
                <w:rPr>
                  <w:szCs w:val="18"/>
                </w:rPr>
              </w:pPr>
            </w:p>
            <w:p w:rsidR="00107B64" w:rsidP="00FF035E" w:rsidRDefault="00BA2BA4">
              <w:pPr>
                <w:rPr>
                  <w:szCs w:val="18"/>
                </w:rPr>
              </w:pPr>
              <w:r>
                <w:rPr>
                  <w:szCs w:val="18"/>
                </w:rPr>
                <w:t>De Afdeling wijst erop dat deze motivering vragen oproept. De AVG regelt immers eveneens waarborgen en afwijkingen voor de verwerking van  (</w:t>
              </w:r>
              <w:proofErr w:type="spellStart"/>
              <w:r>
                <w:rPr>
                  <w:szCs w:val="18"/>
                </w:rPr>
                <w:t>gepseudonimiseerde</w:t>
              </w:r>
              <w:proofErr w:type="spellEnd"/>
              <w:r>
                <w:rPr>
                  <w:szCs w:val="18"/>
                </w:rPr>
                <w:t>) gegevens met het oog op archivering in het algemeen belang, wetenschappelijk of historisch onderzoek of voor statische doeleinden. Deze verwerkingen zijn onderworpen aan passende waarborgen voor de rechten en vrijheden van betrokkene. Bij Unierecht of nationaal recht kan in dat geval worden afgeweken van een aantal (specifieke) bepalingen met betrekking tot de rechten van betrokkenen.</w:t>
              </w:r>
              <w:r>
                <w:rPr>
                  <w:rStyle w:val="Voetnootmarkering"/>
                  <w:szCs w:val="18"/>
                </w:rPr>
                <w:footnoteReference w:id="11"/>
              </w:r>
              <w:r>
                <w:rPr>
                  <w:szCs w:val="18"/>
                </w:rPr>
                <w:t xml:space="preserve"> Inperking van deze rechten kan echter pas aan de orde zijn voor zover die rechten het verwezenlijken van de specifieke doeleinden onmogelijk dreigen te maken of ernstig dreigen te belemmeren en dergelijke afwijkingen noodzakelijk zijn om die doeleinden te bereiken.</w:t>
              </w:r>
              <w:r>
                <w:rPr>
                  <w:rStyle w:val="Voetnootmarkering"/>
                  <w:szCs w:val="18"/>
                </w:rPr>
                <w:footnoteReference w:id="12"/>
              </w:r>
              <w:r>
                <w:rPr>
                  <w:szCs w:val="18"/>
                </w:rPr>
                <w:t xml:space="preserve"> </w:t>
              </w:r>
            </w:p>
            <w:p w:rsidR="00107B64" w:rsidP="00FF035E" w:rsidRDefault="0063356F">
              <w:pPr>
                <w:rPr>
                  <w:szCs w:val="18"/>
                </w:rPr>
              </w:pPr>
            </w:p>
            <w:p w:rsidRPr="004A5290" w:rsidR="00234AB7" w:rsidP="00FF035E" w:rsidRDefault="00BA2BA4">
              <w:r>
                <w:rPr>
                  <w:szCs w:val="18"/>
                </w:rPr>
                <w:t xml:space="preserve">De Afdeling adviseert hierop in de toelichting nader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F199D" w:rsidRDefault="00BA2BA4">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3F199D"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BA2BA4" w:rsidP="005B3E03">
      <w:r>
        <w:separator/>
      </w:r>
    </w:p>
    <w:p w:rsidR="002D0ACF" w:rsidRDefault="0063356F"/>
  </w:endnote>
  <w:endnote w:type="continuationSeparator" w:id="0">
    <w:p w:rsidR="00847094" w:rsidRDefault="00BA2BA4" w:rsidP="005B3E03">
      <w:r>
        <w:continuationSeparator/>
      </w:r>
    </w:p>
    <w:p w:rsidR="002D0ACF" w:rsidRDefault="00633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BA2BA4" w:rsidP="005B3E03">
      <w:r>
        <w:separator/>
      </w:r>
    </w:p>
    <w:p w:rsidR="002D0ACF" w:rsidRDefault="0063356F"/>
  </w:footnote>
  <w:footnote w:type="continuationSeparator" w:id="0">
    <w:p w:rsidR="00847094" w:rsidRDefault="00BA2BA4" w:rsidP="005B3E03">
      <w:r>
        <w:continuationSeparator/>
      </w:r>
    </w:p>
    <w:p w:rsidR="002D0ACF" w:rsidRDefault="0063356F"/>
  </w:footnote>
  <w:footnote w:id="1">
    <w:p w:rsidR="00661D7B" w:rsidRDefault="00BA2BA4">
      <w:pPr>
        <w:pStyle w:val="Voetnoottekst"/>
      </w:pPr>
      <w:r>
        <w:rPr>
          <w:rStyle w:val="Voetnootmarkering"/>
        </w:rPr>
        <w:footnoteRef/>
      </w:r>
      <w:r>
        <w:tab/>
        <w:t xml:space="preserve">Voorgesteld artikel 30a, eerste lid, </w:t>
      </w:r>
      <w:proofErr w:type="spellStart"/>
      <w:r>
        <w:t>Wkkgz</w:t>
      </w:r>
      <w:proofErr w:type="spellEnd"/>
      <w:r>
        <w:t xml:space="preserve">. </w:t>
      </w:r>
    </w:p>
  </w:footnote>
  <w:footnote w:id="2">
    <w:p w:rsidR="00A23BB3" w:rsidRDefault="00BA2BA4">
      <w:pPr>
        <w:pStyle w:val="Voetnoottekst"/>
      </w:pPr>
      <w:r>
        <w:rPr>
          <w:rStyle w:val="Voetnootmarkering"/>
        </w:rPr>
        <w:footnoteRef/>
      </w:r>
      <w:r>
        <w:tab/>
      </w:r>
      <w:r w:rsidRPr="00A23BB3">
        <w:t>Verordening (EG) nr.19020/2006 van het Europe</w:t>
      </w:r>
      <w:r>
        <w:t>es</w:t>
      </w:r>
      <w:r w:rsidRPr="00A23BB3">
        <w:t xml:space="preserve"> Parlement en de Raad van 12 december 2006 betreffende het Europees Waarnemingscentrum voor drugs en drugsverslaving (herschikking) </w:t>
      </w:r>
      <w:proofErr w:type="spellStart"/>
      <w:r w:rsidRPr="00A23BB3">
        <w:t>Pb</w:t>
      </w:r>
      <w:r>
        <w:t>EU</w:t>
      </w:r>
      <w:proofErr w:type="spellEnd"/>
      <w:r w:rsidRPr="00A23BB3">
        <w:t xml:space="preserve"> L376/1</w:t>
      </w:r>
      <w:r>
        <w:t>.</w:t>
      </w:r>
    </w:p>
  </w:footnote>
  <w:footnote w:id="3">
    <w:p w:rsidR="00577660" w:rsidRDefault="00BA2BA4" w:rsidP="00577660">
      <w:pPr>
        <w:pStyle w:val="Voetnoottekst"/>
      </w:pPr>
      <w:r>
        <w:rPr>
          <w:rStyle w:val="Voetnootmarkering"/>
        </w:rPr>
        <w:footnoteRef/>
      </w:r>
      <w:r>
        <w:tab/>
        <w:t xml:space="preserve">Memorie van Toelichting, paragraaf 2.2. </w:t>
      </w:r>
    </w:p>
  </w:footnote>
  <w:footnote w:id="4">
    <w:p w:rsidR="00C86C34" w:rsidRDefault="00BA2BA4" w:rsidP="00C86C34">
      <w:pPr>
        <w:pStyle w:val="Voetnoottekst"/>
      </w:pPr>
      <w:r>
        <w:rPr>
          <w:rStyle w:val="Voetnootmarkering"/>
        </w:rPr>
        <w:footnoteRef/>
      </w:r>
      <w:r>
        <w:t xml:space="preserve"> </w:t>
      </w:r>
      <w:r>
        <w:tab/>
        <w:t xml:space="preserve">Voorgesteld artikel 30a, eerste lid, en artikel 30b, eerste lid. </w:t>
      </w:r>
    </w:p>
  </w:footnote>
  <w:footnote w:id="5">
    <w:p w:rsidR="00DD0D71" w:rsidRDefault="00BA2BA4" w:rsidP="00DD0D71">
      <w:pPr>
        <w:pStyle w:val="Voetnoottekst"/>
      </w:pPr>
      <w:r>
        <w:rPr>
          <w:rStyle w:val="Voetnootmarkering"/>
        </w:rPr>
        <w:footnoteRef/>
      </w:r>
      <w:r>
        <w:t xml:space="preserve"> </w:t>
      </w:r>
      <w:r>
        <w:tab/>
        <w:t xml:space="preserve">Voorgesteld artikel 30a, derde lid, en artikel 30b, vierde lid. </w:t>
      </w:r>
    </w:p>
  </w:footnote>
  <w:footnote w:id="6">
    <w:p w:rsidR="007C0254" w:rsidRDefault="00BA2BA4" w:rsidP="007C0254">
      <w:pPr>
        <w:pStyle w:val="Voetnoottekst"/>
      </w:pPr>
      <w:r>
        <w:rPr>
          <w:rStyle w:val="Voetnootmarkering"/>
        </w:rPr>
        <w:footnoteRef/>
      </w:r>
      <w:r>
        <w:tab/>
        <w:t xml:space="preserve">Artikelen 12-22 </w:t>
      </w:r>
      <w:r w:rsidRPr="00A8094E">
        <w:rPr>
          <w:i/>
          <w:iCs/>
        </w:rPr>
        <w:t>Verordening</w:t>
      </w:r>
      <w:r w:rsidRPr="006510E7">
        <w:t xml:space="preserve"> (EU) 2016/679 van het Europees Parlement en de Raad van 27 april 2016 betreffende de bescherming van natuurlijke personen in verband met de verwerking van persoonsgegevens en betreffende het vrije verkeer van die gegevens en tot intrekking van Richtlijn 95/46/EG, </w:t>
      </w:r>
      <w:proofErr w:type="spellStart"/>
      <w:r w:rsidRPr="006510E7">
        <w:t>PbEU</w:t>
      </w:r>
      <w:proofErr w:type="spellEnd"/>
      <w:r w:rsidRPr="006510E7">
        <w:t xml:space="preserve"> 2016, L 119/1 </w:t>
      </w:r>
      <w:r w:rsidRPr="00A8094E">
        <w:rPr>
          <w:i/>
          <w:iCs/>
        </w:rPr>
        <w:t>(Algemene verordening gegevensbescherming).</w:t>
      </w:r>
      <w:r w:rsidRPr="006510E7">
        <w:t xml:space="preserve"> </w:t>
      </w:r>
    </w:p>
  </w:footnote>
  <w:footnote w:id="7">
    <w:p w:rsidR="006139B3" w:rsidRDefault="00BA2BA4">
      <w:pPr>
        <w:pStyle w:val="Voetnoottekst"/>
      </w:pPr>
      <w:r>
        <w:rPr>
          <w:rStyle w:val="Voetnootmarkering"/>
        </w:rPr>
        <w:footnoteRef/>
      </w:r>
      <w:r>
        <w:t xml:space="preserve"> </w:t>
      </w:r>
      <w:r>
        <w:tab/>
        <w:t>Memorie van Toelichting, paragraaf 5.1.1.</w:t>
      </w:r>
    </w:p>
  </w:footnote>
  <w:footnote w:id="8">
    <w:p w:rsidR="00D240F1" w:rsidRDefault="00BA2BA4">
      <w:pPr>
        <w:pStyle w:val="Voetnoottekst"/>
      </w:pPr>
      <w:r>
        <w:rPr>
          <w:rStyle w:val="Voetnootmarkering"/>
        </w:rPr>
        <w:footnoteRef/>
      </w:r>
      <w:r>
        <w:tab/>
        <w:t>Memorie van Toelichting, paragraaf 5.1.2.</w:t>
      </w:r>
    </w:p>
  </w:footnote>
  <w:footnote w:id="9">
    <w:p w:rsidR="00D6591C" w:rsidRDefault="00BA2BA4">
      <w:pPr>
        <w:pStyle w:val="Voetnoottekst"/>
      </w:pPr>
      <w:r>
        <w:rPr>
          <w:rStyle w:val="Voetnootmarkering"/>
        </w:rPr>
        <w:footnoteRef/>
      </w:r>
      <w:r>
        <w:tab/>
        <w:t>Memorie van Toelichting, paragraaf 5.1.2.</w:t>
      </w:r>
    </w:p>
  </w:footnote>
  <w:footnote w:id="10">
    <w:p w:rsidR="004A5290" w:rsidRDefault="00BA2BA4">
      <w:pPr>
        <w:pStyle w:val="Voetnoottekst"/>
      </w:pPr>
      <w:r>
        <w:rPr>
          <w:rStyle w:val="Voetnootmarkering"/>
        </w:rPr>
        <w:footnoteRef/>
      </w:r>
      <w:r>
        <w:tab/>
        <w:t xml:space="preserve">Artikel 11, eerste en tweede lid, AVG. </w:t>
      </w:r>
    </w:p>
  </w:footnote>
  <w:footnote w:id="11">
    <w:p w:rsidR="0015158F" w:rsidRDefault="00BA2BA4">
      <w:pPr>
        <w:pStyle w:val="Voetnoottekst"/>
      </w:pPr>
      <w:r>
        <w:rPr>
          <w:rStyle w:val="Voetnootmarkering"/>
        </w:rPr>
        <w:footnoteRef/>
      </w:r>
      <w:r>
        <w:tab/>
        <w:t>Artikel 89 en overwegingen 156-163, AVG.</w:t>
      </w:r>
    </w:p>
  </w:footnote>
  <w:footnote w:id="12">
    <w:p w:rsidR="0015158F" w:rsidRDefault="00BA2BA4">
      <w:pPr>
        <w:pStyle w:val="Voetnoottekst"/>
      </w:pPr>
      <w:r>
        <w:rPr>
          <w:rStyle w:val="Voetnootmarkering"/>
        </w:rPr>
        <w:footnoteRef/>
      </w:r>
      <w:r>
        <w:tab/>
        <w:t xml:space="preserve">Artikel 89, tweede en derde lid, AVG.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356F">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F199D"/>
    <w:rsid w:val="004421C1"/>
    <w:rsid w:val="004933B1"/>
    <w:rsid w:val="004C120D"/>
    <w:rsid w:val="00503044"/>
    <w:rsid w:val="0063356F"/>
    <w:rsid w:val="006D3E6B"/>
    <w:rsid w:val="0071031E"/>
    <w:rsid w:val="00724C4B"/>
    <w:rsid w:val="00743D19"/>
    <w:rsid w:val="00831756"/>
    <w:rsid w:val="009E72D2"/>
    <w:rsid w:val="00A349AF"/>
    <w:rsid w:val="00AA44F3"/>
    <w:rsid w:val="00B03C96"/>
    <w:rsid w:val="00B44919"/>
    <w:rsid w:val="00BA2BA4"/>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A01C477-9762-4C52-B6B0-0A87733E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661D7B"/>
    <w:rPr>
      <w:rFonts w:cs="Times New Roman"/>
      <w:vertAlign w:val="superscript"/>
    </w:rPr>
  </w:style>
  <w:style w:type="paragraph" w:styleId="Tekstopmerking">
    <w:name w:val="annotation text"/>
    <w:basedOn w:val="Standaard"/>
    <w:link w:val="TekstopmerkingChar"/>
    <w:uiPriority w:val="99"/>
    <w:semiHidden/>
    <w:unhideWhenUsed/>
    <w:rsid w:val="0081714D"/>
    <w:pPr>
      <w:spacing w:after="200"/>
    </w:pPr>
    <w:rPr>
      <w:rFonts w:ascii="Verdana" w:eastAsiaTheme="minorHAnsi" w:hAnsi="Verdana" w:cstheme="minorBidi"/>
      <w:sz w:val="20"/>
      <w:szCs w:val="20"/>
      <w:lang w:eastAsia="en-US"/>
    </w:rPr>
  </w:style>
  <w:style w:type="character" w:customStyle="1" w:styleId="TekstopmerkingChar">
    <w:name w:val="Tekst opmerking Char"/>
    <w:basedOn w:val="Standaardalinea-lettertype"/>
    <w:link w:val="Tekstopmerking"/>
    <w:uiPriority w:val="99"/>
    <w:semiHidden/>
    <w:rsid w:val="0081714D"/>
    <w:rPr>
      <w:rFonts w:ascii="Verdana" w:eastAsiaTheme="minorHAnsi" w:hAnsi="Verdana" w:cstheme="minorBidi"/>
      <w:lang w:eastAsia="en-US"/>
    </w:rPr>
  </w:style>
  <w:style w:type="character" w:styleId="Verwijzingopmerking">
    <w:name w:val="annotation reference"/>
    <w:basedOn w:val="Standaardalinea-lettertype"/>
    <w:uiPriority w:val="99"/>
    <w:semiHidden/>
    <w:unhideWhenUsed/>
    <w:rsid w:val="0081714D"/>
    <w:rPr>
      <w:sz w:val="16"/>
      <w:szCs w:val="16"/>
    </w:rPr>
  </w:style>
  <w:style w:type="paragraph" w:styleId="Onderwerpvanopmerking">
    <w:name w:val="annotation subject"/>
    <w:basedOn w:val="Tekstopmerking"/>
    <w:next w:val="Tekstopmerking"/>
    <w:link w:val="OnderwerpvanopmerkingChar"/>
    <w:semiHidden/>
    <w:unhideWhenUsed/>
    <w:rsid w:val="00465261"/>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semiHidden/>
    <w:rsid w:val="00465261"/>
    <w:rPr>
      <w:rFonts w:ascii="Univers" w:eastAsiaTheme="minorHAnsi" w:hAnsi="Univers" w:cstheme="minorBidi"/>
      <w:b/>
      <w:bCs/>
      <w:lang w:eastAsia="en-US"/>
    </w:rPr>
  </w:style>
  <w:style w:type="paragraph" w:customStyle="1" w:styleId="Default">
    <w:name w:val="Default"/>
    <w:rsid w:val="00577660"/>
    <w:pPr>
      <w:autoSpaceDE w:val="0"/>
      <w:autoSpaceDN w:val="0"/>
      <w:adjustRightInd w:val="0"/>
    </w:pPr>
    <w:rPr>
      <w:rFonts w:ascii="Verdana" w:hAnsi="Verdana" w:cs="Verdana"/>
      <w:color w:val="000000"/>
      <w:sz w:val="24"/>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899</ap:Words>
  <ap:Characters>5565</ap:Characters>
  <ap:DocSecurity>4</ap:DocSecurity>
  <ap:Lines>46</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2020-09-04T10:58:00.0000000Z</dcterms:created>
  <dcterms:modified xsi:type="dcterms:W3CDTF">2020-09-04T10:58:00.0000000Z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0x0101004E1BB93B44897749877F39EBB47FD1C3</vt:lpwstr>
  </property>
</Properties>
</file>