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1624A" w:rsidR="00CB3578" w:rsidTr="00F13442">
        <w:trPr>
          <w:cantSplit/>
        </w:trPr>
        <w:tc>
          <w:tcPr>
            <w:tcW w:w="9142" w:type="dxa"/>
            <w:gridSpan w:val="2"/>
            <w:tcBorders>
              <w:top w:val="nil"/>
              <w:left w:val="nil"/>
              <w:bottom w:val="nil"/>
              <w:right w:val="nil"/>
            </w:tcBorders>
          </w:tcPr>
          <w:p w:rsidRPr="002E7E4C" w:rsidR="002E7E4C" w:rsidP="000D0DF5" w:rsidRDefault="002E7E4C">
            <w:pPr>
              <w:tabs>
                <w:tab w:val="left" w:pos="-1440"/>
                <w:tab w:val="left" w:pos="-720"/>
              </w:tabs>
              <w:suppressAutoHyphens/>
              <w:rPr>
                <w:rFonts w:ascii="Times New Roman" w:hAnsi="Times New Roman"/>
              </w:rPr>
            </w:pPr>
            <w:r w:rsidRPr="002E7E4C">
              <w:rPr>
                <w:rFonts w:ascii="Times New Roman" w:hAnsi="Times New Roman"/>
              </w:rPr>
              <w:t>De Tweede Kamer der Staten-</w:t>
            </w:r>
            <w:r w:rsidRPr="002E7E4C">
              <w:rPr>
                <w:rFonts w:ascii="Times New Roman" w:hAnsi="Times New Roman"/>
              </w:rPr>
              <w:fldChar w:fldCharType="begin"/>
            </w:r>
            <w:r w:rsidRPr="002E7E4C">
              <w:rPr>
                <w:rFonts w:ascii="Times New Roman" w:hAnsi="Times New Roman"/>
              </w:rPr>
              <w:instrText xml:space="preserve">PRIVATE </w:instrText>
            </w:r>
            <w:r w:rsidRPr="002E7E4C">
              <w:rPr>
                <w:rFonts w:ascii="Times New Roman" w:hAnsi="Times New Roman"/>
              </w:rPr>
              <w:fldChar w:fldCharType="end"/>
            </w:r>
          </w:p>
          <w:p w:rsidRPr="002E7E4C" w:rsidR="002E7E4C" w:rsidP="000D0DF5" w:rsidRDefault="002E7E4C">
            <w:pPr>
              <w:tabs>
                <w:tab w:val="left" w:pos="-1440"/>
                <w:tab w:val="left" w:pos="-720"/>
              </w:tabs>
              <w:suppressAutoHyphens/>
              <w:rPr>
                <w:rFonts w:ascii="Times New Roman" w:hAnsi="Times New Roman"/>
              </w:rPr>
            </w:pPr>
            <w:r w:rsidRPr="002E7E4C">
              <w:rPr>
                <w:rFonts w:ascii="Times New Roman" w:hAnsi="Times New Roman"/>
              </w:rPr>
              <w:t>Generaal zendt bijgaand door</w:t>
            </w:r>
          </w:p>
          <w:p w:rsidRPr="002E7E4C" w:rsidR="002E7E4C" w:rsidP="000D0DF5" w:rsidRDefault="002E7E4C">
            <w:pPr>
              <w:tabs>
                <w:tab w:val="left" w:pos="-1440"/>
                <w:tab w:val="left" w:pos="-720"/>
              </w:tabs>
              <w:suppressAutoHyphens/>
              <w:rPr>
                <w:rFonts w:ascii="Times New Roman" w:hAnsi="Times New Roman"/>
              </w:rPr>
            </w:pPr>
            <w:r w:rsidRPr="002E7E4C">
              <w:rPr>
                <w:rFonts w:ascii="Times New Roman" w:hAnsi="Times New Roman"/>
              </w:rPr>
              <w:t>haar aangenomen wetsvoorstel</w:t>
            </w:r>
          </w:p>
          <w:p w:rsidRPr="002E7E4C" w:rsidR="002E7E4C" w:rsidP="000D0DF5" w:rsidRDefault="002E7E4C">
            <w:pPr>
              <w:tabs>
                <w:tab w:val="left" w:pos="-1440"/>
                <w:tab w:val="left" w:pos="-720"/>
              </w:tabs>
              <w:suppressAutoHyphens/>
              <w:rPr>
                <w:rFonts w:ascii="Times New Roman" w:hAnsi="Times New Roman"/>
              </w:rPr>
            </w:pPr>
            <w:r w:rsidRPr="002E7E4C">
              <w:rPr>
                <w:rFonts w:ascii="Times New Roman" w:hAnsi="Times New Roman"/>
              </w:rPr>
              <w:t>aan de Eerste Kamer.</w:t>
            </w: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r w:rsidRPr="002E7E4C">
              <w:rPr>
                <w:rFonts w:ascii="Times New Roman" w:hAnsi="Times New Roman"/>
              </w:rPr>
              <w:t>De Voorzitter,</w:t>
            </w: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2E7E4C" w:rsidR="002E7E4C" w:rsidP="000D0DF5" w:rsidRDefault="002E7E4C">
            <w:pPr>
              <w:tabs>
                <w:tab w:val="left" w:pos="-1440"/>
                <w:tab w:val="left" w:pos="-720"/>
              </w:tabs>
              <w:suppressAutoHyphens/>
              <w:rPr>
                <w:rFonts w:ascii="Times New Roman" w:hAnsi="Times New Roman"/>
              </w:rPr>
            </w:pPr>
          </w:p>
          <w:p w:rsidRPr="006470D8" w:rsidR="00CB3578" w:rsidP="002E7E4C" w:rsidRDefault="002E7E4C">
            <w:pPr>
              <w:pStyle w:val="Amendement"/>
              <w:rPr>
                <w:rFonts w:ascii="Times New Roman" w:hAnsi="Times New Roman" w:cs="Times New Roman"/>
                <w:b w:val="0"/>
              </w:rPr>
            </w:pPr>
            <w:r>
              <w:rPr>
                <w:rFonts w:ascii="Times New Roman" w:hAnsi="Times New Roman" w:cs="Times New Roman"/>
                <w:b w:val="0"/>
              </w:rPr>
              <w:t>3 september 2020</w:t>
            </w:r>
          </w:p>
        </w:tc>
      </w:tr>
      <w:tr w:rsidRPr="00C1624A" w:rsidR="002E7E4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2E7E4C" w:rsidP="00C1624A" w:rsidRDefault="002E7E4C">
            <w:pPr>
              <w:pStyle w:val="Amendement"/>
              <w:rPr>
                <w:rFonts w:ascii="Times New Roman" w:hAnsi="Times New Roman" w:cs="Times New Roman"/>
              </w:rPr>
            </w:pPr>
          </w:p>
        </w:tc>
        <w:tc>
          <w:tcPr>
            <w:tcW w:w="6590" w:type="dxa"/>
            <w:tcBorders>
              <w:top w:val="nil"/>
              <w:left w:val="nil"/>
              <w:bottom w:val="nil"/>
              <w:right w:val="nil"/>
            </w:tcBorders>
          </w:tcPr>
          <w:p w:rsidRPr="00C1624A" w:rsidR="002E7E4C" w:rsidP="00C1624A" w:rsidRDefault="002E7E4C">
            <w:pPr>
              <w:tabs>
                <w:tab w:val="left" w:pos="-1440"/>
                <w:tab w:val="left" w:pos="-720"/>
              </w:tabs>
              <w:suppressAutoHyphens/>
              <w:rPr>
                <w:rFonts w:ascii="Times New Roman" w:hAnsi="Times New Roman"/>
                <w:b/>
                <w:bCs/>
                <w:sz w:val="24"/>
              </w:rPr>
            </w:pP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tabs>
                <w:tab w:val="left" w:pos="-1440"/>
                <w:tab w:val="left" w:pos="-720"/>
              </w:tabs>
              <w:suppressAutoHyphens/>
              <w:rPr>
                <w:rFonts w:ascii="Times New Roman" w:hAnsi="Times New Roman"/>
                <w:b/>
                <w:bCs/>
                <w:sz w:val="24"/>
              </w:rPr>
            </w:pPr>
          </w:p>
        </w:tc>
      </w:tr>
      <w:tr w:rsidRPr="00C1624A" w:rsidR="002E7E4C" w:rsidTr="001E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624A" w:rsidR="002E7E4C" w:rsidP="00C1624A" w:rsidRDefault="002E7E4C">
            <w:pPr>
              <w:rPr>
                <w:rFonts w:ascii="Times New Roman" w:hAnsi="Times New Roman"/>
                <w:b/>
                <w:sz w:val="24"/>
              </w:rPr>
            </w:pPr>
            <w:r w:rsidRPr="00C1624A">
              <w:rPr>
                <w:rFonts w:ascii="Times New Roman" w:hAnsi="Times New Roman"/>
                <w:b/>
                <w:sz w:val="24"/>
              </w:rPr>
              <w:t>Wijziging van Boek 1 van het Burgerlijk Wetboek teneinde te voorzien in een adviesrecht voor gemeenten bij de procedure rond beschermingsbewind wegens problematische schulden</w:t>
            </w: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r w:rsidRPr="00C1624A" w:rsidR="002E7E4C" w:rsidTr="00FF3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624A" w:rsidR="002E7E4C" w:rsidP="00C1624A" w:rsidRDefault="002E7E4C">
            <w:pPr>
              <w:pStyle w:val="Amendement"/>
              <w:rPr>
                <w:rFonts w:ascii="Times New Roman" w:hAnsi="Times New Roman" w:cs="Times New Roman"/>
              </w:rPr>
            </w:pPr>
            <w:r>
              <w:rPr>
                <w:rFonts w:ascii="Times New Roman" w:hAnsi="Times New Roman" w:cs="Times New Roman"/>
              </w:rPr>
              <w:t xml:space="preserve">GEWIJZIGD </w:t>
            </w:r>
            <w:r w:rsidRPr="00C1624A">
              <w:rPr>
                <w:rFonts w:ascii="Times New Roman" w:hAnsi="Times New Roman" w:cs="Times New Roman"/>
              </w:rPr>
              <w:t>VOORSTEL VAN WET</w:t>
            </w:r>
          </w:p>
        </w:tc>
      </w:tr>
      <w:tr w:rsidRPr="00C1624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c>
          <w:tcPr>
            <w:tcW w:w="6590" w:type="dxa"/>
            <w:tcBorders>
              <w:top w:val="nil"/>
              <w:left w:val="nil"/>
              <w:bottom w:val="nil"/>
              <w:right w:val="nil"/>
            </w:tcBorders>
          </w:tcPr>
          <w:p w:rsidRPr="00C1624A" w:rsidR="00CB3578" w:rsidP="00C1624A" w:rsidRDefault="00CB3578">
            <w:pPr>
              <w:pStyle w:val="Amendement"/>
              <w:rPr>
                <w:rFonts w:ascii="Times New Roman" w:hAnsi="Times New Roman" w:cs="Times New Roman"/>
              </w:rPr>
            </w:pPr>
          </w:p>
        </w:tc>
      </w:tr>
    </w:tbl>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Wij Willem-Alexander, bij de gratie Gods, Koning der Nederlanden, Prins van Oranje-Nassau enz. enz. enz.</w:t>
      </w:r>
    </w:p>
    <w:p w:rsidRPr="00C1624A" w:rsidR="00614805" w:rsidP="00C1624A" w:rsidRDefault="00614805">
      <w:pPr>
        <w:pStyle w:val="Geenafstand"/>
        <w:ind w:firstLine="284"/>
        <w:jc w:val="both"/>
        <w:rPr>
          <w:rFonts w:ascii="Times New Roman" w:hAnsi="Times New Roman" w:cs="Times New Roman"/>
          <w:sz w:val="24"/>
          <w:szCs w:val="24"/>
          <w:lang w:eastAsia="nl-NL"/>
        </w:rPr>
      </w:pP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Allen, die deze zullen zien of horen lezen, saluut! doen te weten:</w:t>
      </w: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Alzo Wij in overweging genomen hebben, dat het wenselijk is dat Boek 1 van het Burgerlijk Wetboek wordt gewijzigd, teneinde te voorzien in een adviesrecht voor gemeenten bij de procedure rond beschermingsbewind wegens problematische schulden;</w:t>
      </w:r>
    </w:p>
    <w:p w:rsidRPr="00C1624A" w:rsidR="00614805" w:rsidP="00C1624A" w:rsidRDefault="00614805">
      <w:pPr>
        <w:pStyle w:val="Geenafstand"/>
        <w:ind w:firstLine="284"/>
        <w:jc w:val="both"/>
        <w:rPr>
          <w:rFonts w:ascii="Times New Roman" w:hAnsi="Times New Roman" w:cs="Times New Roman"/>
          <w:sz w:val="24"/>
          <w:szCs w:val="24"/>
          <w:lang w:eastAsia="nl-NL"/>
        </w:rPr>
      </w:pPr>
      <w:r w:rsidRPr="00C1624A">
        <w:rPr>
          <w:rFonts w:ascii="Times New Roman" w:hAnsi="Times New Roman" w:cs="Times New Roman"/>
          <w:sz w:val="24"/>
          <w:szCs w:val="24"/>
          <w:lang w:eastAsia="nl-NL"/>
        </w:rPr>
        <w:t>Zo is het dat Wij, de Afdeling advisering van de Raad van State gehoord, en met gemeen overleg der Staten-Generaal, hebben goedgevonden en verstaan, gelijk Wij goedvinden en verstaan bij deze:</w:t>
      </w:r>
    </w:p>
    <w:p w:rsidRPr="00C1624A" w:rsidR="00614805" w:rsidP="00C1624A" w:rsidRDefault="00614805">
      <w:pPr>
        <w:pStyle w:val="Geenafstand"/>
        <w:jc w:val="both"/>
        <w:rPr>
          <w:rFonts w:ascii="Times New Roman" w:hAnsi="Times New Roman" w:cs="Times New Roman"/>
          <w:sz w:val="24"/>
          <w:szCs w:val="24"/>
          <w:lang w:eastAsia="nl-NL"/>
        </w:rPr>
      </w:pP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C1624A">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I</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Boek 1 van het Burgerlijk Wetboek wordt als volgt gewijzigd:</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sz w:val="24"/>
          <w:szCs w:val="24"/>
        </w:rPr>
      </w:pPr>
      <w:r w:rsidRPr="00C1624A">
        <w:rPr>
          <w:rFonts w:ascii="Times New Roman" w:hAnsi="Times New Roman" w:cs="Times New Roman"/>
          <w:sz w:val="24"/>
          <w:szCs w:val="24"/>
        </w:rPr>
        <w:t>A</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Artikel 431 wordt als volgt gewijzigd:</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1. Het eerste lid komt als volgt te luiden:</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t>1. De kantonrechter kan een bewind instellen over één of meer van de goederen die een meerderjarige als rechthebbende toebehoren of zullen toebehoren</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t>a. voor een bepaalde of onbepaalde tijdsduur indien de meerderjarige tijdelijk of duurzaam niet in staat is ten volle zijn vermogensrechtelijke belangen behoorlijk waar te nemen als gevolg van zijn lichamelijke of geestelijke toestand, dan wel</w:t>
      </w:r>
    </w:p>
    <w:p w:rsidRPr="0075583C" w:rsidR="00614805" w:rsidP="00C1624A" w:rsidRDefault="00614805">
      <w:pPr>
        <w:pStyle w:val="Geenafstand"/>
        <w:ind w:firstLine="284"/>
        <w:jc w:val="both"/>
        <w:rPr>
          <w:rStyle w:val="lidnr"/>
          <w:rFonts w:ascii="Times New Roman" w:hAnsi="Times New Roman" w:cs="Times New Roman"/>
          <w:sz w:val="24"/>
          <w:szCs w:val="24"/>
        </w:rPr>
      </w:pPr>
      <w:r w:rsidRPr="0075583C">
        <w:rPr>
          <w:rStyle w:val="lidnr"/>
          <w:rFonts w:ascii="Times New Roman" w:hAnsi="Times New Roman" w:cs="Times New Roman"/>
          <w:sz w:val="24"/>
          <w:szCs w:val="24"/>
        </w:rPr>
        <w:lastRenderedPageBreak/>
        <w:t xml:space="preserve">b. voor een bepaalde tijdsduur indien de meerderjarige tijdelijk niet in staat is ten volle zijn vermogensrechtelijke belangen behoorlijk waar te nemen als gevolg van verkwisting of het hebben van problematische schulden. </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2. Na het vierde lid wordt een lid toegevoegd, luidende:</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5. Onder aan de meerderjarige toebehorende goederen zijn in deze titel begrepen goederen die behoren tot zijn huwelijksgemeenschap of gemeenschap van geregistreerd partnerschap en die niet uitsluitend onder het bestuur van zijn echtgenoot dan wel geregistreerd partner staan.</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sz w:val="24"/>
          <w:szCs w:val="24"/>
        </w:rPr>
      </w:pPr>
      <w:r w:rsidRPr="00C1624A">
        <w:rPr>
          <w:rFonts w:ascii="Times New Roman" w:hAnsi="Times New Roman" w:cs="Times New Roman"/>
          <w:sz w:val="24"/>
          <w:szCs w:val="24"/>
        </w:rPr>
        <w:t>B</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Na artikel 432 wordt een artikel ingevoegd, luidende:</w:t>
      </w:r>
    </w:p>
    <w:p w:rsidRPr="00C1624A" w:rsidR="00614805" w:rsidP="00C1624A" w:rsidRDefault="00614805">
      <w:pPr>
        <w:pStyle w:val="Geenafstand"/>
        <w:jc w:val="both"/>
        <w:rPr>
          <w:rFonts w:ascii="Times New Roman" w:hAnsi="Times New Roman" w:cs="Times New Roman"/>
          <w:sz w:val="24"/>
          <w:szCs w:val="24"/>
        </w:rPr>
      </w:pPr>
    </w:p>
    <w:p w:rsidRPr="00C1624A" w:rsidR="00614805" w:rsidP="00C1624A" w:rsidRDefault="00614805">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432a</w:t>
      </w:r>
    </w:p>
    <w:p w:rsidRPr="00C1624A" w:rsidR="00614805" w:rsidP="00C1624A" w:rsidRDefault="00614805">
      <w:pPr>
        <w:pStyle w:val="Geenafstand"/>
        <w:ind w:firstLine="284"/>
        <w:jc w:val="both"/>
        <w:rPr>
          <w:rFonts w:ascii="Times New Roman" w:hAnsi="Times New Roman" w:cs="Times New Roman"/>
          <w:b/>
          <w:bCs/>
          <w:sz w:val="24"/>
          <w:szCs w:val="24"/>
        </w:rPr>
      </w:pPr>
    </w:p>
    <w:p w:rsidRPr="00C1624A" w:rsidR="00614805" w:rsidP="00C1624A" w:rsidRDefault="00614805">
      <w:pPr>
        <w:pStyle w:val="Geenafstand"/>
        <w:ind w:firstLine="284"/>
        <w:jc w:val="both"/>
        <w:rPr>
          <w:rFonts w:ascii="Times New Roman" w:hAnsi="Times New Roman" w:cs="Times New Roman"/>
          <w:b/>
          <w:bCs/>
          <w:sz w:val="24"/>
          <w:szCs w:val="24"/>
        </w:rPr>
      </w:pPr>
      <w:r w:rsidRPr="00C1624A">
        <w:rPr>
          <w:rFonts w:ascii="Times New Roman" w:hAnsi="Times New Roman" w:cs="Times New Roman"/>
          <w:sz w:val="24"/>
          <w:szCs w:val="24"/>
        </w:rPr>
        <w:t>1. Dit artikel is van toepassing indien het college van burgemeester en wethouders van de gemeente waar de rechthebbende woonplaats heeft, schriftelijk aan de griffier van de ingevolge artikel 266 van het Wetboek van Burgerlijke Rechtsvordering bevoegde rechtbank kenbaar heeft gemaakt dat het advies wenst uit te brengen over de vraag of een voldoende behartiging van de belangen van rechthebbenden kan worden bewerkstelligd met een meer passende en minder verstrekkende voorziening dan met de voortzetting van bewind, totdat het college deze verklaring schriftelijk intrekt.</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2. De rechter verplicht de bewindvoerder binnen drie maanden na de instelling van een bewind wegens verkwisting of het hebben van problematische schulden afschrift van de boedelbeschrijving, bedoeld in artikel 436, eerste lid, en een plan van aanpak te zenden aan het college.</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3. De rechter kan de bewindvoerder verplichten binnen drie maanden na de instelling van een bewind wegens een lichamelijke of geestelijke toestand afschrift van de bescheiden, bedoeld in het tweede lid, te zenden aan het college indien tevens sprake is van problematische schulden.</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4. Indien de rechter de bewindvoerder verplicht de bescheiden, bedoeld in het tweede lid, te zenden aan het college, kan het college aan de rechter een advies als bedoeld in het eerste lid uitbrengen. De bewindvoerde</w:t>
      </w:r>
      <w:r w:rsidR="006470D8">
        <w:rPr>
          <w:rFonts w:ascii="Times New Roman" w:hAnsi="Times New Roman" w:cs="Times New Roman"/>
          <w:sz w:val="24"/>
          <w:szCs w:val="24"/>
        </w:rPr>
        <w:t>r bericht het college binnen twee weken</w:t>
      </w:r>
      <w:r w:rsidRPr="00C1624A">
        <w:rPr>
          <w:rFonts w:ascii="Times New Roman" w:hAnsi="Times New Roman" w:cs="Times New Roman"/>
          <w:sz w:val="24"/>
          <w:szCs w:val="24"/>
        </w:rPr>
        <w:t xml:space="preserve"> na de instelling van het bewind over de instelling.</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5. Het college verstrekt het advies aan de griffier, de rechthebbende en de bewindvoerder binnen vier weken na ontvangst van de bescheiden, bedoeld in het tweede lid.</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6. Indien het college adviseert dat een voldoende behartiging van de belangen van de rechthebbende kan worden bewerkstelligd met een meer passende en minder verstrekkende voorziening, beslist de rechter of het bewind wordt voortgezet dan wel beëindigd. De griffier zendt afschrift van de beschikking aan het college. In afwijking van artikel 806, eerste lid, onderdeel a, van het Wetboek van Burgerlijke Rechtsvordering staat voor het college geen hoger beroep open tegen de beschikking.</w:t>
      </w:r>
    </w:p>
    <w:p w:rsidRPr="00C1624A" w:rsidR="00614805" w:rsidP="00C1624A" w:rsidRDefault="00614805">
      <w:pPr>
        <w:pStyle w:val="Geenafstand"/>
        <w:ind w:firstLine="284"/>
        <w:jc w:val="both"/>
        <w:rPr>
          <w:rFonts w:ascii="Times New Roman" w:hAnsi="Times New Roman" w:cs="Times New Roman"/>
          <w:sz w:val="24"/>
          <w:szCs w:val="24"/>
        </w:rPr>
      </w:pPr>
      <w:r w:rsidRPr="00C1624A">
        <w:rPr>
          <w:rFonts w:ascii="Times New Roman" w:hAnsi="Times New Roman" w:cs="Times New Roman"/>
          <w:sz w:val="24"/>
          <w:szCs w:val="24"/>
        </w:rPr>
        <w:t>7. Gelet op artikel 9, tweede lid, onderdeel b, van de Algemene Verordening Gegevensverwerking is het verbod om gegevens over de gezondheid van de rechthebbende te verwerken niet van toepassing indien de verwerking noodzakelijk is in het kader van het verstrekken van een advies als bedoeld in het eerste lid.</w:t>
      </w:r>
    </w:p>
    <w:p w:rsidRPr="00C1624A" w:rsidR="00614805" w:rsidP="00C1624A" w:rsidRDefault="00614805">
      <w:pPr>
        <w:pStyle w:val="Geenafstand"/>
        <w:jc w:val="both"/>
        <w:rPr>
          <w:rFonts w:ascii="Times New Roman" w:hAnsi="Times New Roman" w:cs="Times New Roman"/>
          <w:b/>
          <w:bCs/>
          <w:sz w:val="24"/>
          <w:szCs w:val="24"/>
        </w:rPr>
      </w:pPr>
    </w:p>
    <w:p w:rsidR="00614805" w:rsidP="00C1624A" w:rsidRDefault="00614805">
      <w:pPr>
        <w:pStyle w:val="Geenafstand"/>
        <w:jc w:val="both"/>
        <w:rPr>
          <w:rFonts w:ascii="Times New Roman" w:hAnsi="Times New Roman" w:cs="Times New Roman"/>
          <w:b/>
          <w:bCs/>
          <w:sz w:val="24"/>
          <w:szCs w:val="24"/>
        </w:rPr>
      </w:pPr>
    </w:p>
    <w:p w:rsidRPr="006470D8" w:rsidR="006470D8" w:rsidP="006470D8" w:rsidRDefault="006470D8">
      <w:pPr>
        <w:pStyle w:val="Geenafstand"/>
        <w:jc w:val="both"/>
        <w:rPr>
          <w:rFonts w:ascii="Times New Roman" w:hAnsi="Times New Roman" w:cs="Times New Roman"/>
          <w:b/>
          <w:sz w:val="24"/>
          <w:szCs w:val="24"/>
        </w:rPr>
      </w:pPr>
      <w:r>
        <w:rPr>
          <w:rFonts w:ascii="Times New Roman" w:hAnsi="Times New Roman" w:cs="Times New Roman"/>
          <w:b/>
          <w:sz w:val="24"/>
          <w:szCs w:val="24"/>
        </w:rPr>
        <w:t xml:space="preserve">ARTIKEL </w:t>
      </w:r>
      <w:r w:rsidRPr="006470D8">
        <w:rPr>
          <w:rFonts w:ascii="Times New Roman" w:hAnsi="Times New Roman" w:cs="Times New Roman"/>
          <w:b/>
          <w:sz w:val="24"/>
          <w:szCs w:val="24"/>
        </w:rPr>
        <w:t>IA</w:t>
      </w:r>
    </w:p>
    <w:p w:rsidRPr="001F2E66" w:rsidR="006470D8" w:rsidP="006470D8" w:rsidRDefault="006470D8">
      <w:pPr>
        <w:pStyle w:val="Geenafstand"/>
        <w:ind w:firstLine="284"/>
        <w:jc w:val="both"/>
        <w:rPr>
          <w:rFonts w:ascii="Times New Roman" w:hAnsi="Times New Roman" w:cs="Times New Roman"/>
          <w:sz w:val="24"/>
          <w:szCs w:val="24"/>
        </w:rPr>
      </w:pPr>
    </w:p>
    <w:p w:rsidRPr="001F2E66" w:rsidR="006470D8" w:rsidP="006470D8" w:rsidRDefault="006470D8">
      <w:pPr>
        <w:pStyle w:val="Geenafstand"/>
        <w:ind w:firstLine="284"/>
        <w:jc w:val="both"/>
        <w:rPr>
          <w:rFonts w:ascii="Times New Roman" w:hAnsi="Times New Roman" w:cs="Times New Roman"/>
          <w:sz w:val="24"/>
          <w:szCs w:val="24"/>
        </w:rPr>
      </w:pPr>
      <w:r w:rsidRPr="001F2E66">
        <w:rPr>
          <w:rFonts w:ascii="Times New Roman" w:hAnsi="Times New Roman" w:cs="Times New Roman"/>
          <w:sz w:val="24"/>
          <w:szCs w:val="24"/>
        </w:rPr>
        <w:t>Onze Minister voor Rechtsbescherming zendt in overeenstemming met de Staatssecretaris van Sociale Zaken en Werkgelegenheid binnen vijf jaar na de inwerkingtreding van deze wet aan de Staten-Generaal een verslag over de doeltreffendheid en de effecten van deze wet in de praktijk.</w:t>
      </w:r>
    </w:p>
    <w:p w:rsidR="006470D8" w:rsidP="00C1624A" w:rsidRDefault="006470D8">
      <w:pPr>
        <w:pStyle w:val="Geenafstand"/>
        <w:jc w:val="both"/>
        <w:rPr>
          <w:rFonts w:ascii="Times New Roman" w:hAnsi="Times New Roman" w:cs="Times New Roman"/>
          <w:b/>
          <w:bCs/>
          <w:sz w:val="24"/>
          <w:szCs w:val="24"/>
        </w:rPr>
      </w:pPr>
    </w:p>
    <w:p w:rsidRPr="00C1624A" w:rsidR="006470D8" w:rsidP="00C1624A" w:rsidRDefault="006470D8">
      <w:pPr>
        <w:pStyle w:val="Geenafstand"/>
        <w:jc w:val="both"/>
        <w:rPr>
          <w:rFonts w:ascii="Times New Roman" w:hAnsi="Times New Roman" w:cs="Times New Roman"/>
          <w:b/>
          <w:bCs/>
          <w:sz w:val="24"/>
          <w:szCs w:val="24"/>
        </w:rPr>
      </w:pPr>
    </w:p>
    <w:p w:rsidRPr="00C1624A" w:rsidR="00614805" w:rsidP="00C1624A" w:rsidRDefault="00C1624A">
      <w:pPr>
        <w:pStyle w:val="Geenafstand"/>
        <w:jc w:val="both"/>
        <w:rPr>
          <w:rFonts w:ascii="Times New Roman" w:hAnsi="Times New Roman" w:cs="Times New Roman"/>
          <w:b/>
          <w:bCs/>
          <w:sz w:val="24"/>
          <w:szCs w:val="24"/>
        </w:rPr>
      </w:pPr>
      <w:r w:rsidRPr="00C1624A">
        <w:rPr>
          <w:rFonts w:ascii="Times New Roman" w:hAnsi="Times New Roman" w:cs="Times New Roman"/>
          <w:b/>
          <w:bCs/>
          <w:sz w:val="24"/>
          <w:szCs w:val="24"/>
        </w:rPr>
        <w:t>ARTIKEL II</w:t>
      </w:r>
    </w:p>
    <w:p w:rsidRPr="00C1624A" w:rsidR="00614805" w:rsidP="00C1624A" w:rsidRDefault="00614805">
      <w:pPr>
        <w:pStyle w:val="Geenafstand"/>
        <w:ind w:firstLine="284"/>
        <w:jc w:val="both"/>
        <w:rPr>
          <w:rStyle w:val="Nadruk"/>
          <w:rFonts w:ascii="Times New Roman" w:hAnsi="Times New Roman" w:cs="Times New Roman"/>
          <w:i w:val="0"/>
          <w:iCs w:val="0"/>
          <w:sz w:val="24"/>
          <w:szCs w:val="24"/>
        </w:rPr>
      </w:pPr>
    </w:p>
    <w:p w:rsidRPr="00C1624A" w:rsidR="00614805" w:rsidP="00C1624A" w:rsidRDefault="00614805">
      <w:pPr>
        <w:pStyle w:val="Geenafstand"/>
        <w:ind w:firstLine="284"/>
        <w:jc w:val="both"/>
        <w:rPr>
          <w:rStyle w:val="Nadruk"/>
          <w:rFonts w:ascii="Times New Roman" w:hAnsi="Times New Roman" w:cs="Times New Roman"/>
          <w:i w:val="0"/>
          <w:iCs w:val="0"/>
          <w:color w:val="000000" w:themeColor="text1"/>
          <w:sz w:val="24"/>
          <w:szCs w:val="24"/>
        </w:rPr>
      </w:pPr>
      <w:r w:rsidRPr="00C1624A">
        <w:rPr>
          <w:rStyle w:val="Nadruk"/>
          <w:rFonts w:ascii="Times New Roman" w:hAnsi="Times New Roman" w:cs="Times New Roman"/>
          <w:i w:val="0"/>
          <w:color w:val="000000" w:themeColor="text1"/>
          <w:sz w:val="24"/>
          <w:szCs w:val="24"/>
        </w:rPr>
        <w:t>Deze wet treedt in werking op een bij koninklijk besluit te bepalen tijdstip, dat voor de verschillende artikelen of onderdelen daarvan verschillend kan worden vastgesteld.</w:t>
      </w:r>
    </w:p>
    <w:p w:rsidRPr="00C1624A" w:rsidR="00614805" w:rsidP="00C1624A" w:rsidRDefault="00614805">
      <w:pPr>
        <w:pStyle w:val="Geenafstand"/>
        <w:jc w:val="both"/>
        <w:rPr>
          <w:rStyle w:val="Nadruk"/>
          <w:rFonts w:ascii="Times New Roman" w:hAnsi="Times New Roman" w:cs="Times New Roman"/>
          <w:i w:val="0"/>
          <w:iCs w:val="0"/>
          <w:sz w:val="24"/>
          <w:szCs w:val="24"/>
        </w:rPr>
      </w:pPr>
    </w:p>
    <w:p w:rsidRPr="00C1624A" w:rsidR="00C1624A" w:rsidP="00C1624A" w:rsidRDefault="00C1624A">
      <w:pPr>
        <w:pStyle w:val="Geenafstand"/>
        <w:jc w:val="both"/>
        <w:rPr>
          <w:rStyle w:val="Nadruk"/>
          <w:rFonts w:ascii="Times New Roman" w:hAnsi="Times New Roman" w:cs="Times New Roman"/>
          <w:i w:val="0"/>
          <w:iCs w:val="0"/>
          <w:sz w:val="24"/>
          <w:szCs w:val="24"/>
        </w:rPr>
      </w:pPr>
    </w:p>
    <w:p w:rsidR="002E7E4C" w:rsidRDefault="002E7E4C">
      <w:pPr>
        <w:rPr>
          <w:rFonts w:ascii="Times New Roman" w:hAnsi="Times New Roman" w:eastAsia="DejaVu Sans"/>
          <w:sz w:val="24"/>
        </w:rPr>
      </w:pPr>
      <w:r>
        <w:rPr>
          <w:rFonts w:ascii="Times New Roman" w:hAnsi="Times New Roman"/>
          <w:sz w:val="24"/>
        </w:rPr>
        <w:br w:type="page"/>
      </w:r>
    </w:p>
    <w:p w:rsidRPr="00C1624A" w:rsidR="00C1624A" w:rsidP="00C1624A" w:rsidRDefault="00C1624A">
      <w:pPr>
        <w:pStyle w:val="HBJZ-Kamerstukken-regelafstand138"/>
        <w:spacing w:line="240" w:lineRule="auto"/>
        <w:ind w:firstLine="284"/>
        <w:rPr>
          <w:rFonts w:ascii="Times New Roman" w:hAnsi="Times New Roman" w:cs="Times New Roman"/>
          <w:color w:val="auto"/>
          <w:sz w:val="24"/>
          <w:szCs w:val="24"/>
        </w:rPr>
      </w:pPr>
      <w:r w:rsidRPr="00C1624A">
        <w:rPr>
          <w:rFonts w:ascii="Times New Roman" w:hAnsi="Times New Roman" w:cs="Times New Roman"/>
          <w:color w:val="auto"/>
          <w:sz w:val="24"/>
          <w:szCs w:val="24"/>
        </w:rPr>
        <w:t>Lasten en bevelen dat deze in het Staatsblad zal worden geplaatst en dat alle ministeries, autoriteiten, colleges en ambtenaren die zulks aangaat, aan de nauwkeurige uitvoering de hand zullen houden.</w:t>
      </w:r>
    </w:p>
    <w:p w:rsidRPr="00C1624A" w:rsidR="00C1624A" w:rsidP="00C1624A" w:rsidRDefault="00C1624A">
      <w:pPr>
        <w:pStyle w:val="HBJZ-Kamerstukken-regelafstand138"/>
        <w:spacing w:line="240" w:lineRule="auto"/>
        <w:rPr>
          <w:rFonts w:ascii="Times New Roman" w:hAnsi="Times New Roman" w:cs="Times New Roman"/>
          <w:color w:val="auto"/>
          <w:sz w:val="24"/>
          <w:szCs w:val="24"/>
        </w:rPr>
      </w:pPr>
    </w:p>
    <w:p w:rsidRPr="00C1624A" w:rsidR="00614805" w:rsidP="00C1624A" w:rsidRDefault="00C1624A">
      <w:pPr>
        <w:jc w:val="both"/>
        <w:rPr>
          <w:rFonts w:ascii="Times New Roman" w:hAnsi="Times New Roman"/>
          <w:sz w:val="24"/>
        </w:rPr>
      </w:pPr>
      <w:r w:rsidRPr="00C1624A">
        <w:rPr>
          <w:rFonts w:ascii="Times New Roman" w:hAnsi="Times New Roman"/>
          <w:sz w:val="24"/>
        </w:rPr>
        <w:t>G</w:t>
      </w:r>
      <w:r w:rsidRPr="00C1624A" w:rsidR="00614805">
        <w:rPr>
          <w:rFonts w:ascii="Times New Roman" w:hAnsi="Times New Roman"/>
          <w:sz w:val="24"/>
        </w:rPr>
        <w:t xml:space="preserve">egeven, </w:t>
      </w:r>
    </w:p>
    <w:p w:rsidRPr="00C1624A" w:rsidR="00614805" w:rsidP="00C1624A" w:rsidRDefault="00614805">
      <w:pPr>
        <w:jc w:val="both"/>
        <w:rPr>
          <w:rFonts w:ascii="Times New Roman" w:hAnsi="Times New Roman"/>
          <w:sz w:val="24"/>
        </w:rPr>
      </w:pPr>
    </w:p>
    <w:p w:rsidR="00614805" w:rsidP="00C1624A" w:rsidRDefault="00614805">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00C1624A" w:rsidP="00C1624A" w:rsidRDefault="00C1624A">
      <w:pPr>
        <w:jc w:val="both"/>
        <w:rPr>
          <w:rFonts w:ascii="Times New Roman" w:hAnsi="Times New Roman"/>
          <w:sz w:val="24"/>
        </w:rPr>
      </w:pPr>
    </w:p>
    <w:p w:rsidRPr="00C1624A" w:rsidR="00C1624A" w:rsidP="00C1624A" w:rsidRDefault="00C1624A">
      <w:pPr>
        <w:jc w:val="both"/>
        <w:rPr>
          <w:rFonts w:ascii="Times New Roman" w:hAnsi="Times New Roman"/>
          <w:sz w:val="24"/>
        </w:rPr>
      </w:pPr>
    </w:p>
    <w:p w:rsidR="00614805" w:rsidP="00C1624A" w:rsidRDefault="00614805">
      <w:pPr>
        <w:jc w:val="both"/>
        <w:rPr>
          <w:rFonts w:ascii="Times New Roman" w:hAnsi="Times New Roman"/>
          <w:sz w:val="24"/>
        </w:rPr>
      </w:pPr>
      <w:r w:rsidRPr="00C1624A">
        <w:rPr>
          <w:rFonts w:ascii="Times New Roman" w:hAnsi="Times New Roman"/>
          <w:sz w:val="24"/>
        </w:rPr>
        <w:t>De Minister voor Rechtsbescherming,</w:t>
      </w:r>
    </w:p>
    <w:p w:rsidRPr="00C1624A" w:rsidR="002E7E4C" w:rsidP="00C1624A" w:rsidRDefault="002E7E4C">
      <w:pPr>
        <w:jc w:val="both"/>
        <w:rPr>
          <w:rFonts w:ascii="Times New Roman" w:hAnsi="Times New Roman"/>
          <w:sz w:val="24"/>
        </w:rPr>
      </w:pPr>
      <w:bookmarkStart w:name="_GoBack" w:id="0"/>
      <w:bookmarkEnd w:id="0"/>
    </w:p>
    <w:sectPr w:rsidRPr="00C1624A" w:rsidR="002E7E4C"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805" w:rsidRDefault="00614805">
      <w:pPr>
        <w:spacing w:line="20" w:lineRule="exact"/>
      </w:pPr>
    </w:p>
  </w:endnote>
  <w:endnote w:type="continuationSeparator" w:id="0">
    <w:p w:rsidR="00614805" w:rsidRDefault="00614805">
      <w:pPr>
        <w:pStyle w:val="Amendement"/>
      </w:pPr>
      <w:r>
        <w:rPr>
          <w:b w:val="0"/>
          <w:bCs w:val="0"/>
        </w:rPr>
        <w:t xml:space="preserve"> </w:t>
      </w:r>
    </w:p>
  </w:endnote>
  <w:endnote w:type="continuationNotice" w:id="1">
    <w:p w:rsidR="00614805" w:rsidRDefault="0061480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7E4C">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805" w:rsidRDefault="00614805">
      <w:pPr>
        <w:pStyle w:val="Amendement"/>
      </w:pPr>
      <w:r>
        <w:rPr>
          <w:b w:val="0"/>
          <w:bCs w:val="0"/>
        </w:rPr>
        <w:separator/>
      </w:r>
    </w:p>
  </w:footnote>
  <w:footnote w:type="continuationSeparator" w:id="0">
    <w:p w:rsidR="00614805" w:rsidRDefault="006148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05"/>
    <w:rsid w:val="00012DBE"/>
    <w:rsid w:val="000A1D81"/>
    <w:rsid w:val="00111ED3"/>
    <w:rsid w:val="001947C6"/>
    <w:rsid w:val="001C190E"/>
    <w:rsid w:val="002168F4"/>
    <w:rsid w:val="002A727C"/>
    <w:rsid w:val="002E7E4C"/>
    <w:rsid w:val="00586B1A"/>
    <w:rsid w:val="005D2707"/>
    <w:rsid w:val="00606255"/>
    <w:rsid w:val="00614805"/>
    <w:rsid w:val="006470D8"/>
    <w:rsid w:val="006B607A"/>
    <w:rsid w:val="0075583C"/>
    <w:rsid w:val="007D451C"/>
    <w:rsid w:val="00826224"/>
    <w:rsid w:val="00930A23"/>
    <w:rsid w:val="009C7354"/>
    <w:rsid w:val="009E6D7F"/>
    <w:rsid w:val="00A11E73"/>
    <w:rsid w:val="00A2521E"/>
    <w:rsid w:val="00AE436A"/>
    <w:rsid w:val="00C135B1"/>
    <w:rsid w:val="00C1624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AEB89"/>
  <w15:docId w15:val="{11D33297-6B5A-4C8E-96E5-716C8191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614805"/>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614805"/>
    <w:rPr>
      <w:i/>
      <w:iCs/>
    </w:rPr>
  </w:style>
  <w:style w:type="character" w:customStyle="1" w:styleId="lidnr">
    <w:name w:val="lidnr"/>
    <w:basedOn w:val="Standaardalinea-lettertype"/>
    <w:rsid w:val="00614805"/>
  </w:style>
  <w:style w:type="paragraph" w:customStyle="1" w:styleId="HBJZ-Kamerstukken-regelafstand138">
    <w:name w:val="HBJZ - Kamerstukken - regelafstand 13;8"/>
    <w:basedOn w:val="Standaard"/>
    <w:next w:val="Standaard"/>
    <w:rsid w:val="00C1624A"/>
    <w:pPr>
      <w:autoSpaceDN w:val="0"/>
      <w:spacing w:line="276" w:lineRule="exact"/>
      <w:textAlignment w:val="baseline"/>
    </w:pPr>
    <w:rPr>
      <w:rFonts w:eastAsia="DejaVu Sans" w:cs="Lohit Hindi"/>
      <w:color w:val="000000"/>
      <w:sz w:val="18"/>
      <w:szCs w:val="18"/>
    </w:rPr>
  </w:style>
  <w:style w:type="paragraph" w:customStyle="1" w:styleId="avmp">
    <w:name w:val="avmp"/>
    <w:rsid w:val="002E7E4C"/>
  </w:style>
  <w:style w:type="paragraph" w:styleId="Ballontekst">
    <w:name w:val="Balloon Text"/>
    <w:basedOn w:val="Standaard"/>
    <w:link w:val="BallontekstChar"/>
    <w:semiHidden/>
    <w:unhideWhenUsed/>
    <w:rsid w:val="002E7E4C"/>
    <w:rPr>
      <w:rFonts w:ascii="Segoe UI" w:hAnsi="Segoe UI" w:cs="Segoe UI"/>
      <w:sz w:val="18"/>
      <w:szCs w:val="18"/>
    </w:rPr>
  </w:style>
  <w:style w:type="character" w:customStyle="1" w:styleId="BallontekstChar">
    <w:name w:val="Ballontekst Char"/>
    <w:basedOn w:val="Standaardalinea-lettertype"/>
    <w:link w:val="Ballontekst"/>
    <w:semiHidden/>
    <w:rsid w:val="002E7E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796</ap:Words>
  <ap:Characters>4528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2020-09-03T08:39:00.0000000Z</lastPrinted>
  <dcterms:created xsi:type="dcterms:W3CDTF">2020-09-03T08:40:00.0000000Z</dcterms:created>
  <dcterms:modified xsi:type="dcterms:W3CDTF">2020-09-03T08:40:00.0000000Z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0x0101002AD4785EC0D77C45BD8584016AC1DD57</vt:lpwstr>
  </property>
</Properties>
</file>