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W12.20.0266/III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12 augustus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15 juli 2020, no.2020001522, heeft Uwe Majesteit, op voordracht van de Minister van Sociale Zaken en Werkgelegenheid, bij de Afdeling advisering van de Raad van State ter overweging aanhangig gemaakt het voorstel van wet houdende wijziging van de Wet financiering sociale verzekeringen om te voorzien in differentiatie naar grootte van werkgever bij de premieheffing voor het Arbeidsongeschiktheidsfonds en om de systematiek van voortschrijdend cumulatief rekenen aan te passen,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De Afdeling advisering van de Raad van State heeft geen inhoudelijke opmerkingen bij het voorstel. </w:t>
              </w:r>
              <w:r>
                <w:br/>
                <w:t xml:space="preserve"/>
              </w:r>
              <w:r>
                <w:br/>
                <w:t xml:space="preserve">De Afdeling verwijst naar de bij dit advies behorende redactionele bijlage.</w:t>
              </w:r>
              <w:r>
                <w:br/>
                <w:t xml:space="preserve"/>
              </w:r>
              <w:r>
                <w:br/>
                <w:t xml:space="preserve">De Afdeling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W12.20.0266</w:t>
              </w:r>
            </w:sdtContent>
          </w:sdt>
          <w:r>
            <w:t>/</w:t>
          </w:r>
          <w:sdt>
            <w:sdtPr>
              <w:alias w:val="Sectie"/>
              <w:tag w:val="Sectie"/>
              <w:id w:val="743463611"/>
              <w:lock w:val="sdtContentLocked"/>
              <w:placeholder>
                <w:docPart w:val="62C840FC3D7B408290F83B40A9D2FC46"/>
              </w:placeholder>
              <w:text/>
            </w:sdtPr>
            <w:sdtEndPr/>
            <w:sdtContent>
              <w:r>
                <w:t xml:space="preserve">III</w:t>
              </w:r>
            </w:sdtContent>
          </w:sdt>
        </w:p>
        <w:p w:rsidR="001410FD" w:rsidRDefault="001410FD"/>
        <w:sdt>
          <w:sdtPr>
            <w:alias w:val="VrijeTekst3"/>
            <w:tag w:val="VrijeTekst3"/>
            <w:id w:val="2141764690"/>
            <w:lock w:val="sdtLocked"/>
          </w:sdtPr>
          <w:sdtEndPr/>
          <w:sdtContent>
            <w:p w:rsidR="00C653E6" w:rsidP="00D969CB" w:rsidRDefault="00B87349">
              <w:pPr>
                <w:numPr>
                  <w:ilvl w:val="0"/>
                  <w:numId w:val="1"/>
                </w:numPr>
              </w:pPr>
              <w:r w:rsidRPr="0033084B">
                <w:t xml:space="preserve">Bij de voorgestelde differentiatie naar kleine en overige werkgevers voor de </w:t>
              </w:r>
              <w:proofErr w:type="spellStart"/>
              <w:r w:rsidRPr="0033084B">
                <w:t>Aof</w:t>
              </w:r>
              <w:proofErr w:type="spellEnd"/>
              <w:r w:rsidRPr="0033084B">
                <w:t>-premie, inhoudelijk toelichten waarom niet bij de reeds bestaande driedeling naar kleine, middelgrote en grote werkgevers in het kader van de regeling gedifferentieerde premie</w:t>
              </w:r>
              <w:r w:rsidRPr="0033084B">
                <w:t xml:space="preserve"> We</w:t>
              </w:r>
              <w:r>
                <w:t>rk</w:t>
              </w:r>
              <w:r w:rsidRPr="0033084B">
                <w:t>hervattingskas wordt aangesloten (artikel 2.5, eerste lid, onderdeel b tot en met d</w:t>
              </w:r>
              <w:r>
                <w:t xml:space="preserve"> van het Besluit </w:t>
              </w:r>
              <w:proofErr w:type="spellStart"/>
              <w:r>
                <w:t>Wfsv</w:t>
              </w:r>
              <w:proofErr w:type="spellEnd"/>
              <w:r w:rsidRPr="0033084B">
                <w:t>)</w:t>
              </w:r>
              <w:r>
                <w:t>.</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004" w:rsidRDefault="00B87349" w:rsidP="005B3E03">
      <w:r>
        <w:separator/>
      </w:r>
    </w:p>
  </w:endnote>
  <w:endnote w:type="continuationSeparator" w:id="0">
    <w:p w:rsidR="00954004" w:rsidRDefault="00B8734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004" w:rsidRDefault="00B87349" w:rsidP="005B3E03">
      <w:r>
        <w:separator/>
      </w:r>
    </w:p>
  </w:footnote>
  <w:footnote w:type="continuationSeparator" w:id="0">
    <w:p w:rsidR="00954004" w:rsidRDefault="00B87349"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1">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0x010100A8525C67C14FD345A668BB481CBD6F52</vt:lpwstr>
  </property>
</Properties>
</file>