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301" w:rsidR="00322301" w:rsidP="00322301" w:rsidRDefault="00322301" w14:paraId="3380CCE5" w14:textId="44AB9F3A">
      <w:pPr>
        <w:spacing w:after="0" w:line="240" w:lineRule="auto"/>
        <w:rPr>
          <w:rFonts w:eastAsia="Times New Roman" w:cstheme="minorHAnsi"/>
          <w:b/>
          <w:sz w:val="24"/>
          <w:lang w:eastAsia="nl-NL"/>
        </w:rPr>
      </w:pPr>
      <w:r w:rsidRPr="00322301">
        <w:rPr>
          <w:rFonts w:eastAsia="Times New Roman" w:cstheme="minorHAnsi"/>
          <w:b/>
          <w:sz w:val="24"/>
          <w:lang w:eastAsia="nl-NL"/>
        </w:rPr>
        <w:t>Vaste commissie voor Sociale Zaken en Werkgelegenheid: Overzicht nieuw gepubliceerde EU-voorstellen op het terrein van SZW</w:t>
      </w:r>
    </w:p>
    <w:p w:rsidRPr="00322301" w:rsidR="00322301" w:rsidP="00322301" w:rsidRDefault="00B05BD4" w14:paraId="6F4141A2" w14:textId="3C3F3B57">
      <w:pPr>
        <w:spacing w:after="0" w:line="240" w:lineRule="auto"/>
        <w:rPr>
          <w:rFonts w:eastAsia="Times New Roman" w:cstheme="minorHAnsi"/>
          <w:b/>
          <w:u w:val="single"/>
          <w:lang w:eastAsia="nl-NL"/>
        </w:rPr>
      </w:pPr>
      <w:r>
        <w:rPr>
          <w:rFonts w:eastAsia="Times New Roman" w:cstheme="minorHAnsi"/>
          <w:b/>
          <w:u w:val="single"/>
          <w:lang w:eastAsia="nl-NL"/>
        </w:rPr>
        <w:t>2020Z</w:t>
      </w:r>
      <w:r w:rsidR="005464ED">
        <w:rPr>
          <w:rFonts w:eastAsia="Times New Roman" w:cstheme="minorHAnsi"/>
          <w:b/>
          <w:u w:val="single"/>
          <w:lang w:eastAsia="nl-NL"/>
        </w:rPr>
        <w:t>15456</w:t>
      </w:r>
      <w:r>
        <w:rPr>
          <w:rFonts w:eastAsia="Times New Roman" w:cstheme="minorHAnsi"/>
          <w:b/>
          <w:u w:val="single"/>
          <w:lang w:eastAsia="nl-NL"/>
        </w:rPr>
        <w:t>/2020D</w:t>
      </w:r>
      <w:r w:rsidR="005464ED">
        <w:rPr>
          <w:rFonts w:eastAsia="Times New Roman" w:cstheme="minorHAnsi"/>
          <w:b/>
          <w:u w:val="single"/>
          <w:lang w:eastAsia="nl-NL"/>
        </w:rPr>
        <w:t>33409</w:t>
      </w:r>
      <w:bookmarkStart w:name="_GoBack" w:id="0"/>
      <w:bookmarkEnd w:id="0"/>
    </w:p>
    <w:p w:rsidRPr="00322301" w:rsidR="00322301" w:rsidP="00322301" w:rsidRDefault="00322301" w14:paraId="357FD8E4" w14:textId="4F03D100">
      <w:pPr>
        <w:spacing w:after="0" w:line="240" w:lineRule="auto"/>
        <w:rPr>
          <w:rFonts w:eastAsia="Times New Roman" w:cstheme="minorHAnsi"/>
          <w:lang w:eastAsia="nl-NL"/>
        </w:rPr>
      </w:pPr>
      <w:r w:rsidRPr="00322301">
        <w:rPr>
          <w:rFonts w:eastAsia="Times New Roman" w:cstheme="minorHAnsi"/>
          <w:b/>
          <w:u w:val="single"/>
          <w:lang w:eastAsia="nl-NL"/>
        </w:rPr>
        <w:t>Voorstellen over de periode</w:t>
      </w:r>
      <w:r w:rsidRPr="00322301">
        <w:rPr>
          <w:rFonts w:eastAsia="Times New Roman" w:cstheme="minorHAnsi"/>
          <w:b/>
          <w:lang w:eastAsia="nl-NL"/>
        </w:rPr>
        <w:t xml:space="preserve">: </w:t>
      </w:r>
      <w:r w:rsidR="001E4F43">
        <w:rPr>
          <w:rFonts w:eastAsia="Times New Roman" w:cstheme="minorHAnsi"/>
          <w:b/>
          <w:lang w:eastAsia="nl-NL"/>
        </w:rPr>
        <w:t xml:space="preserve">t/m </w:t>
      </w:r>
      <w:r w:rsidR="006E4FC6">
        <w:rPr>
          <w:rFonts w:eastAsia="Times New Roman" w:cstheme="minorHAnsi"/>
          <w:b/>
          <w:lang w:eastAsia="nl-NL"/>
        </w:rPr>
        <w:t>3</w:t>
      </w:r>
      <w:r w:rsidR="00551394">
        <w:rPr>
          <w:rFonts w:eastAsia="Times New Roman" w:cstheme="minorHAnsi"/>
          <w:b/>
          <w:lang w:eastAsia="nl-NL"/>
        </w:rPr>
        <w:t xml:space="preserve"> </w:t>
      </w:r>
      <w:r w:rsidR="00FA654D">
        <w:rPr>
          <w:rFonts w:eastAsia="Times New Roman" w:cstheme="minorHAnsi"/>
          <w:b/>
          <w:lang w:eastAsia="nl-NL"/>
        </w:rPr>
        <w:t xml:space="preserve"> september</w:t>
      </w:r>
      <w:r w:rsidRPr="003F2A67" w:rsidR="00D246BD">
        <w:rPr>
          <w:rFonts w:eastAsia="Times New Roman" w:cstheme="minorHAnsi"/>
          <w:b/>
          <w:lang w:eastAsia="nl-NL"/>
        </w:rPr>
        <w:t xml:space="preserve"> 2020</w:t>
      </w:r>
    </w:p>
    <w:p w:rsidRPr="00322301" w:rsidR="00322301" w:rsidP="00322301" w:rsidRDefault="00322301" w14:paraId="04B0722E" w14:textId="77777777">
      <w:pPr>
        <w:spacing w:after="0" w:line="240" w:lineRule="auto"/>
        <w:rPr>
          <w:rFonts w:eastAsia="Times New Roman" w:cstheme="minorHAnsi"/>
          <w:b/>
          <w:color w:val="000000" w:themeColor="text1"/>
          <w:lang w:eastAsia="nl-NL"/>
        </w:rPr>
      </w:pPr>
      <w:r w:rsidRPr="00322301">
        <w:rPr>
          <w:rFonts w:eastAsia="Times New Roman" w:cstheme="minorHAnsi"/>
          <w:color w:val="000000" w:themeColor="text1"/>
          <w:lang w:eastAsia="nl-NL"/>
        </w:rPr>
        <w:t>Zoals aanbevolen in het vastgestelde rapport 'Voorop in Europa' (Kamerstuk 33936-2) wordt op elke procedurevergadering 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SZW eerder als prioritair heeft aangemerkt, worden afzonderlijk geagendeerd voor de procedurevergadering met een behandelvoorstel.</w:t>
      </w:r>
    </w:p>
    <w:p w:rsidRPr="00322301" w:rsidR="00322301" w:rsidP="00322301" w:rsidRDefault="00322301" w14:paraId="00190FE7" w14:textId="77777777">
      <w:pPr>
        <w:spacing w:after="0" w:line="240" w:lineRule="auto"/>
        <w:rPr>
          <w:rFonts w:eastAsia="Times New Roman" w:cstheme="minorHAnsi"/>
          <w:b/>
          <w:lang w:eastAsia="nl-NL"/>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50"/>
        <w:gridCol w:w="1035"/>
        <w:gridCol w:w="1374"/>
        <w:gridCol w:w="4248"/>
        <w:gridCol w:w="720"/>
        <w:gridCol w:w="1130"/>
        <w:gridCol w:w="4998"/>
      </w:tblGrid>
      <w:tr w:rsidRPr="00322301" w:rsidR="00322301" w:rsidTr="00AB391E" w14:paraId="27ECF48E" w14:textId="77777777">
        <w:trPr>
          <w:trHeight w:val="1550"/>
        </w:trPr>
        <w:tc>
          <w:tcPr>
            <w:tcW w:w="1150" w:type="dxa"/>
            <w:shd w:val="clear" w:color="auto" w:fill="auto"/>
            <w:textDirection w:val="btLr"/>
            <w:vAlign w:val="bottom"/>
            <w:hideMark/>
          </w:tcPr>
          <w:p w:rsidRPr="00322301" w:rsidR="00322301" w:rsidP="00322301" w:rsidRDefault="00322301" w14:paraId="5C83C571"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Publicatie-</w:t>
            </w:r>
          </w:p>
          <w:p w:rsidRPr="00322301" w:rsidR="00322301" w:rsidP="00322301" w:rsidRDefault="00322301" w14:paraId="463A668E"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datum</w:t>
            </w:r>
          </w:p>
        </w:tc>
        <w:tc>
          <w:tcPr>
            <w:tcW w:w="1035" w:type="dxa"/>
            <w:shd w:val="clear" w:color="auto" w:fill="auto"/>
            <w:textDirection w:val="btLr"/>
            <w:vAlign w:val="bottom"/>
            <w:hideMark/>
          </w:tcPr>
          <w:p w:rsidRPr="00322301" w:rsidR="00322301" w:rsidP="00322301" w:rsidRDefault="00322301" w14:paraId="497D2948"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Voortouw</w:t>
            </w:r>
          </w:p>
        </w:tc>
        <w:tc>
          <w:tcPr>
            <w:tcW w:w="1374" w:type="dxa"/>
            <w:shd w:val="clear" w:color="auto" w:fill="auto"/>
            <w:textDirection w:val="btLr"/>
            <w:vAlign w:val="bottom"/>
            <w:hideMark/>
          </w:tcPr>
          <w:p w:rsidRPr="00322301" w:rsidR="00322301" w:rsidP="00322301" w:rsidRDefault="00322301" w14:paraId="61A584DF"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Soort</w:t>
            </w:r>
          </w:p>
        </w:tc>
        <w:tc>
          <w:tcPr>
            <w:tcW w:w="4248" w:type="dxa"/>
            <w:shd w:val="clear" w:color="auto" w:fill="auto"/>
            <w:textDirection w:val="btLr"/>
            <w:vAlign w:val="bottom"/>
            <w:hideMark/>
          </w:tcPr>
          <w:p w:rsidRPr="00322301" w:rsidR="00322301" w:rsidP="00322301" w:rsidRDefault="00322301" w14:paraId="25E7576C"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Titel</w:t>
            </w:r>
          </w:p>
        </w:tc>
        <w:tc>
          <w:tcPr>
            <w:tcW w:w="720" w:type="dxa"/>
            <w:shd w:val="clear" w:color="auto" w:fill="auto"/>
            <w:textDirection w:val="btLr"/>
            <w:vAlign w:val="bottom"/>
            <w:hideMark/>
          </w:tcPr>
          <w:p w:rsidRPr="00322301" w:rsidR="00322301" w:rsidP="00322301" w:rsidRDefault="00322301" w14:paraId="3711A01A"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COM-nummer</w:t>
            </w:r>
          </w:p>
        </w:tc>
        <w:tc>
          <w:tcPr>
            <w:tcW w:w="1130" w:type="dxa"/>
            <w:textDirection w:val="btLr"/>
          </w:tcPr>
          <w:p w:rsidRPr="00322301" w:rsidR="00322301" w:rsidP="00322301" w:rsidRDefault="00322301" w14:paraId="3A37E56E" w14:textId="77777777">
            <w:pPr>
              <w:spacing w:after="0" w:line="240" w:lineRule="auto"/>
              <w:jc w:val="center"/>
              <w:rPr>
                <w:rFonts w:eastAsia="Times New Roman" w:cstheme="minorHAnsi"/>
                <w:b/>
                <w:bCs/>
                <w:color w:val="000000"/>
                <w:lang w:eastAsia="nl-NL"/>
              </w:rPr>
            </w:pPr>
          </w:p>
          <w:p w:rsidRPr="00322301" w:rsidR="00322301" w:rsidP="00322301" w:rsidRDefault="00322301" w14:paraId="0D697A97"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Deadline</w:t>
            </w:r>
          </w:p>
          <w:p w:rsidRPr="00322301" w:rsidR="00322301" w:rsidP="00322301" w:rsidRDefault="00322301" w14:paraId="2290AD3A"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Sub.toets</w:t>
            </w:r>
          </w:p>
        </w:tc>
        <w:tc>
          <w:tcPr>
            <w:tcW w:w="4998" w:type="dxa"/>
            <w:shd w:val="clear" w:color="auto" w:fill="auto"/>
            <w:textDirection w:val="btLr"/>
            <w:vAlign w:val="bottom"/>
            <w:hideMark/>
          </w:tcPr>
          <w:p w:rsidRPr="00322301" w:rsidR="00322301" w:rsidP="00322301" w:rsidRDefault="00322301" w14:paraId="235250A8"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Opmerking</w:t>
            </w:r>
          </w:p>
        </w:tc>
      </w:tr>
      <w:tr w:rsidRPr="00322301" w:rsidR="00322301" w:rsidTr="00AB391E" w14:paraId="73C62F43" w14:textId="77777777">
        <w:trPr>
          <w:trHeight w:val="300"/>
        </w:trPr>
        <w:tc>
          <w:tcPr>
            <w:tcW w:w="1150" w:type="dxa"/>
            <w:tcBorders>
              <w:bottom w:val="single" w:color="auto" w:sz="4" w:space="0"/>
            </w:tcBorders>
            <w:shd w:val="clear" w:color="000000" w:fill="538DD5"/>
            <w:vAlign w:val="bottom"/>
            <w:hideMark/>
          </w:tcPr>
          <w:p w:rsidRPr="00322301" w:rsidR="00322301" w:rsidP="00322301" w:rsidRDefault="00322301" w14:paraId="486EB5EA"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035" w:type="dxa"/>
            <w:tcBorders>
              <w:bottom w:val="single" w:color="auto" w:sz="4" w:space="0"/>
            </w:tcBorders>
            <w:shd w:val="clear" w:color="000000" w:fill="538DD5"/>
            <w:vAlign w:val="bottom"/>
            <w:hideMark/>
          </w:tcPr>
          <w:p w:rsidRPr="00322301" w:rsidR="00322301" w:rsidP="00322301" w:rsidRDefault="00322301" w14:paraId="5A45B30A"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374" w:type="dxa"/>
            <w:tcBorders>
              <w:bottom w:val="single" w:color="auto" w:sz="4" w:space="0"/>
            </w:tcBorders>
            <w:shd w:val="clear" w:color="000000" w:fill="538DD5"/>
            <w:vAlign w:val="bottom"/>
            <w:hideMark/>
          </w:tcPr>
          <w:p w:rsidRPr="00322301" w:rsidR="00322301" w:rsidP="00322301" w:rsidRDefault="00322301" w14:paraId="3EF26917" w14:textId="77777777">
            <w:pPr>
              <w:spacing w:after="0" w:line="240" w:lineRule="auto"/>
              <w:rPr>
                <w:rFonts w:eastAsia="Times New Roman" w:cstheme="minorHAnsi"/>
                <w:b/>
                <w:bCs/>
                <w:color w:val="000000"/>
                <w:lang w:eastAsia="nl-NL"/>
              </w:rPr>
            </w:pPr>
            <w:r w:rsidRPr="00322301">
              <w:rPr>
                <w:rFonts w:eastAsia="Times New Roman" w:cstheme="minorHAnsi"/>
                <w:b/>
                <w:bCs/>
                <w:color w:val="000000"/>
                <w:lang w:eastAsia="nl-NL"/>
              </w:rPr>
              <w:t> </w:t>
            </w:r>
          </w:p>
        </w:tc>
        <w:tc>
          <w:tcPr>
            <w:tcW w:w="4248" w:type="dxa"/>
            <w:tcBorders>
              <w:bottom w:val="single" w:color="auto" w:sz="4" w:space="0"/>
            </w:tcBorders>
            <w:shd w:val="clear" w:color="000000" w:fill="538DD5"/>
            <w:vAlign w:val="bottom"/>
            <w:hideMark/>
          </w:tcPr>
          <w:p w:rsidRPr="00322301" w:rsidR="00322301" w:rsidP="00322301" w:rsidRDefault="00322301" w14:paraId="74B664C1"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720" w:type="dxa"/>
            <w:tcBorders>
              <w:bottom w:val="single" w:color="auto" w:sz="4" w:space="0"/>
            </w:tcBorders>
            <w:shd w:val="clear" w:color="000000" w:fill="538DD5"/>
            <w:vAlign w:val="bottom"/>
            <w:hideMark/>
          </w:tcPr>
          <w:p w:rsidRPr="00322301" w:rsidR="00322301" w:rsidP="00322301" w:rsidRDefault="00322301" w14:paraId="1444324F" w14:textId="77777777">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130" w:type="dxa"/>
            <w:tcBorders>
              <w:bottom w:val="single" w:color="auto" w:sz="4" w:space="0"/>
            </w:tcBorders>
            <w:shd w:val="clear" w:color="000000" w:fill="538DD5"/>
          </w:tcPr>
          <w:p w:rsidRPr="00322301" w:rsidR="00322301" w:rsidP="00322301" w:rsidRDefault="00322301" w14:paraId="174AAD49" w14:textId="77777777">
            <w:pPr>
              <w:spacing w:after="0" w:line="240" w:lineRule="auto"/>
              <w:rPr>
                <w:rFonts w:eastAsia="Times New Roman" w:cstheme="minorHAnsi"/>
                <w:b/>
                <w:bCs/>
                <w:color w:val="000000"/>
                <w:lang w:eastAsia="nl-NL"/>
              </w:rPr>
            </w:pPr>
          </w:p>
        </w:tc>
        <w:tc>
          <w:tcPr>
            <w:tcW w:w="4998" w:type="dxa"/>
            <w:tcBorders>
              <w:bottom w:val="single" w:color="auto" w:sz="4" w:space="0"/>
            </w:tcBorders>
            <w:shd w:val="clear" w:color="000000" w:fill="538DD5"/>
            <w:hideMark/>
          </w:tcPr>
          <w:p w:rsidRPr="00322301" w:rsidR="00322301" w:rsidP="00322301" w:rsidRDefault="00322301" w14:paraId="26E67FEB" w14:textId="77777777">
            <w:pPr>
              <w:spacing w:after="0" w:line="240" w:lineRule="auto"/>
              <w:rPr>
                <w:rFonts w:eastAsia="Times New Roman" w:cstheme="minorHAnsi"/>
                <w:b/>
                <w:bCs/>
                <w:color w:val="000000"/>
                <w:lang w:eastAsia="nl-NL"/>
              </w:rPr>
            </w:pPr>
            <w:r w:rsidRPr="00322301">
              <w:rPr>
                <w:rFonts w:eastAsia="Times New Roman" w:cstheme="minorHAnsi"/>
                <w:b/>
                <w:bCs/>
                <w:color w:val="000000"/>
                <w:lang w:eastAsia="nl-NL"/>
              </w:rPr>
              <w:t> </w:t>
            </w:r>
          </w:p>
        </w:tc>
      </w:tr>
      <w:tr w:rsidRPr="00322301" w:rsidR="001E4F43" w:rsidTr="001E4F43" w14:paraId="74C22A9E" w14:textId="77777777">
        <w:trPr>
          <w:trHeight w:val="1134"/>
        </w:trPr>
        <w:tc>
          <w:tcPr>
            <w:tcW w:w="1150" w:type="dxa"/>
            <w:tcBorders>
              <w:top w:val="single" w:color="auto" w:sz="4" w:space="0"/>
              <w:left w:val="single" w:color="auto" w:sz="4" w:space="0"/>
              <w:bottom w:val="single" w:color="auto" w:sz="4" w:space="0"/>
              <w:right w:val="single" w:color="auto" w:sz="4" w:space="0"/>
            </w:tcBorders>
            <w:shd w:val="clear" w:color="auto" w:fill="auto"/>
            <w:noWrap/>
          </w:tcPr>
          <w:p w:rsidR="000146C6" w:rsidP="000146C6" w:rsidRDefault="000146C6" w14:paraId="72587AE6" w14:textId="77777777">
            <w:pPr>
              <w:jc w:val="center"/>
              <w:rPr>
                <w:rFonts w:ascii="Calibri" w:hAnsi="Calibri" w:cs="Calibri"/>
                <w:color w:val="000000"/>
              </w:rPr>
            </w:pPr>
            <w:r>
              <w:rPr>
                <w:rFonts w:ascii="Calibri" w:hAnsi="Calibri" w:cs="Calibri"/>
                <w:color w:val="000000"/>
              </w:rPr>
              <w:t>17-jun-20</w:t>
            </w:r>
          </w:p>
          <w:p w:rsidR="001E4F43" w:rsidP="001E4F43" w:rsidRDefault="001E4F43" w14:paraId="151015D4" w14:textId="2F038490">
            <w:pPr>
              <w:jc w:val="center"/>
              <w:rPr>
                <w:rFonts w:ascii="Calibri" w:hAnsi="Calibri" w:cs="Calibri"/>
                <w:color w:val="000000"/>
              </w:rPr>
            </w:pPr>
          </w:p>
        </w:tc>
        <w:tc>
          <w:tcPr>
            <w:tcW w:w="1035" w:type="dxa"/>
            <w:tcBorders>
              <w:top w:val="single" w:color="auto" w:sz="4" w:space="0"/>
              <w:left w:val="nil"/>
              <w:bottom w:val="single" w:color="auto" w:sz="4" w:space="0"/>
              <w:right w:val="single" w:color="auto" w:sz="4" w:space="0"/>
            </w:tcBorders>
            <w:shd w:val="clear" w:color="000000" w:fill="FFFFFF"/>
            <w:noWrap/>
          </w:tcPr>
          <w:p w:rsidR="001E4F43" w:rsidP="001E4F43" w:rsidRDefault="001E4F43" w14:paraId="25221C7E" w14:textId="77777777">
            <w:pPr>
              <w:jc w:val="center"/>
              <w:rPr>
                <w:rFonts w:ascii="Calibri" w:hAnsi="Calibri" w:cs="Calibri"/>
                <w:color w:val="000000"/>
              </w:rPr>
            </w:pPr>
            <w:r>
              <w:rPr>
                <w:rFonts w:ascii="Calibri" w:hAnsi="Calibri" w:cs="Calibri"/>
                <w:color w:val="000000"/>
              </w:rPr>
              <w:t>SZW</w:t>
            </w:r>
          </w:p>
        </w:tc>
        <w:tc>
          <w:tcPr>
            <w:tcW w:w="1374" w:type="dxa"/>
            <w:tcBorders>
              <w:top w:val="single" w:color="auto" w:sz="4" w:space="0"/>
              <w:left w:val="nil"/>
              <w:bottom w:val="single" w:color="auto" w:sz="4" w:space="0"/>
              <w:right w:val="single" w:color="auto" w:sz="4" w:space="0"/>
            </w:tcBorders>
            <w:shd w:val="clear" w:color="auto" w:fill="auto"/>
            <w:noWrap/>
          </w:tcPr>
          <w:p w:rsidR="001E4F43" w:rsidP="001E4F43" w:rsidRDefault="000146C6" w14:paraId="28ABC346" w14:textId="5AB1FEA2">
            <w:pPr>
              <w:jc w:val="center"/>
              <w:rPr>
                <w:rFonts w:ascii="Calibri" w:hAnsi="Calibri" w:cs="Calibri"/>
                <w:color w:val="000000"/>
              </w:rPr>
            </w:pPr>
            <w:r>
              <w:rPr>
                <w:rFonts w:ascii="Calibri" w:hAnsi="Calibri" w:cs="Calibri"/>
                <w:color w:val="000000"/>
              </w:rPr>
              <w:t>Verslag</w:t>
            </w:r>
          </w:p>
        </w:tc>
        <w:tc>
          <w:tcPr>
            <w:tcW w:w="4248" w:type="dxa"/>
            <w:tcBorders>
              <w:top w:val="single" w:color="auto" w:sz="4" w:space="0"/>
              <w:left w:val="nil"/>
              <w:bottom w:val="single" w:color="auto" w:sz="4" w:space="0"/>
              <w:right w:val="single" w:color="auto" w:sz="4" w:space="0"/>
            </w:tcBorders>
            <w:shd w:val="clear" w:color="auto" w:fill="auto"/>
          </w:tcPr>
          <w:p w:rsidRPr="000146C6" w:rsidR="001E4F43" w:rsidP="001E4F43" w:rsidRDefault="000146C6" w14:paraId="606F226E" w14:textId="1B9233D4">
            <w:pPr>
              <w:rPr>
                <w:rFonts w:ascii="Calibri" w:hAnsi="Calibri" w:cs="Calibri"/>
                <w:color w:val="000000"/>
              </w:rPr>
            </w:pPr>
            <w:r>
              <w:rPr>
                <w:rFonts w:ascii="Calibri" w:hAnsi="Calibri" w:cs="Calibri"/>
                <w:color w:val="000000"/>
              </w:rPr>
              <w:t>VERSLAG VAN DE COMMISSIE AAN HET EUROPEES PARLEMENT, DE RAAD, HET EUROPEES ECONOMISCH EN SOCIAAL COMITÉ EN HET COMITÉ VAN DE REGIO'S over de gevolgen van demografische veranderingen</w:t>
            </w:r>
          </w:p>
        </w:tc>
        <w:tc>
          <w:tcPr>
            <w:tcW w:w="720" w:type="dxa"/>
            <w:tcBorders>
              <w:top w:val="single" w:color="auto" w:sz="4" w:space="0"/>
              <w:left w:val="nil"/>
              <w:bottom w:val="single" w:color="auto" w:sz="4" w:space="0"/>
              <w:right w:val="single" w:color="auto" w:sz="4" w:space="0"/>
            </w:tcBorders>
            <w:shd w:val="clear" w:color="000000" w:fill="FFFFFF"/>
            <w:noWrap/>
          </w:tcPr>
          <w:p w:rsidR="000146C6" w:rsidP="000146C6" w:rsidRDefault="005464ED" w14:paraId="1CEF1132" w14:textId="77777777">
            <w:pPr>
              <w:jc w:val="center"/>
              <w:rPr>
                <w:rFonts w:ascii="Calibri" w:hAnsi="Calibri" w:cs="Calibri"/>
                <w:color w:val="0000FF"/>
                <w:u w:val="single"/>
              </w:rPr>
            </w:pPr>
            <w:hyperlink w:history="1" r:id="rId10">
              <w:r w:rsidR="000146C6">
                <w:rPr>
                  <w:rStyle w:val="Hyperlink"/>
                  <w:rFonts w:ascii="Calibri" w:hAnsi="Calibri" w:cs="Calibri"/>
                </w:rPr>
                <w:t>COM (2020) 241</w:t>
              </w:r>
            </w:hyperlink>
          </w:p>
          <w:p w:rsidR="001E4F43" w:rsidP="001E4F43" w:rsidRDefault="001E4F43" w14:paraId="2288B32D" w14:textId="2470AEDA">
            <w:pPr>
              <w:jc w:val="center"/>
              <w:rPr>
                <w:rFonts w:ascii="Calibri" w:hAnsi="Calibri" w:cs="Calibri"/>
                <w:color w:val="0000FF"/>
                <w:u w:val="single"/>
              </w:rPr>
            </w:pPr>
          </w:p>
        </w:tc>
        <w:tc>
          <w:tcPr>
            <w:tcW w:w="1130" w:type="dxa"/>
            <w:tcBorders>
              <w:top w:val="single" w:color="auto" w:sz="4" w:space="0"/>
              <w:left w:val="single" w:color="auto" w:sz="4" w:space="0"/>
              <w:bottom w:val="single" w:color="auto" w:sz="4" w:space="0"/>
              <w:right w:val="single" w:color="auto" w:sz="4" w:space="0"/>
            </w:tcBorders>
            <w:shd w:val="clear" w:color="auto" w:fill="auto"/>
          </w:tcPr>
          <w:p w:rsidR="001E4F43" w:rsidP="00D24B00" w:rsidRDefault="00D24B00" w14:paraId="714E7752" w14:textId="77777777">
            <w:pPr>
              <w:jc w:val="center"/>
              <w:rPr>
                <w:rFonts w:ascii="Calibri" w:hAnsi="Calibri" w:cs="Calibri"/>
                <w:color w:val="000000"/>
              </w:rPr>
            </w:pPr>
            <w:r>
              <w:rPr>
                <w:rFonts w:ascii="Calibri" w:hAnsi="Calibri" w:cs="Calibri"/>
                <w:color w:val="000000"/>
              </w:rPr>
              <w:t>nvt</w:t>
            </w:r>
          </w:p>
        </w:tc>
        <w:tc>
          <w:tcPr>
            <w:tcW w:w="4998" w:type="dxa"/>
            <w:shd w:val="clear" w:color="auto" w:fill="auto"/>
          </w:tcPr>
          <w:p w:rsidR="001E4F43" w:rsidP="001E4F43" w:rsidRDefault="001E4F43" w14:paraId="6A448AE9" w14:textId="10C8D871">
            <w:pPr>
              <w:tabs>
                <w:tab w:val="center" w:pos="2429"/>
              </w:tabs>
              <w:spacing w:after="0" w:line="240" w:lineRule="auto"/>
              <w:rPr>
                <w:rFonts w:eastAsia="Times New Roman" w:cstheme="minorHAnsi"/>
                <w:color w:val="000000"/>
              </w:rPr>
            </w:pPr>
            <w:r w:rsidRPr="00322301">
              <w:rPr>
                <w:rFonts w:eastAsia="Times New Roman" w:cstheme="minorHAnsi"/>
                <w:color w:val="000000"/>
                <w:u w:val="single"/>
              </w:rPr>
              <w:t>Behandelvoorstel</w:t>
            </w:r>
            <w:r w:rsidRPr="008110E3">
              <w:rPr>
                <w:rFonts w:eastAsia="Times New Roman" w:cstheme="minorHAnsi"/>
                <w:color w:val="000000"/>
              </w:rPr>
              <w:t>:</w:t>
            </w:r>
            <w:r w:rsidRPr="00322301">
              <w:rPr>
                <w:rFonts w:eastAsia="Times New Roman" w:cstheme="minorHAnsi"/>
                <w:color w:val="000000"/>
              </w:rPr>
              <w:t xml:space="preserve"> </w:t>
            </w:r>
            <w:r w:rsidR="00CA0211">
              <w:rPr>
                <w:rFonts w:eastAsia="Times New Roman" w:cstheme="minorHAnsi"/>
                <w:color w:val="000000"/>
              </w:rPr>
              <w:t>kabinetsreactie vragen</w:t>
            </w:r>
          </w:p>
          <w:p w:rsidR="001E4F43" w:rsidP="001E4F43" w:rsidRDefault="001E4F43" w14:paraId="6291EBE0" w14:textId="77777777">
            <w:pPr>
              <w:spacing w:after="0" w:line="240" w:lineRule="auto"/>
              <w:rPr>
                <w:rFonts w:eastAsia="Times New Roman" w:cstheme="minorHAnsi"/>
                <w:color w:val="000000"/>
              </w:rPr>
            </w:pPr>
          </w:p>
          <w:p w:rsidRPr="00322301" w:rsidR="001E4F43" w:rsidP="002B1E41" w:rsidRDefault="001E4F43" w14:paraId="57DDD85C" w14:textId="3918146D">
            <w:pPr>
              <w:spacing w:after="0" w:line="240" w:lineRule="auto"/>
              <w:rPr>
                <w:rFonts w:eastAsia="Times New Roman" w:cstheme="minorHAnsi"/>
                <w:i/>
                <w:color w:val="000000"/>
              </w:rPr>
            </w:pPr>
            <w:r w:rsidRPr="00E41016">
              <w:rPr>
                <w:rFonts w:eastAsia="Times New Roman" w:cstheme="minorHAnsi"/>
                <w:b/>
                <w:i/>
                <w:color w:val="000000"/>
              </w:rPr>
              <w:t>Noot</w:t>
            </w:r>
            <w:r>
              <w:rPr>
                <w:rFonts w:eastAsia="Times New Roman" w:cstheme="minorHAnsi"/>
                <w:i/>
                <w:color w:val="000000"/>
              </w:rPr>
              <w:t>:</w:t>
            </w:r>
            <w:r w:rsidR="00D24B00">
              <w:rPr>
                <w:rFonts w:eastAsia="Times New Roman" w:cstheme="minorHAnsi"/>
                <w:i/>
                <w:color w:val="000000"/>
              </w:rPr>
              <w:t xml:space="preserve"> </w:t>
            </w:r>
            <w:r w:rsidR="007B1E94">
              <w:rPr>
                <w:rFonts w:eastAsia="Times New Roman" w:cstheme="minorHAnsi"/>
                <w:i/>
                <w:color w:val="000000"/>
              </w:rPr>
              <w:t xml:space="preserve">als voorloper van een mogelijke </w:t>
            </w:r>
            <w:r w:rsidR="000E1DFB">
              <w:rPr>
                <w:rFonts w:eastAsia="Times New Roman" w:cstheme="minorHAnsi"/>
                <w:i/>
                <w:color w:val="000000"/>
              </w:rPr>
              <w:t>g</w:t>
            </w:r>
            <w:r w:rsidRPr="007B1E94" w:rsidR="007B1E94">
              <w:rPr>
                <w:rFonts w:eastAsia="Times New Roman" w:cstheme="minorHAnsi"/>
                <w:i/>
                <w:color w:val="000000"/>
              </w:rPr>
              <w:t>roenboek</w:t>
            </w:r>
            <w:r w:rsidR="007B1E94">
              <w:rPr>
                <w:rFonts w:eastAsia="Times New Roman" w:cstheme="minorHAnsi"/>
                <w:i/>
                <w:color w:val="000000"/>
              </w:rPr>
              <w:t xml:space="preserve">consultatie </w:t>
            </w:r>
            <w:r w:rsidR="000E1DFB">
              <w:rPr>
                <w:rFonts w:eastAsia="Times New Roman" w:cstheme="minorHAnsi"/>
                <w:i/>
                <w:color w:val="000000"/>
              </w:rPr>
              <w:t xml:space="preserve">over </w:t>
            </w:r>
            <w:r w:rsidR="007B1E94">
              <w:rPr>
                <w:rFonts w:eastAsia="Times New Roman" w:cstheme="minorHAnsi"/>
                <w:i/>
                <w:color w:val="000000"/>
              </w:rPr>
              <w:t>v</w:t>
            </w:r>
            <w:r w:rsidRPr="007B1E94" w:rsidR="007B1E94">
              <w:rPr>
                <w:rFonts w:eastAsia="Times New Roman" w:cstheme="minorHAnsi"/>
                <w:i/>
                <w:color w:val="000000"/>
              </w:rPr>
              <w:t>ergrijzing</w:t>
            </w:r>
            <w:r w:rsidR="007B1E94">
              <w:rPr>
                <w:rFonts w:eastAsia="Times New Roman" w:cstheme="minorHAnsi"/>
                <w:i/>
                <w:color w:val="000000"/>
              </w:rPr>
              <w:t xml:space="preserve"> die de Commissie eerder aankondigde, ligt nu </w:t>
            </w:r>
            <w:r w:rsidR="002B1E41">
              <w:rPr>
                <w:rFonts w:eastAsia="Times New Roman" w:cstheme="minorHAnsi"/>
                <w:i/>
                <w:color w:val="000000"/>
              </w:rPr>
              <w:t xml:space="preserve">eerst </w:t>
            </w:r>
            <w:r w:rsidR="007B1E94">
              <w:rPr>
                <w:rFonts w:eastAsia="Times New Roman" w:cstheme="minorHAnsi"/>
                <w:i/>
                <w:color w:val="000000"/>
              </w:rPr>
              <w:t xml:space="preserve">dit verslag over </w:t>
            </w:r>
            <w:r w:rsidRPr="007B1E94" w:rsidR="007B1E94">
              <w:rPr>
                <w:rFonts w:eastAsia="Times New Roman" w:cstheme="minorHAnsi"/>
                <w:i/>
                <w:color w:val="000000"/>
              </w:rPr>
              <w:t>demografische veranderingen in Europa</w:t>
            </w:r>
            <w:r w:rsidR="007B1E94">
              <w:rPr>
                <w:rFonts w:eastAsia="Times New Roman" w:cstheme="minorHAnsi"/>
                <w:i/>
                <w:color w:val="000000"/>
              </w:rPr>
              <w:t xml:space="preserve"> voor. </w:t>
            </w:r>
            <w:r w:rsidR="000E1DFB">
              <w:rPr>
                <w:rFonts w:eastAsia="Times New Roman" w:cstheme="minorHAnsi"/>
                <w:i/>
                <w:color w:val="000000"/>
              </w:rPr>
              <w:t>Het verslag kijkt naar oorzaken en gevolgen van demografie,</w:t>
            </w:r>
            <w:r w:rsidR="002B1E41">
              <w:rPr>
                <w:rFonts w:eastAsia="Times New Roman" w:cstheme="minorHAnsi"/>
                <w:i/>
                <w:color w:val="000000"/>
              </w:rPr>
              <w:t xml:space="preserve"> </w:t>
            </w:r>
            <w:r w:rsidR="000E1DFB">
              <w:rPr>
                <w:rFonts w:eastAsia="Times New Roman" w:cstheme="minorHAnsi"/>
                <w:i/>
                <w:color w:val="000000"/>
              </w:rPr>
              <w:t>met een focus op de consequenties voor onder meer arbeidsmarkt, onderwijs, zorg en begroting.</w:t>
            </w:r>
          </w:p>
        </w:tc>
      </w:tr>
      <w:tr w:rsidRPr="00322301" w:rsidR="001E4F43" w:rsidTr="00CA0211" w14:paraId="54525807" w14:textId="77777777">
        <w:trPr>
          <w:trHeight w:val="557"/>
        </w:trPr>
        <w:tc>
          <w:tcPr>
            <w:tcW w:w="1150" w:type="dxa"/>
            <w:tcBorders>
              <w:top w:val="single" w:color="auto" w:sz="4" w:space="0"/>
              <w:left w:val="single" w:color="auto" w:sz="4" w:space="0"/>
              <w:bottom w:val="single" w:color="auto" w:sz="4" w:space="0"/>
              <w:right w:val="single" w:color="auto" w:sz="4" w:space="0"/>
            </w:tcBorders>
            <w:shd w:val="clear" w:color="auto" w:fill="auto"/>
            <w:noWrap/>
          </w:tcPr>
          <w:p w:rsidR="000146C6" w:rsidP="000146C6" w:rsidRDefault="000146C6" w14:paraId="58057FB7" w14:textId="77777777">
            <w:pPr>
              <w:jc w:val="center"/>
              <w:rPr>
                <w:rFonts w:ascii="Calibri" w:hAnsi="Calibri" w:cs="Calibri"/>
                <w:color w:val="000000"/>
              </w:rPr>
            </w:pPr>
            <w:r>
              <w:rPr>
                <w:rFonts w:ascii="Calibri" w:hAnsi="Calibri" w:cs="Calibri"/>
                <w:color w:val="000000"/>
              </w:rPr>
              <w:t>6-jul-20</w:t>
            </w:r>
          </w:p>
          <w:p w:rsidR="001E4F43" w:rsidP="001E4F43" w:rsidRDefault="001E4F43" w14:paraId="57E9F080" w14:textId="35014D9F">
            <w:pPr>
              <w:jc w:val="center"/>
              <w:rPr>
                <w:rFonts w:ascii="Calibri" w:hAnsi="Calibri" w:cs="Calibri"/>
                <w:color w:val="000000"/>
              </w:rPr>
            </w:pPr>
          </w:p>
        </w:tc>
        <w:tc>
          <w:tcPr>
            <w:tcW w:w="1035" w:type="dxa"/>
            <w:tcBorders>
              <w:top w:val="single" w:color="auto" w:sz="4" w:space="0"/>
              <w:left w:val="nil"/>
              <w:bottom w:val="single" w:color="auto" w:sz="4" w:space="0"/>
              <w:right w:val="single" w:color="auto" w:sz="4" w:space="0"/>
            </w:tcBorders>
            <w:shd w:val="clear" w:color="000000" w:fill="FFFFFF"/>
            <w:noWrap/>
          </w:tcPr>
          <w:p w:rsidR="001E4F43" w:rsidP="001E4F43" w:rsidRDefault="001E4F43" w14:paraId="44BC3724" w14:textId="77777777">
            <w:pPr>
              <w:jc w:val="center"/>
              <w:rPr>
                <w:rFonts w:ascii="Calibri" w:hAnsi="Calibri" w:cs="Calibri"/>
                <w:color w:val="000000"/>
              </w:rPr>
            </w:pPr>
            <w:r>
              <w:rPr>
                <w:rFonts w:ascii="Calibri" w:hAnsi="Calibri" w:cs="Calibri"/>
                <w:color w:val="000000"/>
              </w:rPr>
              <w:t>SZW</w:t>
            </w:r>
          </w:p>
        </w:tc>
        <w:tc>
          <w:tcPr>
            <w:tcW w:w="1374" w:type="dxa"/>
            <w:tcBorders>
              <w:top w:val="single" w:color="auto" w:sz="4" w:space="0"/>
              <w:left w:val="nil"/>
              <w:bottom w:val="single" w:color="auto" w:sz="4" w:space="0"/>
              <w:right w:val="single" w:color="auto" w:sz="4" w:space="0"/>
            </w:tcBorders>
            <w:shd w:val="clear" w:color="000000" w:fill="FFFFFF"/>
            <w:noWrap/>
          </w:tcPr>
          <w:p w:rsidR="001E4F43" w:rsidP="001E4F43" w:rsidRDefault="000146C6" w14:paraId="039C355A" w14:textId="4ECDA9C9">
            <w:pPr>
              <w:jc w:val="center"/>
              <w:rPr>
                <w:rFonts w:ascii="Calibri" w:hAnsi="Calibri" w:cs="Calibri"/>
                <w:color w:val="000000"/>
              </w:rPr>
            </w:pPr>
            <w:r>
              <w:rPr>
                <w:rFonts w:ascii="Calibri" w:hAnsi="Calibri" w:cs="Calibri"/>
                <w:color w:val="000000"/>
              </w:rPr>
              <w:t>Verslag</w:t>
            </w:r>
          </w:p>
        </w:tc>
        <w:tc>
          <w:tcPr>
            <w:tcW w:w="4248" w:type="dxa"/>
            <w:tcBorders>
              <w:top w:val="single" w:color="auto" w:sz="4" w:space="0"/>
              <w:left w:val="nil"/>
              <w:bottom w:val="single" w:color="auto" w:sz="4" w:space="0"/>
              <w:right w:val="single" w:color="auto" w:sz="4" w:space="0"/>
            </w:tcBorders>
            <w:shd w:val="clear" w:color="auto" w:fill="auto"/>
          </w:tcPr>
          <w:p w:rsidR="001E4F43" w:rsidP="00CA0211" w:rsidRDefault="000146C6" w14:paraId="1AB765EF" w14:textId="7BD12C37">
            <w:pPr>
              <w:rPr>
                <w:rFonts w:ascii="Calibri" w:hAnsi="Calibri" w:cs="Calibri"/>
                <w:color w:val="000000"/>
              </w:rPr>
            </w:pPr>
            <w:r>
              <w:rPr>
                <w:rFonts w:ascii="Calibri" w:hAnsi="Calibri" w:cs="Calibri"/>
                <w:color w:val="000000"/>
              </w:rPr>
              <w:t xml:space="preserve">VERSLAG VAN DE COMMISSIE AAN HET EUROPEES PARLEMENT, DE RAAD EN HET EUROPEES ECONOMISCH EN SOCIAAL COMITÉ over de toepassing van Richtlijn 2014/50/EU van het Europees Parlement en de Raad van 16 april 2014 betreffende minimumvereisten voor de vergroting van de </w:t>
            </w:r>
            <w:r>
              <w:rPr>
                <w:rFonts w:ascii="Calibri" w:hAnsi="Calibri" w:cs="Calibri"/>
                <w:color w:val="000000"/>
              </w:rPr>
              <w:lastRenderedPageBreak/>
              <w:t>mobiliteit van werknemers tussen de lidstaten door het verbeteren van de verwerving en het behoud van aanvullende pensioenrechten</w:t>
            </w:r>
          </w:p>
        </w:tc>
        <w:tc>
          <w:tcPr>
            <w:tcW w:w="720" w:type="dxa"/>
            <w:tcBorders>
              <w:top w:val="single" w:color="auto" w:sz="4" w:space="0"/>
              <w:left w:val="nil"/>
              <w:bottom w:val="single" w:color="auto" w:sz="4" w:space="0"/>
              <w:right w:val="single" w:color="auto" w:sz="4" w:space="0"/>
            </w:tcBorders>
            <w:shd w:val="clear" w:color="000000" w:fill="FFFFFF"/>
            <w:noWrap/>
          </w:tcPr>
          <w:p w:rsidR="000146C6" w:rsidP="000146C6" w:rsidRDefault="005464ED" w14:paraId="55ED0E52" w14:textId="77777777">
            <w:pPr>
              <w:jc w:val="center"/>
              <w:rPr>
                <w:rFonts w:ascii="Calibri" w:hAnsi="Calibri" w:cs="Calibri"/>
                <w:color w:val="0000FF"/>
                <w:u w:val="single"/>
              </w:rPr>
            </w:pPr>
            <w:hyperlink w:history="1" r:id="rId11">
              <w:r w:rsidR="000146C6">
                <w:rPr>
                  <w:rStyle w:val="Hyperlink"/>
                  <w:rFonts w:ascii="Calibri" w:hAnsi="Calibri" w:cs="Calibri"/>
                </w:rPr>
                <w:t>COM (2020) 291</w:t>
              </w:r>
            </w:hyperlink>
          </w:p>
          <w:p w:rsidR="001E4F43" w:rsidP="001E4F43" w:rsidRDefault="001E4F43" w14:paraId="08CE4A0F" w14:textId="7F52BEDA">
            <w:pPr>
              <w:jc w:val="center"/>
              <w:rPr>
                <w:rFonts w:ascii="Calibri" w:hAnsi="Calibri" w:cs="Calibri"/>
                <w:color w:val="0000FF"/>
                <w:u w:val="single"/>
              </w:rPr>
            </w:pPr>
          </w:p>
        </w:tc>
        <w:tc>
          <w:tcPr>
            <w:tcW w:w="1130" w:type="dxa"/>
            <w:tcBorders>
              <w:top w:val="single" w:color="auto" w:sz="4" w:space="0"/>
              <w:left w:val="single" w:color="auto" w:sz="4" w:space="0"/>
              <w:bottom w:val="single" w:color="auto" w:sz="4" w:space="0"/>
              <w:right w:val="single" w:color="auto" w:sz="4" w:space="0"/>
            </w:tcBorders>
            <w:shd w:val="clear" w:color="auto" w:fill="auto"/>
          </w:tcPr>
          <w:p w:rsidR="001E4F43" w:rsidP="00D24B00" w:rsidRDefault="00D24B00" w14:paraId="6CFBD8D2" w14:textId="77777777">
            <w:pPr>
              <w:jc w:val="center"/>
              <w:rPr>
                <w:rFonts w:ascii="Calibri" w:hAnsi="Calibri" w:cs="Calibri"/>
                <w:color w:val="000000"/>
              </w:rPr>
            </w:pPr>
            <w:r>
              <w:rPr>
                <w:rFonts w:ascii="Calibri" w:hAnsi="Calibri" w:cs="Calibri"/>
                <w:color w:val="000000"/>
              </w:rPr>
              <w:t>nvt</w:t>
            </w:r>
          </w:p>
        </w:tc>
        <w:tc>
          <w:tcPr>
            <w:tcW w:w="4998" w:type="dxa"/>
            <w:shd w:val="clear" w:color="auto" w:fill="auto"/>
          </w:tcPr>
          <w:p w:rsidR="001E4F43" w:rsidP="001E4F43" w:rsidRDefault="001E4F43" w14:paraId="14B9D30C" w14:textId="283D4A93">
            <w:pPr>
              <w:spacing w:after="0" w:line="240" w:lineRule="auto"/>
              <w:rPr>
                <w:rFonts w:eastAsia="Times New Roman" w:cstheme="minorHAnsi"/>
                <w:color w:val="000000"/>
                <w:u w:val="single"/>
              </w:rPr>
            </w:pPr>
            <w:r w:rsidRPr="00AB391E">
              <w:rPr>
                <w:rFonts w:eastAsia="Times New Roman" w:cstheme="minorHAnsi"/>
                <w:color w:val="000000"/>
                <w:u w:val="single"/>
              </w:rPr>
              <w:t>Behandelvoorstel</w:t>
            </w:r>
            <w:r w:rsidRPr="00AB391E">
              <w:rPr>
                <w:rFonts w:eastAsia="Times New Roman" w:cstheme="minorHAnsi"/>
                <w:color w:val="000000"/>
              </w:rPr>
              <w:t xml:space="preserve">: </w:t>
            </w:r>
            <w:r w:rsidRPr="00CA0211" w:rsidR="00CA0211">
              <w:rPr>
                <w:rFonts w:eastAsia="Times New Roman" w:cstheme="minorHAnsi"/>
                <w:color w:val="000000"/>
              </w:rPr>
              <w:t>kabinetsreactie vragen</w:t>
            </w:r>
          </w:p>
          <w:p w:rsidR="001E4F43" w:rsidP="001E4F43" w:rsidRDefault="001E4F43" w14:paraId="37E2366C" w14:textId="77777777">
            <w:pPr>
              <w:spacing w:after="0" w:line="240" w:lineRule="auto"/>
              <w:rPr>
                <w:rFonts w:eastAsia="Times New Roman" w:cstheme="minorHAnsi"/>
                <w:color w:val="000000"/>
                <w:u w:val="single"/>
              </w:rPr>
            </w:pPr>
          </w:p>
          <w:p w:rsidRPr="00C57BEE" w:rsidR="001E4F43" w:rsidP="00333758" w:rsidRDefault="001E4F43" w14:paraId="6DF11227" w14:textId="38108D99">
            <w:pPr>
              <w:spacing w:after="0" w:line="240" w:lineRule="auto"/>
              <w:rPr>
                <w:rFonts w:eastAsia="Times New Roman" w:cstheme="minorHAnsi"/>
                <w:color w:val="000000"/>
              </w:rPr>
            </w:pPr>
            <w:r w:rsidRPr="00AB391E">
              <w:rPr>
                <w:rFonts w:eastAsia="Times New Roman" w:cstheme="minorHAnsi"/>
                <w:b/>
                <w:i/>
                <w:color w:val="000000"/>
              </w:rPr>
              <w:t>Noot</w:t>
            </w:r>
            <w:r w:rsidRPr="00AB391E">
              <w:rPr>
                <w:rFonts w:eastAsia="Times New Roman" w:cstheme="minorHAnsi"/>
                <w:i/>
                <w:color w:val="000000"/>
              </w:rPr>
              <w:t xml:space="preserve">: </w:t>
            </w:r>
            <w:r w:rsidR="0098682C">
              <w:rPr>
                <w:rFonts w:eastAsia="Times New Roman" w:cstheme="minorHAnsi"/>
                <w:i/>
                <w:color w:val="000000"/>
              </w:rPr>
              <w:t xml:space="preserve">het betreft het eerste verslag over de implementatie van richtlijn </w:t>
            </w:r>
            <w:r w:rsidRPr="00D33A7F" w:rsidR="00D33A7F">
              <w:rPr>
                <w:rFonts w:eastAsia="Times New Roman" w:cstheme="minorHAnsi"/>
                <w:i/>
                <w:color w:val="000000"/>
              </w:rPr>
              <w:t xml:space="preserve">2014/50/EU </w:t>
            </w:r>
            <w:r w:rsidR="0098682C">
              <w:rPr>
                <w:rFonts w:eastAsia="Times New Roman" w:cstheme="minorHAnsi"/>
                <w:i/>
                <w:color w:val="000000"/>
              </w:rPr>
              <w:t xml:space="preserve">betreffende </w:t>
            </w:r>
            <w:r w:rsidRPr="0098682C" w:rsidR="0098682C">
              <w:rPr>
                <w:rFonts w:eastAsia="Times New Roman" w:cstheme="minorHAnsi"/>
                <w:i/>
                <w:color w:val="000000"/>
              </w:rPr>
              <w:t xml:space="preserve">verwerving en behoud van </w:t>
            </w:r>
            <w:r w:rsidR="00602038">
              <w:rPr>
                <w:rFonts w:eastAsia="Times New Roman" w:cstheme="minorHAnsi"/>
                <w:i/>
                <w:color w:val="000000"/>
              </w:rPr>
              <w:t xml:space="preserve">tweede pijler </w:t>
            </w:r>
            <w:r w:rsidRPr="0098682C" w:rsidR="0098682C">
              <w:rPr>
                <w:rFonts w:eastAsia="Times New Roman" w:cstheme="minorHAnsi"/>
                <w:i/>
                <w:color w:val="000000"/>
              </w:rPr>
              <w:t>pensioenrechten</w:t>
            </w:r>
            <w:r w:rsidR="0098682C">
              <w:rPr>
                <w:rFonts w:eastAsia="Times New Roman" w:cstheme="minorHAnsi"/>
                <w:i/>
                <w:color w:val="000000"/>
              </w:rPr>
              <w:t xml:space="preserve"> voor mobiele werknemers</w:t>
            </w:r>
            <w:r w:rsidR="00D33A7F">
              <w:rPr>
                <w:rFonts w:eastAsia="Times New Roman" w:cstheme="minorHAnsi"/>
                <w:i/>
                <w:color w:val="000000"/>
              </w:rPr>
              <w:t xml:space="preserve">. De richtlijn </w:t>
            </w:r>
            <w:r w:rsidR="0098682C">
              <w:rPr>
                <w:rFonts w:eastAsia="Times New Roman" w:cstheme="minorHAnsi"/>
                <w:i/>
                <w:color w:val="000000"/>
              </w:rPr>
              <w:t xml:space="preserve"> die</w:t>
            </w:r>
            <w:r w:rsidR="00D33A7F">
              <w:rPr>
                <w:rFonts w:eastAsia="Times New Roman" w:cstheme="minorHAnsi"/>
                <w:i/>
                <w:color w:val="000000"/>
              </w:rPr>
              <w:t>nde</w:t>
            </w:r>
            <w:r w:rsidR="0098682C">
              <w:rPr>
                <w:rFonts w:eastAsia="Times New Roman" w:cstheme="minorHAnsi"/>
                <w:i/>
                <w:color w:val="000000"/>
              </w:rPr>
              <w:t xml:space="preserve"> in mei 2018 door alle lidstaten geïmplementeerd te zijn. De richtlijn heeft met name </w:t>
            </w:r>
            <w:r w:rsidR="0098682C">
              <w:rPr>
                <w:rFonts w:eastAsia="Times New Roman" w:cstheme="minorHAnsi"/>
                <w:i/>
                <w:color w:val="000000"/>
              </w:rPr>
              <w:lastRenderedPageBreak/>
              <w:t xml:space="preserve">betrekking op </w:t>
            </w:r>
            <w:r w:rsidRPr="0098682C" w:rsidR="0098682C">
              <w:rPr>
                <w:rFonts w:eastAsia="Times New Roman" w:cstheme="minorHAnsi"/>
                <w:i/>
                <w:color w:val="000000"/>
              </w:rPr>
              <w:t xml:space="preserve">voorwaarden voor verwerving van </w:t>
            </w:r>
            <w:r w:rsidR="00602038">
              <w:rPr>
                <w:rFonts w:eastAsia="Times New Roman" w:cstheme="minorHAnsi"/>
                <w:i/>
                <w:color w:val="000000"/>
              </w:rPr>
              <w:t xml:space="preserve">pensioenrechten, het </w:t>
            </w:r>
            <w:r w:rsidRPr="0098682C" w:rsidR="0098682C">
              <w:rPr>
                <w:rFonts w:eastAsia="Times New Roman" w:cstheme="minorHAnsi"/>
                <w:i/>
                <w:color w:val="000000"/>
              </w:rPr>
              <w:t>behoud van slapende pensioenrechten</w:t>
            </w:r>
            <w:r w:rsidR="00602038">
              <w:rPr>
                <w:rFonts w:eastAsia="Times New Roman" w:cstheme="minorHAnsi"/>
                <w:i/>
                <w:color w:val="000000"/>
              </w:rPr>
              <w:t>, en de informatievoorziening naar rechthebbenden toe.</w:t>
            </w:r>
          </w:p>
        </w:tc>
      </w:tr>
      <w:tr w:rsidRPr="00322301" w:rsidR="00EF566A" w:rsidTr="001E4F43" w14:paraId="21B3A317" w14:textId="77777777">
        <w:trPr>
          <w:trHeight w:val="1134"/>
        </w:trPr>
        <w:tc>
          <w:tcPr>
            <w:tcW w:w="1150" w:type="dxa"/>
            <w:tcBorders>
              <w:top w:val="single" w:color="auto" w:sz="4" w:space="0"/>
              <w:left w:val="single" w:color="auto" w:sz="4" w:space="0"/>
              <w:bottom w:val="single" w:color="auto" w:sz="4" w:space="0"/>
              <w:right w:val="single" w:color="auto" w:sz="4" w:space="0"/>
            </w:tcBorders>
            <w:shd w:val="clear" w:color="auto" w:fill="auto"/>
            <w:noWrap/>
          </w:tcPr>
          <w:p w:rsidR="00EF566A" w:rsidP="000146C6" w:rsidRDefault="00EF566A" w14:paraId="258641CC" w14:textId="77777777">
            <w:pPr>
              <w:jc w:val="center"/>
              <w:rPr>
                <w:rFonts w:ascii="Calibri" w:hAnsi="Calibri" w:cs="Calibri"/>
                <w:color w:val="000000"/>
              </w:rPr>
            </w:pPr>
            <w:r>
              <w:rPr>
                <w:rFonts w:ascii="Calibri" w:hAnsi="Calibri" w:cs="Calibri"/>
                <w:color w:val="000000"/>
              </w:rPr>
              <w:lastRenderedPageBreak/>
              <w:t>1-jul-20</w:t>
            </w:r>
          </w:p>
          <w:p w:rsidR="00EF566A" w:rsidP="00FA654D" w:rsidRDefault="00EF566A" w14:paraId="411D2116" w14:textId="77777777">
            <w:pPr>
              <w:jc w:val="center"/>
              <w:rPr>
                <w:rFonts w:ascii="Calibri" w:hAnsi="Calibri" w:cs="Calibri"/>
                <w:color w:val="000000"/>
              </w:rPr>
            </w:pPr>
          </w:p>
        </w:tc>
        <w:tc>
          <w:tcPr>
            <w:tcW w:w="1035" w:type="dxa"/>
            <w:tcBorders>
              <w:top w:val="single" w:color="auto" w:sz="4" w:space="0"/>
              <w:left w:val="nil"/>
              <w:bottom w:val="single" w:color="auto" w:sz="4" w:space="0"/>
              <w:right w:val="single" w:color="auto" w:sz="4" w:space="0"/>
            </w:tcBorders>
            <w:shd w:val="clear" w:color="000000" w:fill="FFFFFF"/>
            <w:noWrap/>
          </w:tcPr>
          <w:p w:rsidR="00EF566A" w:rsidP="00FA654D" w:rsidRDefault="00EF566A" w14:paraId="158B1546" w14:textId="64450D97">
            <w:pPr>
              <w:jc w:val="center"/>
              <w:rPr>
                <w:rFonts w:ascii="Calibri" w:hAnsi="Calibri" w:cs="Calibri"/>
                <w:color w:val="000000"/>
              </w:rPr>
            </w:pPr>
            <w:r>
              <w:rPr>
                <w:rFonts w:ascii="Calibri" w:hAnsi="Calibri" w:cs="Calibri"/>
                <w:color w:val="000000"/>
              </w:rPr>
              <w:t>SZW</w:t>
            </w:r>
          </w:p>
        </w:tc>
        <w:tc>
          <w:tcPr>
            <w:tcW w:w="1374" w:type="dxa"/>
            <w:tcBorders>
              <w:top w:val="single" w:color="auto" w:sz="4" w:space="0"/>
              <w:left w:val="nil"/>
              <w:bottom w:val="single" w:color="auto" w:sz="4" w:space="0"/>
              <w:right w:val="single" w:color="auto" w:sz="4" w:space="0"/>
            </w:tcBorders>
            <w:shd w:val="clear" w:color="000000" w:fill="FFFFFF"/>
            <w:noWrap/>
          </w:tcPr>
          <w:p w:rsidR="00EF566A" w:rsidP="00FA654D" w:rsidRDefault="00EF566A" w14:paraId="13BBCE76" w14:textId="18BD8875">
            <w:pPr>
              <w:jc w:val="center"/>
              <w:rPr>
                <w:rFonts w:ascii="Calibri" w:hAnsi="Calibri" w:cs="Calibri"/>
                <w:color w:val="000000"/>
              </w:rPr>
            </w:pPr>
            <w:r>
              <w:rPr>
                <w:rFonts w:ascii="Calibri" w:hAnsi="Calibri" w:cs="Calibri"/>
                <w:color w:val="000000"/>
              </w:rPr>
              <w:t>Mededeling</w:t>
            </w:r>
          </w:p>
        </w:tc>
        <w:tc>
          <w:tcPr>
            <w:tcW w:w="4248" w:type="dxa"/>
            <w:tcBorders>
              <w:top w:val="single" w:color="auto" w:sz="4" w:space="0"/>
              <w:left w:val="nil"/>
              <w:bottom w:val="single" w:color="auto" w:sz="4" w:space="0"/>
              <w:right w:val="single" w:color="auto" w:sz="4" w:space="0"/>
            </w:tcBorders>
            <w:shd w:val="clear" w:color="auto" w:fill="auto"/>
          </w:tcPr>
          <w:p w:rsidRPr="00097EEB" w:rsidR="00EF566A" w:rsidP="00097EEB" w:rsidRDefault="00EF566A" w14:paraId="3F1D8386" w14:textId="505F90B3">
            <w:pPr>
              <w:rPr>
                <w:rFonts w:ascii="Calibri" w:hAnsi="Calibri" w:cs="Calibri"/>
                <w:color w:val="000000"/>
              </w:rPr>
            </w:pPr>
            <w:r w:rsidRPr="00097EEB">
              <w:rPr>
                <w:rFonts w:ascii="Calibri" w:hAnsi="Calibri" w:cs="Calibri"/>
                <w:color w:val="000000"/>
              </w:rPr>
              <w:t>MEDEDELING VAN DE COMMISSIE AAN HET EUROPEES PARLEMENT, DE RAAD, HET EUROPEES ECONOMISCH EN SOCIAAL COMITÉ EN HET COMITÉ VAN DE REGIO'S</w:t>
            </w:r>
          </w:p>
          <w:p w:rsidRPr="00097EEB" w:rsidR="00EF566A" w:rsidP="00097EEB" w:rsidRDefault="00EF566A" w14:paraId="26EC48E7" w14:textId="5552464B">
            <w:pPr>
              <w:rPr>
                <w:rFonts w:ascii="Calibri" w:hAnsi="Calibri" w:cs="Calibri"/>
                <w:color w:val="000000"/>
              </w:rPr>
            </w:pPr>
            <w:r w:rsidRPr="00097EEB">
              <w:rPr>
                <w:rFonts w:ascii="Calibri" w:hAnsi="Calibri" w:cs="Calibri"/>
                <w:color w:val="000000"/>
              </w:rPr>
              <w:t>Europese vaardighedenagenda voor duurzaam concurrentievermogen, sociale</w:t>
            </w:r>
            <w:r>
              <w:rPr>
                <w:rFonts w:ascii="Calibri" w:hAnsi="Calibri" w:cs="Calibri"/>
                <w:color w:val="000000"/>
              </w:rPr>
              <w:t xml:space="preserve"> </w:t>
            </w:r>
            <w:r w:rsidRPr="00097EEB">
              <w:rPr>
                <w:rFonts w:ascii="Calibri" w:hAnsi="Calibri" w:cs="Calibri"/>
                <w:color w:val="000000"/>
              </w:rPr>
              <w:t>rechtvaardigheid en veerkracht</w:t>
            </w:r>
          </w:p>
        </w:tc>
        <w:tc>
          <w:tcPr>
            <w:tcW w:w="720" w:type="dxa"/>
            <w:tcBorders>
              <w:top w:val="single" w:color="auto" w:sz="4" w:space="0"/>
              <w:left w:val="nil"/>
              <w:bottom w:val="single" w:color="auto" w:sz="4" w:space="0"/>
              <w:right w:val="single" w:color="auto" w:sz="4" w:space="0"/>
            </w:tcBorders>
            <w:shd w:val="clear" w:color="000000" w:fill="FFFFFF"/>
            <w:noWrap/>
          </w:tcPr>
          <w:p w:rsidR="00EF566A" w:rsidP="000146C6" w:rsidRDefault="005464ED" w14:paraId="6B591D51" w14:textId="77777777">
            <w:pPr>
              <w:jc w:val="center"/>
              <w:rPr>
                <w:rFonts w:ascii="Calibri" w:hAnsi="Calibri" w:cs="Calibri"/>
                <w:color w:val="0000FF"/>
                <w:u w:val="single"/>
              </w:rPr>
            </w:pPr>
            <w:hyperlink w:history="1" r:id="rId12">
              <w:r w:rsidR="00EF566A">
                <w:rPr>
                  <w:rStyle w:val="Hyperlink"/>
                  <w:rFonts w:ascii="Calibri" w:hAnsi="Calibri" w:cs="Calibri"/>
                </w:rPr>
                <w:t>COM (2020) 274</w:t>
              </w:r>
            </w:hyperlink>
          </w:p>
          <w:p w:rsidR="00EF566A" w:rsidP="00FA654D" w:rsidRDefault="00EF566A" w14:paraId="51B59D0F" w14:textId="77777777">
            <w:pPr>
              <w:jc w:val="center"/>
              <w:rPr>
                <w:rFonts w:ascii="Calibri" w:hAnsi="Calibri" w:cs="Calibri"/>
                <w:color w:val="0000FF"/>
                <w:u w:val="single"/>
              </w:rPr>
            </w:pPr>
          </w:p>
        </w:tc>
        <w:tc>
          <w:tcPr>
            <w:tcW w:w="1130" w:type="dxa"/>
            <w:tcBorders>
              <w:top w:val="single" w:color="auto" w:sz="4" w:space="0"/>
              <w:left w:val="single" w:color="auto" w:sz="4" w:space="0"/>
              <w:bottom w:val="single" w:color="auto" w:sz="4" w:space="0"/>
              <w:right w:val="single" w:color="auto" w:sz="4" w:space="0"/>
            </w:tcBorders>
            <w:shd w:val="clear" w:color="auto" w:fill="auto"/>
          </w:tcPr>
          <w:p w:rsidR="00EF566A" w:rsidP="00FA654D" w:rsidRDefault="00EF566A" w14:paraId="3F572BCE" w14:textId="4827411B">
            <w:pPr>
              <w:jc w:val="center"/>
              <w:rPr>
                <w:rFonts w:ascii="Calibri" w:hAnsi="Calibri" w:cs="Calibri"/>
                <w:color w:val="000000"/>
              </w:rPr>
            </w:pPr>
            <w:r>
              <w:rPr>
                <w:rFonts w:ascii="Calibri" w:hAnsi="Calibri" w:cs="Calibri"/>
                <w:color w:val="000000"/>
              </w:rPr>
              <w:t>nvt</w:t>
            </w:r>
          </w:p>
        </w:tc>
        <w:tc>
          <w:tcPr>
            <w:tcW w:w="4998" w:type="dxa"/>
            <w:vMerge w:val="restart"/>
            <w:shd w:val="clear" w:color="auto" w:fill="auto"/>
          </w:tcPr>
          <w:p w:rsidR="00EF566A" w:rsidP="00FA654D" w:rsidRDefault="00EF566A" w14:paraId="24F98E30" w14:textId="1B43A3B7">
            <w:pPr>
              <w:spacing w:after="0" w:line="240" w:lineRule="auto"/>
              <w:rPr>
                <w:rFonts w:eastAsia="Times New Roman" w:cstheme="minorHAnsi"/>
                <w:color w:val="000000"/>
                <w:u w:val="single"/>
              </w:rPr>
            </w:pPr>
            <w:r w:rsidRPr="00AB391E">
              <w:rPr>
                <w:rFonts w:eastAsia="Times New Roman" w:cstheme="minorHAnsi"/>
                <w:color w:val="000000"/>
                <w:u w:val="single"/>
              </w:rPr>
              <w:t>Behandelvoorstel</w:t>
            </w:r>
            <w:r w:rsidRPr="00AB391E">
              <w:rPr>
                <w:rFonts w:eastAsia="Times New Roman" w:cstheme="minorHAnsi"/>
                <w:color w:val="000000"/>
              </w:rPr>
              <w:t xml:space="preserve">: </w:t>
            </w:r>
            <w:r w:rsidRPr="00003A98">
              <w:rPr>
                <w:rFonts w:eastAsia="Times New Roman" w:cstheme="minorHAnsi"/>
                <w:color w:val="000000"/>
              </w:rPr>
              <w:t xml:space="preserve">BNC-fiche afwachten </w:t>
            </w:r>
            <w:r>
              <w:rPr>
                <w:rFonts w:eastAsia="Times New Roman" w:cstheme="minorHAnsi"/>
                <w:color w:val="000000"/>
              </w:rPr>
              <w:t xml:space="preserve">over beide voorstellen </w:t>
            </w:r>
            <w:r w:rsidRPr="00003A98">
              <w:rPr>
                <w:rFonts w:eastAsia="Times New Roman" w:cstheme="minorHAnsi"/>
                <w:color w:val="000000"/>
              </w:rPr>
              <w:t xml:space="preserve">en agenderen voor een eerstvolgend algemeen overleg over de </w:t>
            </w:r>
            <w:r>
              <w:rPr>
                <w:rFonts w:eastAsia="Times New Roman" w:cstheme="minorHAnsi"/>
                <w:color w:val="000000"/>
              </w:rPr>
              <w:t>Raad WSB</w:t>
            </w:r>
          </w:p>
          <w:p w:rsidR="00EF566A" w:rsidP="00FA654D" w:rsidRDefault="00EF566A" w14:paraId="14D09810" w14:textId="77777777">
            <w:pPr>
              <w:spacing w:after="0" w:line="240" w:lineRule="auto"/>
              <w:rPr>
                <w:rFonts w:eastAsia="Times New Roman" w:cstheme="minorHAnsi"/>
                <w:color w:val="000000"/>
                <w:u w:val="single"/>
              </w:rPr>
            </w:pPr>
          </w:p>
          <w:p w:rsidR="00EF566A" w:rsidP="00EF566A" w:rsidRDefault="00EF566A" w14:paraId="03518571" w14:textId="77777777">
            <w:pPr>
              <w:spacing w:after="0"/>
              <w:rPr>
                <w:rFonts w:eastAsia="Times New Roman" w:cstheme="minorHAnsi"/>
                <w:i/>
                <w:color w:val="000000"/>
              </w:rPr>
            </w:pPr>
            <w:r w:rsidRPr="00AB391E">
              <w:rPr>
                <w:rFonts w:eastAsia="Times New Roman" w:cstheme="minorHAnsi"/>
                <w:b/>
                <w:i/>
                <w:color w:val="000000"/>
              </w:rPr>
              <w:t>Noot</w:t>
            </w:r>
            <w:r w:rsidRPr="00AB391E">
              <w:rPr>
                <w:rFonts w:eastAsia="Times New Roman" w:cstheme="minorHAnsi"/>
                <w:i/>
                <w:color w:val="000000"/>
              </w:rPr>
              <w:t xml:space="preserve">: </w:t>
            </w:r>
            <w:r w:rsidRPr="005C442E">
              <w:rPr>
                <w:rFonts w:eastAsia="Times New Roman" w:cstheme="minorHAnsi"/>
                <w:i/>
                <w:color w:val="000000"/>
              </w:rPr>
              <w:t xml:space="preserve">De Commissie roept – ook gezien de gevolgen van de coronacrisis </w:t>
            </w:r>
            <w:r>
              <w:rPr>
                <w:rFonts w:eastAsia="Times New Roman" w:cstheme="minorHAnsi"/>
                <w:i/>
                <w:color w:val="000000"/>
              </w:rPr>
              <w:t>–</w:t>
            </w:r>
            <w:r w:rsidRPr="005C442E">
              <w:rPr>
                <w:rFonts w:eastAsia="Times New Roman" w:cstheme="minorHAnsi"/>
                <w:i/>
                <w:color w:val="000000"/>
              </w:rPr>
              <w:t xml:space="preserve"> in de mededeling op om vaardigheden de komende vijf jaar een centrale plaats op de Europese beleidsagenda toe te kennen. De Commissie wil daartoe met bedrijfsleven, sociale partners en andere belanghebbenden samenwerken aan een ambitieus pact voor (toekomstgerichte) vaardigheden</w:t>
            </w:r>
            <w:r>
              <w:rPr>
                <w:rFonts w:eastAsia="Times New Roman" w:cstheme="minorHAnsi"/>
                <w:i/>
                <w:color w:val="000000"/>
              </w:rPr>
              <w:t xml:space="preserve">. </w:t>
            </w:r>
            <w:r w:rsidRPr="005C442E">
              <w:rPr>
                <w:rFonts w:eastAsia="Times New Roman" w:cstheme="minorHAnsi"/>
                <w:i/>
                <w:color w:val="000000"/>
              </w:rPr>
              <w:t xml:space="preserve">Om de ambitie kracht bij te zetten pleit de Commissie voor ambitieuze kwantitatieve doelstellingen om jaarlijks </w:t>
            </w:r>
            <w:r>
              <w:rPr>
                <w:rFonts w:eastAsia="Times New Roman" w:cstheme="minorHAnsi"/>
                <w:i/>
                <w:color w:val="000000"/>
              </w:rPr>
              <w:t xml:space="preserve">de </w:t>
            </w:r>
            <w:r w:rsidRPr="005C442E">
              <w:rPr>
                <w:rFonts w:eastAsia="Times New Roman" w:cstheme="minorHAnsi"/>
                <w:i/>
                <w:color w:val="000000"/>
              </w:rPr>
              <w:t>voorgang te kunnen meten.</w:t>
            </w:r>
          </w:p>
          <w:p w:rsidRPr="00C57BEE" w:rsidR="00EF566A" w:rsidP="00EF566A" w:rsidRDefault="00EF566A" w14:paraId="10638D6C" w14:textId="2C84F256">
            <w:pPr>
              <w:spacing w:after="0"/>
              <w:rPr>
                <w:rFonts w:eastAsia="Times New Roman" w:cstheme="minorHAnsi"/>
                <w:color w:val="000000"/>
              </w:rPr>
            </w:pPr>
            <w:r>
              <w:rPr>
                <w:rFonts w:eastAsia="Times New Roman" w:cstheme="minorHAnsi"/>
                <w:i/>
                <w:color w:val="000000"/>
              </w:rPr>
              <w:t>De aanbeveling is een concrete uitwerking van het hierboven genoemde initiatief tot een EU Vaardighedenagenda.</w:t>
            </w:r>
          </w:p>
          <w:p w:rsidRPr="00AB391E" w:rsidR="00EF566A" w:rsidP="00FA654D" w:rsidRDefault="00EF566A" w14:paraId="0E385222" w14:textId="3E90A9CC">
            <w:pPr>
              <w:spacing w:after="0" w:line="240" w:lineRule="auto"/>
              <w:rPr>
                <w:rFonts w:eastAsia="Times New Roman" w:cstheme="minorHAnsi"/>
                <w:color w:val="000000"/>
                <w:u w:val="single"/>
              </w:rPr>
            </w:pPr>
          </w:p>
        </w:tc>
      </w:tr>
      <w:tr w:rsidRPr="00322301" w:rsidR="00EF566A" w:rsidTr="001E4F43" w14:paraId="69A132B3" w14:textId="77777777">
        <w:trPr>
          <w:trHeight w:val="1134"/>
        </w:trPr>
        <w:tc>
          <w:tcPr>
            <w:tcW w:w="1150" w:type="dxa"/>
            <w:tcBorders>
              <w:top w:val="single" w:color="auto" w:sz="4" w:space="0"/>
              <w:left w:val="single" w:color="auto" w:sz="4" w:space="0"/>
              <w:bottom w:val="single" w:color="auto" w:sz="4" w:space="0"/>
              <w:right w:val="single" w:color="auto" w:sz="4" w:space="0"/>
            </w:tcBorders>
            <w:shd w:val="clear" w:color="auto" w:fill="auto"/>
            <w:noWrap/>
          </w:tcPr>
          <w:p w:rsidR="00EF566A" w:rsidP="000146C6" w:rsidRDefault="00EF566A" w14:paraId="68D56516" w14:textId="77777777">
            <w:pPr>
              <w:jc w:val="center"/>
              <w:rPr>
                <w:rFonts w:ascii="Calibri" w:hAnsi="Calibri" w:cs="Calibri"/>
                <w:color w:val="000000"/>
              </w:rPr>
            </w:pPr>
            <w:r>
              <w:rPr>
                <w:rFonts w:ascii="Calibri" w:hAnsi="Calibri" w:cs="Calibri"/>
                <w:color w:val="000000"/>
              </w:rPr>
              <w:t>1-jul-20</w:t>
            </w:r>
          </w:p>
          <w:p w:rsidR="00EF566A" w:rsidP="00FA654D" w:rsidRDefault="00EF566A" w14:paraId="4967809D" w14:textId="77777777">
            <w:pPr>
              <w:jc w:val="center"/>
              <w:rPr>
                <w:rFonts w:ascii="Calibri" w:hAnsi="Calibri" w:cs="Calibri"/>
                <w:color w:val="000000"/>
              </w:rPr>
            </w:pPr>
          </w:p>
        </w:tc>
        <w:tc>
          <w:tcPr>
            <w:tcW w:w="1035" w:type="dxa"/>
            <w:tcBorders>
              <w:top w:val="single" w:color="auto" w:sz="4" w:space="0"/>
              <w:left w:val="nil"/>
              <w:bottom w:val="single" w:color="auto" w:sz="4" w:space="0"/>
              <w:right w:val="single" w:color="auto" w:sz="4" w:space="0"/>
            </w:tcBorders>
            <w:shd w:val="clear" w:color="000000" w:fill="FFFFFF"/>
            <w:noWrap/>
          </w:tcPr>
          <w:p w:rsidR="00EF566A" w:rsidP="00FA654D" w:rsidRDefault="00EF566A" w14:paraId="22BDD1BE" w14:textId="2999A37C">
            <w:pPr>
              <w:jc w:val="center"/>
              <w:rPr>
                <w:rFonts w:ascii="Calibri" w:hAnsi="Calibri" w:cs="Calibri"/>
                <w:color w:val="000000"/>
              </w:rPr>
            </w:pPr>
            <w:r>
              <w:rPr>
                <w:rFonts w:ascii="Calibri" w:hAnsi="Calibri" w:cs="Calibri"/>
                <w:color w:val="000000"/>
              </w:rPr>
              <w:t>SZW</w:t>
            </w:r>
          </w:p>
        </w:tc>
        <w:tc>
          <w:tcPr>
            <w:tcW w:w="1374" w:type="dxa"/>
            <w:tcBorders>
              <w:top w:val="single" w:color="auto" w:sz="4" w:space="0"/>
              <w:left w:val="nil"/>
              <w:bottom w:val="single" w:color="auto" w:sz="4" w:space="0"/>
              <w:right w:val="single" w:color="auto" w:sz="4" w:space="0"/>
            </w:tcBorders>
            <w:shd w:val="clear" w:color="000000" w:fill="FFFFFF"/>
            <w:noWrap/>
          </w:tcPr>
          <w:p w:rsidR="00EF566A" w:rsidP="00FA654D" w:rsidRDefault="00EF566A" w14:paraId="67241D2B" w14:textId="4ACE1A71">
            <w:pPr>
              <w:jc w:val="center"/>
              <w:rPr>
                <w:rFonts w:ascii="Calibri" w:hAnsi="Calibri" w:cs="Calibri"/>
                <w:color w:val="000000"/>
              </w:rPr>
            </w:pPr>
            <w:r>
              <w:rPr>
                <w:rFonts w:ascii="Calibri" w:hAnsi="Calibri" w:cs="Calibri"/>
                <w:color w:val="000000"/>
              </w:rPr>
              <w:t>Overig</w:t>
            </w:r>
          </w:p>
        </w:tc>
        <w:tc>
          <w:tcPr>
            <w:tcW w:w="4248" w:type="dxa"/>
            <w:tcBorders>
              <w:top w:val="single" w:color="auto" w:sz="4" w:space="0"/>
              <w:left w:val="nil"/>
              <w:bottom w:val="single" w:color="auto" w:sz="4" w:space="0"/>
              <w:right w:val="single" w:color="auto" w:sz="4" w:space="0"/>
            </w:tcBorders>
            <w:shd w:val="clear" w:color="auto" w:fill="auto"/>
          </w:tcPr>
          <w:p w:rsidR="00EF566A" w:rsidP="000146C6" w:rsidRDefault="00EF566A" w14:paraId="3ECC30C2" w14:textId="4B01BC50">
            <w:pPr>
              <w:rPr>
                <w:rFonts w:ascii="Calibri" w:hAnsi="Calibri" w:cs="Calibri"/>
                <w:color w:val="000000"/>
              </w:rPr>
            </w:pPr>
            <w:r>
              <w:rPr>
                <w:rFonts w:ascii="Calibri" w:hAnsi="Calibri" w:cs="Calibri"/>
                <w:color w:val="000000"/>
              </w:rPr>
              <w:t>Voorstel voor een AANBEVELING VAN DE RAAD inzake beroepsonderwijs en -opleiding voor duurzaam concurrentievermogen, sociale rechtvaardigheid en veerkracht</w:t>
            </w:r>
          </w:p>
          <w:p w:rsidR="00EF566A" w:rsidP="00FA654D" w:rsidRDefault="00EF566A" w14:paraId="6F7FEED5" w14:textId="77777777">
            <w:pPr>
              <w:rPr>
                <w:rFonts w:ascii="Calibri" w:hAnsi="Calibri" w:cs="Calibri"/>
                <w:color w:val="000000"/>
              </w:rPr>
            </w:pPr>
          </w:p>
        </w:tc>
        <w:tc>
          <w:tcPr>
            <w:tcW w:w="720" w:type="dxa"/>
            <w:tcBorders>
              <w:top w:val="single" w:color="auto" w:sz="4" w:space="0"/>
              <w:left w:val="nil"/>
              <w:bottom w:val="single" w:color="auto" w:sz="4" w:space="0"/>
              <w:right w:val="single" w:color="auto" w:sz="4" w:space="0"/>
            </w:tcBorders>
            <w:shd w:val="clear" w:color="000000" w:fill="FFFFFF"/>
            <w:noWrap/>
          </w:tcPr>
          <w:p w:rsidR="00EF566A" w:rsidP="000146C6" w:rsidRDefault="005464ED" w14:paraId="597FAD75" w14:textId="77777777">
            <w:pPr>
              <w:jc w:val="center"/>
              <w:rPr>
                <w:rFonts w:ascii="Calibri" w:hAnsi="Calibri" w:cs="Calibri"/>
                <w:color w:val="0000FF"/>
                <w:u w:val="single"/>
              </w:rPr>
            </w:pPr>
            <w:hyperlink w:history="1" r:id="rId13">
              <w:r w:rsidR="00EF566A">
                <w:rPr>
                  <w:rStyle w:val="Hyperlink"/>
                  <w:rFonts w:ascii="Calibri" w:hAnsi="Calibri" w:cs="Calibri"/>
                </w:rPr>
                <w:t>COM (2020) 275</w:t>
              </w:r>
            </w:hyperlink>
          </w:p>
          <w:p w:rsidR="00EF566A" w:rsidP="00FA654D" w:rsidRDefault="00EF566A" w14:paraId="19FA5705" w14:textId="77777777">
            <w:pPr>
              <w:jc w:val="center"/>
              <w:rPr>
                <w:rFonts w:ascii="Calibri" w:hAnsi="Calibri" w:cs="Calibri"/>
                <w:color w:val="0000FF"/>
                <w:u w:val="single"/>
              </w:rPr>
            </w:pPr>
          </w:p>
        </w:tc>
        <w:tc>
          <w:tcPr>
            <w:tcW w:w="1130" w:type="dxa"/>
            <w:tcBorders>
              <w:top w:val="single" w:color="auto" w:sz="4" w:space="0"/>
              <w:left w:val="single" w:color="auto" w:sz="4" w:space="0"/>
              <w:bottom w:val="single" w:color="auto" w:sz="4" w:space="0"/>
              <w:right w:val="single" w:color="auto" w:sz="4" w:space="0"/>
            </w:tcBorders>
            <w:shd w:val="clear" w:color="auto" w:fill="auto"/>
          </w:tcPr>
          <w:p w:rsidR="00EF566A" w:rsidP="00FA654D" w:rsidRDefault="00EF566A" w14:paraId="33E91530" w14:textId="573B8D45">
            <w:pPr>
              <w:jc w:val="center"/>
              <w:rPr>
                <w:rFonts w:ascii="Calibri" w:hAnsi="Calibri" w:cs="Calibri"/>
                <w:color w:val="000000"/>
              </w:rPr>
            </w:pPr>
          </w:p>
        </w:tc>
        <w:tc>
          <w:tcPr>
            <w:tcW w:w="4998" w:type="dxa"/>
            <w:vMerge/>
            <w:shd w:val="clear" w:color="auto" w:fill="auto"/>
          </w:tcPr>
          <w:p w:rsidRPr="00AB391E" w:rsidR="00EF566A" w:rsidP="00FA654D" w:rsidRDefault="00EF566A" w14:paraId="0FDE9906" w14:textId="77777777">
            <w:pPr>
              <w:spacing w:after="0" w:line="240" w:lineRule="auto"/>
              <w:rPr>
                <w:rFonts w:eastAsia="Times New Roman" w:cstheme="minorHAnsi"/>
                <w:color w:val="000000"/>
                <w:u w:val="single"/>
              </w:rPr>
            </w:pPr>
          </w:p>
        </w:tc>
      </w:tr>
      <w:tr w:rsidRPr="00322301" w:rsidR="00C30919" w:rsidTr="001E4F43" w14:paraId="06646081" w14:textId="77777777">
        <w:trPr>
          <w:trHeight w:val="1134"/>
        </w:trPr>
        <w:tc>
          <w:tcPr>
            <w:tcW w:w="1150" w:type="dxa"/>
            <w:tcBorders>
              <w:top w:val="single" w:color="auto" w:sz="4" w:space="0"/>
              <w:left w:val="single" w:color="auto" w:sz="4" w:space="0"/>
              <w:bottom w:val="single" w:color="auto" w:sz="4" w:space="0"/>
              <w:right w:val="single" w:color="auto" w:sz="4" w:space="0"/>
            </w:tcBorders>
            <w:shd w:val="clear" w:color="auto" w:fill="auto"/>
            <w:noWrap/>
          </w:tcPr>
          <w:p w:rsidR="00C30919" w:rsidP="000146C6" w:rsidRDefault="00C30919" w14:paraId="4603B8CB" w14:textId="77777777">
            <w:pPr>
              <w:jc w:val="center"/>
              <w:rPr>
                <w:rFonts w:ascii="Calibri" w:hAnsi="Calibri" w:cs="Calibri"/>
                <w:color w:val="000000"/>
              </w:rPr>
            </w:pPr>
            <w:r>
              <w:rPr>
                <w:rFonts w:ascii="Calibri" w:hAnsi="Calibri" w:cs="Calibri"/>
                <w:color w:val="000000"/>
              </w:rPr>
              <w:t>1-jul-20</w:t>
            </w:r>
          </w:p>
          <w:p w:rsidR="00C30919" w:rsidP="00FA654D" w:rsidRDefault="00C30919" w14:paraId="400CCBD2" w14:textId="77777777">
            <w:pPr>
              <w:jc w:val="center"/>
              <w:rPr>
                <w:rFonts w:ascii="Calibri" w:hAnsi="Calibri" w:cs="Calibri"/>
                <w:color w:val="000000"/>
              </w:rPr>
            </w:pPr>
          </w:p>
        </w:tc>
        <w:tc>
          <w:tcPr>
            <w:tcW w:w="1035" w:type="dxa"/>
            <w:tcBorders>
              <w:top w:val="single" w:color="auto" w:sz="4" w:space="0"/>
              <w:left w:val="nil"/>
              <w:bottom w:val="single" w:color="auto" w:sz="4" w:space="0"/>
              <w:right w:val="single" w:color="auto" w:sz="4" w:space="0"/>
            </w:tcBorders>
            <w:shd w:val="clear" w:color="000000" w:fill="FFFFFF"/>
            <w:noWrap/>
          </w:tcPr>
          <w:p w:rsidR="00C30919" w:rsidP="00FA654D" w:rsidRDefault="00C30919" w14:paraId="45F41EB1" w14:textId="77F4B173">
            <w:pPr>
              <w:jc w:val="center"/>
              <w:rPr>
                <w:rFonts w:ascii="Calibri" w:hAnsi="Calibri" w:cs="Calibri"/>
                <w:color w:val="000000"/>
              </w:rPr>
            </w:pPr>
            <w:r>
              <w:rPr>
                <w:rFonts w:ascii="Calibri" w:hAnsi="Calibri" w:cs="Calibri"/>
                <w:color w:val="000000"/>
              </w:rPr>
              <w:t>SZW</w:t>
            </w:r>
          </w:p>
        </w:tc>
        <w:tc>
          <w:tcPr>
            <w:tcW w:w="1374" w:type="dxa"/>
            <w:tcBorders>
              <w:top w:val="single" w:color="auto" w:sz="4" w:space="0"/>
              <w:left w:val="nil"/>
              <w:bottom w:val="single" w:color="auto" w:sz="4" w:space="0"/>
              <w:right w:val="single" w:color="auto" w:sz="4" w:space="0"/>
            </w:tcBorders>
            <w:shd w:val="clear" w:color="000000" w:fill="FFFFFF"/>
            <w:noWrap/>
          </w:tcPr>
          <w:p w:rsidR="00C30919" w:rsidP="00FA654D" w:rsidRDefault="00C30919" w14:paraId="414A3941" w14:textId="3346274D">
            <w:pPr>
              <w:jc w:val="center"/>
              <w:rPr>
                <w:rFonts w:ascii="Calibri" w:hAnsi="Calibri" w:cs="Calibri"/>
                <w:color w:val="000000"/>
              </w:rPr>
            </w:pPr>
            <w:r>
              <w:rPr>
                <w:rFonts w:ascii="Calibri" w:hAnsi="Calibri" w:cs="Calibri"/>
                <w:color w:val="000000"/>
              </w:rPr>
              <w:t>Mededeling</w:t>
            </w:r>
          </w:p>
        </w:tc>
        <w:tc>
          <w:tcPr>
            <w:tcW w:w="4248" w:type="dxa"/>
            <w:tcBorders>
              <w:top w:val="single" w:color="auto" w:sz="4" w:space="0"/>
              <w:left w:val="nil"/>
              <w:bottom w:val="single" w:color="auto" w:sz="4" w:space="0"/>
              <w:right w:val="single" w:color="auto" w:sz="4" w:space="0"/>
            </w:tcBorders>
            <w:shd w:val="clear" w:color="auto" w:fill="auto"/>
          </w:tcPr>
          <w:p w:rsidR="00C30919" w:rsidP="000146C6" w:rsidRDefault="00C30919" w14:paraId="31B3EDD5" w14:textId="77777777">
            <w:pPr>
              <w:rPr>
                <w:rFonts w:ascii="Calibri" w:hAnsi="Calibri" w:cs="Calibri"/>
                <w:color w:val="000000"/>
              </w:rPr>
            </w:pPr>
            <w:r>
              <w:rPr>
                <w:rFonts w:ascii="Calibri" w:hAnsi="Calibri" w:cs="Calibri"/>
                <w:color w:val="000000"/>
              </w:rPr>
              <w:t>MEDEDELING VAN DE COMMISSIE AAN HET EUROPEES PARLEMENT, DE RAAD, HET EUROPEES ECONOMISCH EN SOCIAAL COMITÉ EN HET COMITÉ VAN DE REGIO'S Ondersteuning van de werkgelegenheid voor jongeren: een brug naar banen voor de volgende generatie</w:t>
            </w:r>
          </w:p>
          <w:p w:rsidR="00C30919" w:rsidP="00FA654D" w:rsidRDefault="00C30919" w14:paraId="57833AFE" w14:textId="77777777">
            <w:pPr>
              <w:rPr>
                <w:rFonts w:ascii="Calibri" w:hAnsi="Calibri" w:cs="Calibri"/>
                <w:color w:val="000000"/>
              </w:rPr>
            </w:pPr>
          </w:p>
        </w:tc>
        <w:tc>
          <w:tcPr>
            <w:tcW w:w="720" w:type="dxa"/>
            <w:tcBorders>
              <w:top w:val="single" w:color="auto" w:sz="4" w:space="0"/>
              <w:left w:val="nil"/>
              <w:bottom w:val="single" w:color="auto" w:sz="4" w:space="0"/>
              <w:right w:val="single" w:color="auto" w:sz="4" w:space="0"/>
            </w:tcBorders>
            <w:shd w:val="clear" w:color="000000" w:fill="FFFFFF"/>
            <w:noWrap/>
          </w:tcPr>
          <w:p w:rsidR="00C30919" w:rsidP="000146C6" w:rsidRDefault="005464ED" w14:paraId="58854ABC" w14:textId="77777777">
            <w:pPr>
              <w:jc w:val="center"/>
              <w:rPr>
                <w:rFonts w:ascii="Calibri" w:hAnsi="Calibri" w:cs="Calibri"/>
                <w:color w:val="0000FF"/>
                <w:u w:val="single"/>
              </w:rPr>
            </w:pPr>
            <w:hyperlink w:history="1" r:id="rId14">
              <w:r w:rsidR="00C30919">
                <w:rPr>
                  <w:rStyle w:val="Hyperlink"/>
                  <w:rFonts w:ascii="Calibri" w:hAnsi="Calibri" w:cs="Calibri"/>
                </w:rPr>
                <w:t>COM (2020) 276</w:t>
              </w:r>
            </w:hyperlink>
          </w:p>
          <w:p w:rsidR="00C30919" w:rsidP="00FA654D" w:rsidRDefault="00C30919" w14:paraId="607B0DF2" w14:textId="77777777">
            <w:pPr>
              <w:jc w:val="center"/>
              <w:rPr>
                <w:rFonts w:ascii="Calibri" w:hAnsi="Calibri" w:cs="Calibri"/>
                <w:color w:val="0000FF"/>
                <w:u w:val="single"/>
              </w:rPr>
            </w:pPr>
          </w:p>
        </w:tc>
        <w:tc>
          <w:tcPr>
            <w:tcW w:w="1130" w:type="dxa"/>
            <w:tcBorders>
              <w:top w:val="single" w:color="auto" w:sz="4" w:space="0"/>
              <w:left w:val="single" w:color="auto" w:sz="4" w:space="0"/>
              <w:bottom w:val="single" w:color="auto" w:sz="4" w:space="0"/>
              <w:right w:val="single" w:color="auto" w:sz="4" w:space="0"/>
            </w:tcBorders>
            <w:shd w:val="clear" w:color="auto" w:fill="auto"/>
          </w:tcPr>
          <w:p w:rsidR="00C30919" w:rsidP="00FA654D" w:rsidRDefault="00C30919" w14:paraId="6BD2D76D" w14:textId="01488024">
            <w:pPr>
              <w:jc w:val="center"/>
              <w:rPr>
                <w:rFonts w:ascii="Calibri" w:hAnsi="Calibri" w:cs="Calibri"/>
                <w:color w:val="000000"/>
              </w:rPr>
            </w:pPr>
            <w:r>
              <w:rPr>
                <w:rFonts w:ascii="Calibri" w:hAnsi="Calibri" w:cs="Calibri"/>
                <w:color w:val="000000"/>
              </w:rPr>
              <w:t>nvt</w:t>
            </w:r>
          </w:p>
        </w:tc>
        <w:tc>
          <w:tcPr>
            <w:tcW w:w="4998" w:type="dxa"/>
            <w:vMerge w:val="restart"/>
            <w:shd w:val="clear" w:color="auto" w:fill="auto"/>
          </w:tcPr>
          <w:p w:rsidR="00C30919" w:rsidP="00FA654D" w:rsidRDefault="00C30919" w14:paraId="5568A631" w14:textId="21F83C56">
            <w:pPr>
              <w:spacing w:after="0" w:line="240" w:lineRule="auto"/>
              <w:rPr>
                <w:rFonts w:eastAsia="Times New Roman" w:cstheme="minorHAnsi"/>
                <w:color w:val="000000"/>
                <w:u w:val="single"/>
              </w:rPr>
            </w:pPr>
            <w:r w:rsidRPr="00AB391E">
              <w:rPr>
                <w:rFonts w:eastAsia="Times New Roman" w:cstheme="minorHAnsi"/>
                <w:color w:val="000000"/>
                <w:u w:val="single"/>
              </w:rPr>
              <w:t>Behandelvoorstel</w:t>
            </w:r>
            <w:r w:rsidRPr="00AB391E">
              <w:rPr>
                <w:rFonts w:eastAsia="Times New Roman" w:cstheme="minorHAnsi"/>
                <w:color w:val="000000"/>
              </w:rPr>
              <w:t xml:space="preserve">: </w:t>
            </w:r>
            <w:r w:rsidRPr="00003A98">
              <w:rPr>
                <w:rFonts w:eastAsia="Times New Roman" w:cstheme="minorHAnsi"/>
                <w:color w:val="000000"/>
              </w:rPr>
              <w:t xml:space="preserve">BNC-fiche afwachten </w:t>
            </w:r>
            <w:r>
              <w:rPr>
                <w:rFonts w:eastAsia="Times New Roman" w:cstheme="minorHAnsi"/>
                <w:color w:val="000000"/>
              </w:rPr>
              <w:t xml:space="preserve">voor beide voorstellen </w:t>
            </w:r>
            <w:r w:rsidRPr="00003A98">
              <w:rPr>
                <w:rFonts w:eastAsia="Times New Roman" w:cstheme="minorHAnsi"/>
                <w:color w:val="000000"/>
              </w:rPr>
              <w:t>en agenderen voor een eerstvolgend algemeen overleg over de Raad WSB</w:t>
            </w:r>
          </w:p>
          <w:p w:rsidR="00C30919" w:rsidP="00FA654D" w:rsidRDefault="00C30919" w14:paraId="2ABC79B9" w14:textId="77777777">
            <w:pPr>
              <w:spacing w:after="0" w:line="240" w:lineRule="auto"/>
              <w:rPr>
                <w:rFonts w:eastAsia="Times New Roman" w:cstheme="minorHAnsi"/>
                <w:color w:val="000000"/>
                <w:u w:val="single"/>
              </w:rPr>
            </w:pPr>
          </w:p>
          <w:p w:rsidRPr="00AB391E" w:rsidR="00C30919" w:rsidP="00A7136C" w:rsidRDefault="00C30919" w14:paraId="129F5AA0" w14:textId="647A31F0">
            <w:pPr>
              <w:spacing w:after="0" w:line="240" w:lineRule="auto"/>
              <w:rPr>
                <w:rFonts w:eastAsia="Times New Roman" w:cstheme="minorHAnsi"/>
                <w:color w:val="000000"/>
                <w:u w:val="single"/>
              </w:rPr>
            </w:pPr>
            <w:r w:rsidRPr="00AB391E">
              <w:rPr>
                <w:rFonts w:eastAsia="Times New Roman" w:cstheme="minorHAnsi"/>
                <w:b/>
                <w:i/>
                <w:color w:val="000000"/>
              </w:rPr>
              <w:t>Noot</w:t>
            </w:r>
            <w:r w:rsidRPr="00AB391E">
              <w:rPr>
                <w:rFonts w:eastAsia="Times New Roman" w:cstheme="minorHAnsi"/>
                <w:i/>
                <w:color w:val="000000"/>
              </w:rPr>
              <w:t xml:space="preserve">: </w:t>
            </w:r>
            <w:r w:rsidRPr="00C30919">
              <w:rPr>
                <w:rFonts w:eastAsia="Times New Roman" w:cstheme="minorHAnsi"/>
                <w:i/>
                <w:color w:val="000000"/>
              </w:rPr>
              <w:t>Het voorstel voor een aanbeveling van de Raad voor “Een brug naar banen — versterking van de jongerengarantie” bouwt voort op de</w:t>
            </w:r>
            <w:r>
              <w:rPr>
                <w:rFonts w:eastAsia="Times New Roman" w:cstheme="minorHAnsi"/>
                <w:i/>
                <w:color w:val="000000"/>
              </w:rPr>
              <w:t xml:space="preserve"> in 2013 geïntroduceerde Jongerengarantie. </w:t>
            </w:r>
            <w:r w:rsidR="00790ABD">
              <w:rPr>
                <w:rFonts w:eastAsia="Times New Roman" w:cstheme="minorHAnsi"/>
                <w:i/>
                <w:color w:val="000000"/>
              </w:rPr>
              <w:t xml:space="preserve">De begeleidende </w:t>
            </w:r>
            <w:r w:rsidR="00790ABD">
              <w:rPr>
                <w:rFonts w:eastAsia="Times New Roman" w:cstheme="minorHAnsi"/>
                <w:i/>
                <w:color w:val="000000"/>
              </w:rPr>
              <w:lastRenderedPageBreak/>
              <w:t>Commissie mededeling geeft de motivering voor de voorge</w:t>
            </w:r>
            <w:r w:rsidR="00A7136C">
              <w:rPr>
                <w:rFonts w:eastAsia="Times New Roman" w:cstheme="minorHAnsi"/>
                <w:i/>
                <w:color w:val="000000"/>
              </w:rPr>
              <w:t>s</w:t>
            </w:r>
            <w:r w:rsidR="00790ABD">
              <w:rPr>
                <w:rFonts w:eastAsia="Times New Roman" w:cstheme="minorHAnsi"/>
                <w:i/>
                <w:color w:val="000000"/>
              </w:rPr>
              <w:t xml:space="preserve">telde aanpassing van de </w:t>
            </w:r>
            <w:r w:rsidRPr="00790ABD" w:rsidR="00790ABD">
              <w:rPr>
                <w:rFonts w:eastAsia="Times New Roman" w:cstheme="minorHAnsi"/>
                <w:i/>
                <w:color w:val="000000"/>
              </w:rPr>
              <w:t>Jongerengarantie</w:t>
            </w:r>
            <w:r w:rsidR="00790ABD">
              <w:rPr>
                <w:rFonts w:eastAsia="Times New Roman" w:cstheme="minorHAnsi"/>
                <w:i/>
                <w:color w:val="000000"/>
              </w:rPr>
              <w:t xml:space="preserve">. De aanpassing beoogt de </w:t>
            </w:r>
            <w:r w:rsidR="00A7136C">
              <w:rPr>
                <w:rFonts w:eastAsia="Times New Roman" w:cstheme="minorHAnsi"/>
                <w:i/>
                <w:color w:val="000000"/>
              </w:rPr>
              <w:t xml:space="preserve">criteria voor de </w:t>
            </w:r>
            <w:r w:rsidR="00790ABD">
              <w:rPr>
                <w:rFonts w:eastAsia="Times New Roman" w:cstheme="minorHAnsi"/>
                <w:i/>
                <w:color w:val="000000"/>
              </w:rPr>
              <w:t xml:space="preserve">jongerengarantie ruimer te maken (de leeftijdsgrens wordt opgetrokken), inclusiever (meer gericht op groepen </w:t>
            </w:r>
            <w:r w:rsidR="002B1E41">
              <w:rPr>
                <w:rFonts w:eastAsia="Times New Roman" w:cstheme="minorHAnsi"/>
                <w:i/>
                <w:color w:val="000000"/>
              </w:rPr>
              <w:t xml:space="preserve">die </w:t>
            </w:r>
            <w:r w:rsidR="00790ABD">
              <w:rPr>
                <w:rFonts w:eastAsia="Times New Roman" w:cstheme="minorHAnsi"/>
                <w:i/>
                <w:color w:val="000000"/>
              </w:rPr>
              <w:t xml:space="preserve">op een achterstand </w:t>
            </w:r>
            <w:r w:rsidR="002B1E41">
              <w:rPr>
                <w:rFonts w:eastAsia="Times New Roman" w:cstheme="minorHAnsi"/>
                <w:i/>
                <w:color w:val="000000"/>
              </w:rPr>
              <w:t xml:space="preserve">staan </w:t>
            </w:r>
            <w:r w:rsidR="00790ABD">
              <w:rPr>
                <w:rFonts w:eastAsia="Times New Roman" w:cstheme="minorHAnsi"/>
                <w:i/>
                <w:color w:val="000000"/>
              </w:rPr>
              <w:t>in de samenleving)</w:t>
            </w:r>
            <w:r w:rsidR="002B1E41">
              <w:rPr>
                <w:rFonts w:eastAsia="Times New Roman" w:cstheme="minorHAnsi"/>
                <w:i/>
                <w:color w:val="000000"/>
              </w:rPr>
              <w:t xml:space="preserve">, en </w:t>
            </w:r>
            <w:r w:rsidR="00A7136C">
              <w:rPr>
                <w:rFonts w:eastAsia="Times New Roman" w:cstheme="minorHAnsi"/>
                <w:i/>
                <w:color w:val="000000"/>
              </w:rPr>
              <w:t xml:space="preserve">meer </w:t>
            </w:r>
            <w:r w:rsidR="002B1E41">
              <w:rPr>
                <w:rFonts w:eastAsia="Times New Roman" w:cstheme="minorHAnsi"/>
                <w:i/>
                <w:color w:val="000000"/>
              </w:rPr>
              <w:t>toekomstgericht (meer gericht op digitale en groene vaardigheden).</w:t>
            </w:r>
            <w:r w:rsidR="00790ABD">
              <w:rPr>
                <w:rFonts w:eastAsia="Times New Roman" w:cstheme="minorHAnsi"/>
                <w:i/>
                <w:color w:val="000000"/>
              </w:rPr>
              <w:t xml:space="preserve"> </w:t>
            </w:r>
            <w:r w:rsidRPr="00790ABD" w:rsidR="00790ABD">
              <w:rPr>
                <w:rFonts w:eastAsia="Times New Roman" w:cstheme="minorHAnsi"/>
                <w:i/>
                <w:color w:val="000000"/>
              </w:rPr>
              <w:t xml:space="preserve"> </w:t>
            </w:r>
          </w:p>
        </w:tc>
      </w:tr>
      <w:tr w:rsidRPr="00322301" w:rsidR="00C30919" w:rsidTr="001E4F43" w14:paraId="2F46F733" w14:textId="77777777">
        <w:trPr>
          <w:trHeight w:val="1134"/>
        </w:trPr>
        <w:tc>
          <w:tcPr>
            <w:tcW w:w="1150" w:type="dxa"/>
            <w:tcBorders>
              <w:top w:val="single" w:color="auto" w:sz="4" w:space="0"/>
              <w:left w:val="single" w:color="auto" w:sz="4" w:space="0"/>
              <w:bottom w:val="single" w:color="auto" w:sz="4" w:space="0"/>
              <w:right w:val="single" w:color="auto" w:sz="4" w:space="0"/>
            </w:tcBorders>
            <w:shd w:val="clear" w:color="auto" w:fill="auto"/>
            <w:noWrap/>
          </w:tcPr>
          <w:p w:rsidR="00C30919" w:rsidP="000146C6" w:rsidRDefault="00C30919" w14:paraId="4D271C2A" w14:textId="77777777">
            <w:pPr>
              <w:jc w:val="center"/>
              <w:rPr>
                <w:rFonts w:ascii="Calibri" w:hAnsi="Calibri" w:cs="Calibri"/>
                <w:color w:val="000000"/>
              </w:rPr>
            </w:pPr>
            <w:r>
              <w:rPr>
                <w:rFonts w:ascii="Calibri" w:hAnsi="Calibri" w:cs="Calibri"/>
                <w:color w:val="000000"/>
              </w:rPr>
              <w:lastRenderedPageBreak/>
              <w:t>1-jul-20</w:t>
            </w:r>
          </w:p>
          <w:p w:rsidR="00C30919" w:rsidP="00FA654D" w:rsidRDefault="00C30919" w14:paraId="5E6B86F9" w14:textId="77777777">
            <w:pPr>
              <w:jc w:val="center"/>
              <w:rPr>
                <w:rFonts w:ascii="Calibri" w:hAnsi="Calibri" w:cs="Calibri"/>
                <w:color w:val="000000"/>
              </w:rPr>
            </w:pPr>
          </w:p>
        </w:tc>
        <w:tc>
          <w:tcPr>
            <w:tcW w:w="1035" w:type="dxa"/>
            <w:tcBorders>
              <w:top w:val="single" w:color="auto" w:sz="4" w:space="0"/>
              <w:left w:val="nil"/>
              <w:bottom w:val="single" w:color="auto" w:sz="4" w:space="0"/>
              <w:right w:val="single" w:color="auto" w:sz="4" w:space="0"/>
            </w:tcBorders>
            <w:shd w:val="clear" w:color="000000" w:fill="FFFFFF"/>
            <w:noWrap/>
          </w:tcPr>
          <w:p w:rsidR="00C30919" w:rsidP="00FA654D" w:rsidRDefault="00C30919" w14:paraId="5E25F704" w14:textId="010FCA8B">
            <w:pPr>
              <w:jc w:val="center"/>
              <w:rPr>
                <w:rFonts w:ascii="Calibri" w:hAnsi="Calibri" w:cs="Calibri"/>
                <w:color w:val="000000"/>
              </w:rPr>
            </w:pPr>
            <w:r>
              <w:rPr>
                <w:rFonts w:ascii="Calibri" w:hAnsi="Calibri" w:cs="Calibri"/>
                <w:color w:val="000000"/>
              </w:rPr>
              <w:t>SZW</w:t>
            </w:r>
          </w:p>
        </w:tc>
        <w:tc>
          <w:tcPr>
            <w:tcW w:w="1374" w:type="dxa"/>
            <w:tcBorders>
              <w:top w:val="single" w:color="auto" w:sz="4" w:space="0"/>
              <w:left w:val="nil"/>
              <w:bottom w:val="single" w:color="auto" w:sz="4" w:space="0"/>
              <w:right w:val="single" w:color="auto" w:sz="4" w:space="0"/>
            </w:tcBorders>
            <w:shd w:val="clear" w:color="000000" w:fill="FFFFFF"/>
            <w:noWrap/>
          </w:tcPr>
          <w:p w:rsidR="00C30919" w:rsidP="00FA654D" w:rsidRDefault="00C30919" w14:paraId="71823841" w14:textId="30AE74EE">
            <w:pPr>
              <w:jc w:val="center"/>
              <w:rPr>
                <w:rFonts w:ascii="Calibri" w:hAnsi="Calibri" w:cs="Calibri"/>
                <w:color w:val="000000"/>
              </w:rPr>
            </w:pPr>
            <w:r>
              <w:rPr>
                <w:rFonts w:ascii="Calibri" w:hAnsi="Calibri" w:cs="Calibri"/>
                <w:color w:val="000000"/>
              </w:rPr>
              <w:t>Overig</w:t>
            </w:r>
          </w:p>
        </w:tc>
        <w:tc>
          <w:tcPr>
            <w:tcW w:w="4248" w:type="dxa"/>
            <w:tcBorders>
              <w:top w:val="single" w:color="auto" w:sz="4" w:space="0"/>
              <w:left w:val="nil"/>
              <w:bottom w:val="single" w:color="auto" w:sz="4" w:space="0"/>
              <w:right w:val="single" w:color="auto" w:sz="4" w:space="0"/>
            </w:tcBorders>
            <w:shd w:val="clear" w:color="auto" w:fill="auto"/>
          </w:tcPr>
          <w:p w:rsidRPr="00003A98" w:rsidR="00C30919" w:rsidP="000146C6" w:rsidRDefault="00C30919" w14:paraId="7D52DEFD" w14:textId="32DD7CC8">
            <w:pPr>
              <w:rPr>
                <w:rFonts w:ascii="Calibri" w:hAnsi="Calibri" w:cs="Calibri"/>
                <w:color w:val="000000"/>
                <w:lang w:val="en-GB"/>
              </w:rPr>
            </w:pPr>
            <w:r w:rsidRPr="00003A98">
              <w:rPr>
                <w:rFonts w:ascii="Calibri" w:hAnsi="Calibri" w:cs="Calibri"/>
                <w:color w:val="000000"/>
                <w:lang w:val="en-GB"/>
              </w:rPr>
              <w:t>Proposal for a COUNCIL RECOMMENDATION on A Bridge to Jobs - Reinforcing the Youth Guarantee and replacing Council Recommendation of 22 April 2013 on establishing a Youth Guarantee</w:t>
            </w:r>
          </w:p>
          <w:p w:rsidRPr="00003A98" w:rsidR="00C30919" w:rsidP="00FA654D" w:rsidRDefault="00C30919" w14:paraId="2BB513B8" w14:textId="77777777">
            <w:pPr>
              <w:rPr>
                <w:rFonts w:ascii="Calibri" w:hAnsi="Calibri" w:cs="Calibri"/>
                <w:color w:val="000000"/>
                <w:lang w:val="en-GB"/>
              </w:rPr>
            </w:pPr>
          </w:p>
        </w:tc>
        <w:tc>
          <w:tcPr>
            <w:tcW w:w="720" w:type="dxa"/>
            <w:tcBorders>
              <w:top w:val="single" w:color="auto" w:sz="4" w:space="0"/>
              <w:left w:val="nil"/>
              <w:bottom w:val="single" w:color="auto" w:sz="4" w:space="0"/>
              <w:right w:val="single" w:color="auto" w:sz="4" w:space="0"/>
            </w:tcBorders>
            <w:shd w:val="clear" w:color="000000" w:fill="FFFFFF"/>
            <w:noWrap/>
          </w:tcPr>
          <w:p w:rsidR="00C30919" w:rsidP="000146C6" w:rsidRDefault="005464ED" w14:paraId="226C8C51" w14:textId="77777777">
            <w:pPr>
              <w:jc w:val="center"/>
              <w:rPr>
                <w:rFonts w:ascii="Calibri" w:hAnsi="Calibri" w:cs="Calibri"/>
                <w:color w:val="0000FF"/>
                <w:u w:val="single"/>
              </w:rPr>
            </w:pPr>
            <w:hyperlink w:history="1" r:id="rId15">
              <w:r w:rsidR="00C30919">
                <w:rPr>
                  <w:rStyle w:val="Hyperlink"/>
                  <w:rFonts w:ascii="Calibri" w:hAnsi="Calibri" w:cs="Calibri"/>
                </w:rPr>
                <w:t>COM (2020) 277</w:t>
              </w:r>
            </w:hyperlink>
          </w:p>
          <w:p w:rsidR="00C30919" w:rsidP="00FA654D" w:rsidRDefault="00C30919" w14:paraId="5CC2484B" w14:textId="77777777">
            <w:pPr>
              <w:jc w:val="center"/>
              <w:rPr>
                <w:rFonts w:ascii="Calibri" w:hAnsi="Calibri" w:cs="Calibri"/>
                <w:color w:val="0000FF"/>
                <w:u w:val="single"/>
              </w:rPr>
            </w:pPr>
          </w:p>
        </w:tc>
        <w:tc>
          <w:tcPr>
            <w:tcW w:w="1130" w:type="dxa"/>
            <w:tcBorders>
              <w:top w:val="single" w:color="auto" w:sz="4" w:space="0"/>
              <w:left w:val="single" w:color="auto" w:sz="4" w:space="0"/>
              <w:bottom w:val="single" w:color="auto" w:sz="4" w:space="0"/>
              <w:right w:val="single" w:color="auto" w:sz="4" w:space="0"/>
            </w:tcBorders>
            <w:shd w:val="clear" w:color="auto" w:fill="auto"/>
          </w:tcPr>
          <w:p w:rsidR="00C30919" w:rsidP="00FA654D" w:rsidRDefault="00C30919" w14:paraId="245C45E8" w14:textId="22A77AFE">
            <w:pPr>
              <w:jc w:val="center"/>
              <w:rPr>
                <w:rFonts w:ascii="Calibri" w:hAnsi="Calibri" w:cs="Calibri"/>
                <w:color w:val="000000"/>
              </w:rPr>
            </w:pPr>
          </w:p>
        </w:tc>
        <w:tc>
          <w:tcPr>
            <w:tcW w:w="4998" w:type="dxa"/>
            <w:vMerge/>
            <w:shd w:val="clear" w:color="auto" w:fill="auto"/>
          </w:tcPr>
          <w:p w:rsidRPr="00AB391E" w:rsidR="00C30919" w:rsidP="00FA654D" w:rsidRDefault="00C30919" w14:paraId="02F294E6" w14:textId="77777777">
            <w:pPr>
              <w:spacing w:after="0" w:line="240" w:lineRule="auto"/>
              <w:rPr>
                <w:rFonts w:eastAsia="Times New Roman" w:cstheme="minorHAnsi"/>
                <w:color w:val="000000"/>
                <w:u w:val="single"/>
              </w:rPr>
            </w:pPr>
          </w:p>
        </w:tc>
      </w:tr>
    </w:tbl>
    <w:p w:rsidR="00322301" w:rsidP="00322301" w:rsidRDefault="00322301" w14:paraId="7607FA1A" w14:textId="77777777">
      <w:pPr>
        <w:widowControl w:val="0"/>
        <w:spacing w:after="0" w:line="240" w:lineRule="auto"/>
        <w:rPr>
          <w:rFonts w:eastAsia="Times New Roman" w:cstheme="minorHAnsi"/>
          <w:b/>
          <w:lang w:eastAsia="nl-NL"/>
        </w:rPr>
      </w:pPr>
    </w:p>
    <w:p w:rsidRPr="00322301" w:rsidR="00322301" w:rsidP="00322301" w:rsidRDefault="00322301" w14:paraId="2B12B76D" w14:textId="77777777">
      <w:pPr>
        <w:widowControl w:val="0"/>
        <w:spacing w:after="0" w:line="240" w:lineRule="auto"/>
        <w:rPr>
          <w:rFonts w:eastAsia="Times New Roman" w:cstheme="minorHAnsi"/>
          <w:b/>
          <w:lang w:eastAsia="nl-NL"/>
        </w:rPr>
      </w:pPr>
      <w:r w:rsidRPr="00322301">
        <w:rPr>
          <w:rFonts w:eastAsia="Times New Roman" w:cstheme="minorHAnsi"/>
          <w:b/>
          <w:lang w:eastAsia="nl-NL"/>
        </w:rPr>
        <w:t xml:space="preserve">Toelichting </w:t>
      </w:r>
    </w:p>
    <w:p w:rsidRPr="00322301" w:rsidR="00322301" w:rsidP="00322301" w:rsidRDefault="00322301" w14:paraId="08138D5E" w14:textId="77777777">
      <w:pPr>
        <w:widowControl w:val="0"/>
        <w:numPr>
          <w:ilvl w:val="0"/>
          <w:numId w:val="3"/>
        </w:numPr>
        <w:spacing w:after="0" w:line="240" w:lineRule="auto"/>
        <w:rPr>
          <w:rFonts w:eastAsia="Times New Roman" w:cstheme="minorHAnsi"/>
          <w:lang w:eastAsia="nl-NL"/>
        </w:rPr>
      </w:pPr>
      <w:r w:rsidRPr="00322301">
        <w:rPr>
          <w:rFonts w:eastAsia="Times New Roman" w:cstheme="minorHAnsi"/>
          <w:color w:val="000000"/>
          <w:lang w:eastAsia="nl-NL"/>
        </w:rPr>
        <w:t>Indien een veld</w:t>
      </w:r>
      <w:r w:rsidRPr="00322301">
        <w:rPr>
          <w:rFonts w:eastAsia="Times New Roman" w:cstheme="minorHAnsi"/>
          <w:color w:val="000000"/>
          <w:shd w:val="clear" w:color="auto" w:fill="F4B083" w:themeFill="accent2" w:themeFillTint="99"/>
          <w:lang w:eastAsia="nl-NL"/>
        </w:rPr>
        <w:t xml:space="preserve"> Rood</w:t>
      </w:r>
      <w:r w:rsidRPr="00322301">
        <w:rPr>
          <w:rFonts w:eastAsia="Times New Roman" w:cstheme="minorHAnsi"/>
          <w:color w:val="000000"/>
          <w:lang w:eastAsia="nl-NL"/>
        </w:rPr>
        <w:t xml:space="preserve"> gemarkeerd</w:t>
      </w:r>
      <w:r w:rsidRPr="00322301">
        <w:rPr>
          <w:rFonts w:eastAsia="Times New Roman" w:cstheme="minorHAnsi"/>
          <w:lang w:eastAsia="nl-NL"/>
        </w:rPr>
        <w:t xml:space="preserve"> is, dan betekent dat het desbetreffende EU-voorstel behoort tot een door de commissie als prioritair bestempeld dossier en om die reden een apart behandeltraject doorloopt. De bijzonderheden worden in dat geval in het veld “Opmerking” vermeld. </w:t>
      </w:r>
    </w:p>
    <w:p w:rsidRPr="00322301" w:rsidR="00322301" w:rsidP="00322301" w:rsidRDefault="00322301" w14:paraId="71230E89" w14:textId="77777777">
      <w:pPr>
        <w:widowControl w:val="0"/>
        <w:numPr>
          <w:ilvl w:val="0"/>
          <w:numId w:val="3"/>
        </w:numPr>
        <w:spacing w:after="0" w:line="240" w:lineRule="auto"/>
        <w:rPr>
          <w:rFonts w:eastAsia="Times New Roman" w:cstheme="minorHAnsi"/>
          <w:lang w:eastAsia="nl-NL"/>
        </w:rPr>
      </w:pPr>
      <w:r w:rsidRPr="00322301">
        <w:rPr>
          <w:rFonts w:eastAsia="Times New Roman" w:cstheme="minorHAnsi"/>
          <w:lang w:eastAsia="nl-NL"/>
        </w:rPr>
        <w:t>Groen- en witboeken en prioritaire worden voorstellen ook afzonderlijk worden geagendeerd. Hiervoor volstaat een verwijzing naar het aparte agendapunt en de mogelijk hierbij behorende EU-stafnotitie.</w:t>
      </w:r>
    </w:p>
    <w:p w:rsidRPr="00322301" w:rsidR="00322301" w:rsidP="00322301" w:rsidRDefault="00322301" w14:paraId="68F1913B" w14:textId="77777777">
      <w:pPr>
        <w:widowControl w:val="0"/>
        <w:spacing w:after="0" w:line="240" w:lineRule="auto"/>
        <w:rPr>
          <w:rFonts w:eastAsia="Times New Roman" w:cstheme="minorHAnsi"/>
          <w:lang w:eastAsia="nl-NL"/>
        </w:rPr>
      </w:pPr>
    </w:p>
    <w:p w:rsidRPr="00322301" w:rsidR="00322301" w:rsidP="00322301" w:rsidRDefault="00322301" w14:paraId="165D8131" w14:textId="77777777">
      <w:pPr>
        <w:spacing w:after="0" w:line="240" w:lineRule="auto"/>
        <w:rPr>
          <w:rFonts w:eastAsia="Times New Roman" w:cstheme="minorHAnsi"/>
          <w:b/>
          <w:lang w:eastAsia="nl-NL"/>
        </w:rPr>
      </w:pPr>
      <w:r w:rsidRPr="00322301">
        <w:rPr>
          <w:rFonts w:eastAsia="Times New Roman" w:cstheme="minorHAnsi"/>
          <w:b/>
          <w:lang w:eastAsia="nl-NL"/>
        </w:rPr>
        <w:t>Mogelijkheden EU-voorstellen</w:t>
      </w:r>
    </w:p>
    <w:p w:rsidRPr="00322301" w:rsidR="00322301" w:rsidP="00322301" w:rsidRDefault="00322301" w14:paraId="1C31F8D7" w14:textId="77777777">
      <w:pPr>
        <w:spacing w:after="0" w:line="240" w:lineRule="auto"/>
        <w:rPr>
          <w:rFonts w:eastAsia="Times New Roman" w:cstheme="minorHAnsi"/>
          <w:lang w:eastAsia="nl-NL"/>
        </w:rPr>
      </w:pPr>
    </w:p>
    <w:p w:rsidRPr="00322301" w:rsidR="00322301" w:rsidP="00322301" w:rsidRDefault="00322301" w14:paraId="442400E2" w14:textId="77777777">
      <w:pPr>
        <w:spacing w:after="0" w:line="240" w:lineRule="auto"/>
        <w:rPr>
          <w:rFonts w:eastAsia="Times New Roman" w:cstheme="minorHAnsi"/>
          <w:lang w:eastAsia="nl-NL"/>
        </w:rPr>
      </w:pPr>
      <w:r w:rsidRPr="00322301">
        <w:rPr>
          <w:rFonts w:eastAsia="Times New Roman" w:cstheme="minorHAnsi"/>
          <w:lang w:eastAsia="nl-NL"/>
        </w:rPr>
        <w:t xml:space="preserve">Hieronder treft u een overzicht aan van vaak voorkomende EU-instrumenten en een (niet uitputtend) overzicht van momenten waarop u als commissie of als fractie invloed kunt uitoefenen op de vorming van EU-beleid: hetzij via het kabinet; hetzij zelf in Brussel. </w:t>
      </w:r>
    </w:p>
    <w:p w:rsidRPr="00322301" w:rsidR="00322301" w:rsidP="00322301" w:rsidRDefault="00322301" w14:paraId="3442C175" w14:textId="77777777">
      <w:pPr>
        <w:spacing w:after="0" w:line="240" w:lineRule="auto"/>
        <w:rPr>
          <w:rFonts w:eastAsia="Times New Roman" w:cstheme="minorHAnsi"/>
          <w:lang w:eastAsia="nl-NL"/>
        </w:rPr>
      </w:pPr>
      <w:r w:rsidRPr="00322301">
        <w:rPr>
          <w:rFonts w:eastAsia="Times New Roman" w:cstheme="minorHAnsi"/>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22301" w:rsidR="00322301" w:rsidP="00322301" w:rsidRDefault="00322301" w14:paraId="000479CD" w14:textId="77777777">
      <w:pPr>
        <w:spacing w:after="0" w:line="240" w:lineRule="auto"/>
        <w:rPr>
          <w:rFonts w:eastAsia="Times New Roman" w:cstheme="minorHAnsi"/>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322301" w:rsidR="00322301" w:rsidTr="00501A7F" w14:paraId="61D2344F" w14:textId="77777777">
        <w:tc>
          <w:tcPr>
            <w:tcW w:w="2093" w:type="dxa"/>
          </w:tcPr>
          <w:p w:rsidRPr="00322301" w:rsidR="00322301" w:rsidP="00322301" w:rsidRDefault="00322301" w14:paraId="46C16E36" w14:textId="77777777">
            <w:pPr>
              <w:rPr>
                <w:rFonts w:cstheme="minorHAnsi"/>
                <w:b/>
              </w:rPr>
            </w:pPr>
            <w:r w:rsidRPr="00322301">
              <w:rPr>
                <w:rFonts w:cstheme="minorHAnsi"/>
                <w:b/>
              </w:rPr>
              <w:t>Soort Instrument</w:t>
            </w:r>
          </w:p>
        </w:tc>
        <w:tc>
          <w:tcPr>
            <w:tcW w:w="6946" w:type="dxa"/>
          </w:tcPr>
          <w:p w:rsidRPr="00322301" w:rsidR="00322301" w:rsidP="00322301" w:rsidRDefault="00322301" w14:paraId="05ADE510" w14:textId="77777777">
            <w:pPr>
              <w:rPr>
                <w:rFonts w:cstheme="minorHAnsi"/>
                <w:b/>
              </w:rPr>
            </w:pPr>
            <w:r w:rsidRPr="00322301">
              <w:rPr>
                <w:rFonts w:cstheme="minorHAnsi"/>
                <w:b/>
              </w:rPr>
              <w:t>Toelichting</w:t>
            </w:r>
          </w:p>
        </w:tc>
        <w:tc>
          <w:tcPr>
            <w:tcW w:w="5103" w:type="dxa"/>
          </w:tcPr>
          <w:p w:rsidRPr="00322301" w:rsidR="00322301" w:rsidP="00322301" w:rsidRDefault="00322301" w14:paraId="7B39572C" w14:textId="77777777">
            <w:pPr>
              <w:rPr>
                <w:rFonts w:cstheme="minorHAnsi"/>
                <w:b/>
              </w:rPr>
            </w:pPr>
            <w:r w:rsidRPr="00322301">
              <w:rPr>
                <w:rFonts w:cstheme="minorHAnsi"/>
                <w:b/>
              </w:rPr>
              <w:t xml:space="preserve">Mogelijke beïnvloedingsmomenten </w:t>
            </w:r>
          </w:p>
        </w:tc>
      </w:tr>
      <w:tr w:rsidRPr="00322301" w:rsidR="00322301" w:rsidTr="00501A7F" w14:paraId="75DB425C" w14:textId="77777777">
        <w:tc>
          <w:tcPr>
            <w:tcW w:w="14142" w:type="dxa"/>
            <w:gridSpan w:val="3"/>
          </w:tcPr>
          <w:p w:rsidRPr="00322301" w:rsidR="00322301" w:rsidP="00322301" w:rsidRDefault="00322301" w14:paraId="582DA851" w14:textId="77777777">
            <w:pPr>
              <w:rPr>
                <w:rFonts w:cstheme="minorHAnsi"/>
                <w:i/>
              </w:rPr>
            </w:pPr>
          </w:p>
          <w:p w:rsidRPr="00322301" w:rsidR="00322301" w:rsidP="00322301" w:rsidRDefault="00322301" w14:paraId="6A9F21A9" w14:textId="77777777">
            <w:pPr>
              <w:rPr>
                <w:rFonts w:cstheme="minorHAnsi"/>
                <w:i/>
              </w:rPr>
            </w:pPr>
            <w:r w:rsidRPr="00322301">
              <w:rPr>
                <w:rFonts w:cstheme="minorHAnsi"/>
                <w:i/>
              </w:rPr>
              <w:t>Wetgevende, bindende rechtshandelingen</w:t>
            </w:r>
          </w:p>
        </w:tc>
      </w:tr>
      <w:tr w:rsidRPr="00322301" w:rsidR="00322301" w:rsidTr="00501A7F" w14:paraId="4DE43259" w14:textId="77777777">
        <w:tc>
          <w:tcPr>
            <w:tcW w:w="2093" w:type="dxa"/>
          </w:tcPr>
          <w:p w:rsidRPr="00322301" w:rsidR="00322301" w:rsidP="00322301" w:rsidRDefault="00322301" w14:paraId="778DA7D3" w14:textId="77777777">
            <w:pPr>
              <w:rPr>
                <w:rFonts w:cstheme="minorHAnsi"/>
              </w:rPr>
            </w:pPr>
            <w:r w:rsidRPr="00322301">
              <w:rPr>
                <w:rFonts w:cstheme="minorHAnsi"/>
              </w:rPr>
              <w:t>Verordening</w:t>
            </w:r>
          </w:p>
        </w:tc>
        <w:tc>
          <w:tcPr>
            <w:tcW w:w="6946" w:type="dxa"/>
          </w:tcPr>
          <w:p w:rsidRPr="00322301" w:rsidR="00322301" w:rsidP="00322301" w:rsidRDefault="00322301" w14:paraId="106C32C8" w14:textId="77777777">
            <w:pPr>
              <w:rPr>
                <w:rFonts w:cstheme="minorHAnsi"/>
              </w:rPr>
            </w:pPr>
            <w:r w:rsidRPr="00322301">
              <w:rPr>
                <w:rFonts w:cs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w:t>
            </w:r>
            <w:r w:rsidRPr="00322301">
              <w:rPr>
                <w:rFonts w:cstheme="minorHAnsi"/>
              </w:rPr>
              <w:lastRenderedPageBreak/>
              <w:t xml:space="preserve">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322301" w:rsidR="00322301" w:rsidP="00322301" w:rsidRDefault="00322301" w14:paraId="21E4D024" w14:textId="77777777">
            <w:pPr>
              <w:numPr>
                <w:ilvl w:val="0"/>
                <w:numId w:val="1"/>
              </w:numPr>
              <w:rPr>
                <w:rFonts w:cstheme="minorHAnsi"/>
              </w:rPr>
            </w:pPr>
            <w:r w:rsidRPr="00322301">
              <w:rPr>
                <w:rFonts w:cstheme="minorHAnsi"/>
              </w:rPr>
              <w:lastRenderedPageBreak/>
              <w:t>ambtenaren of Commissaris Europese Commissie (de ‘auteurs’) uitnodigen voor briefing/gesprek, evt. via videoconferentie.</w:t>
            </w:r>
          </w:p>
          <w:p w:rsidRPr="00322301" w:rsidR="00322301" w:rsidP="00322301" w:rsidRDefault="00322301" w14:paraId="6211B25E" w14:textId="77777777">
            <w:pPr>
              <w:numPr>
                <w:ilvl w:val="0"/>
                <w:numId w:val="1"/>
              </w:numPr>
              <w:rPr>
                <w:rFonts w:cstheme="minorHAnsi"/>
              </w:rPr>
            </w:pPr>
            <w:r w:rsidRPr="00322301">
              <w:rPr>
                <w:rFonts w:cstheme="minorHAnsi"/>
              </w:rPr>
              <w:lastRenderedPageBreak/>
              <w:t>subsidiariteitstoets overwegen: let op termijn (zie hieronder).</w:t>
            </w:r>
          </w:p>
          <w:p w:rsidRPr="00322301" w:rsidR="00322301" w:rsidP="00322301" w:rsidRDefault="00322301" w14:paraId="5BF4B051" w14:textId="77777777">
            <w:pPr>
              <w:numPr>
                <w:ilvl w:val="0"/>
                <w:numId w:val="1"/>
              </w:numPr>
              <w:rPr>
                <w:rFonts w:cstheme="minorHAnsi"/>
              </w:rPr>
            </w:pPr>
            <w:r w:rsidRPr="00322301">
              <w:rPr>
                <w:rFonts w:cstheme="minorHAnsi"/>
              </w:rPr>
              <w:t>behandelvoorbehoud overwegen: let op termijn (zie hieronder).</w:t>
            </w:r>
          </w:p>
          <w:p w:rsidRPr="00322301" w:rsidR="00322301" w:rsidP="00322301" w:rsidRDefault="00322301" w14:paraId="551CEA0B" w14:textId="77777777">
            <w:pPr>
              <w:numPr>
                <w:ilvl w:val="0"/>
                <w:numId w:val="1"/>
              </w:numPr>
              <w:rPr>
                <w:rFonts w:cstheme="minorHAnsi"/>
              </w:rPr>
            </w:pPr>
            <w:r w:rsidRPr="00322301">
              <w:rPr>
                <w:rFonts w:cstheme="minorHAnsi"/>
              </w:rPr>
              <w:t>ad-hoc rapporteur(s) binnen de commissie(s) benoemen.</w:t>
            </w:r>
          </w:p>
          <w:p w:rsidRPr="00322301" w:rsidR="00322301" w:rsidP="00322301" w:rsidRDefault="00322301" w14:paraId="514B80EF" w14:textId="77777777">
            <w:pPr>
              <w:numPr>
                <w:ilvl w:val="0"/>
                <w:numId w:val="1"/>
              </w:numPr>
              <w:rPr>
                <w:rFonts w:cstheme="minorHAnsi"/>
              </w:rPr>
            </w:pPr>
            <w:r w:rsidRPr="00322301">
              <w:rPr>
                <w:rFonts w:cstheme="minorHAnsi"/>
              </w:rPr>
              <w:t>tijdens overleg met kabinet NL onderhandelingsinzet aan de orde stellen, evt. aan de hand van het “BNC-fiche”.</w:t>
            </w:r>
            <w:r w:rsidRPr="00322301">
              <w:rPr>
                <w:rFonts w:cstheme="minorHAnsi"/>
                <w:vertAlign w:val="superscript"/>
              </w:rPr>
              <w:footnoteReference w:id="1"/>
            </w:r>
            <w:r w:rsidRPr="00322301">
              <w:rPr>
                <w:rFonts w:cstheme="minorHAnsi"/>
              </w:rPr>
              <w:t xml:space="preserve"> </w:t>
            </w:r>
          </w:p>
          <w:p w:rsidRPr="00322301" w:rsidR="00322301" w:rsidP="00322301" w:rsidRDefault="00322301" w14:paraId="589E41F7" w14:textId="77777777">
            <w:pPr>
              <w:numPr>
                <w:ilvl w:val="0"/>
                <w:numId w:val="1"/>
              </w:numPr>
              <w:rPr>
                <w:rFonts w:cstheme="minorHAnsi"/>
              </w:rPr>
            </w:pPr>
            <w:r w:rsidRPr="00322301">
              <w:rPr>
                <w:rFonts w:cstheme="minorHAnsi"/>
              </w:rPr>
              <w:t>EP-rapporteur uitnodigen, evt. via videoconferentie.</w:t>
            </w:r>
            <w:r w:rsidRPr="00322301">
              <w:rPr>
                <w:rFonts w:cstheme="minorHAnsi"/>
              </w:rPr>
              <w:br/>
            </w:r>
            <w:r w:rsidRPr="00322301">
              <w:rPr>
                <w:rFonts w:cstheme="minorHAnsi"/>
              </w:rPr>
              <w:br/>
            </w:r>
          </w:p>
          <w:p w:rsidRPr="00322301" w:rsidR="00322301" w:rsidP="00322301" w:rsidRDefault="00322301" w14:paraId="4A558536" w14:textId="77777777">
            <w:pPr>
              <w:numPr>
                <w:ilvl w:val="0"/>
                <w:numId w:val="1"/>
              </w:numPr>
              <w:rPr>
                <w:rFonts w:cstheme="minorHAnsi"/>
              </w:rPr>
            </w:pPr>
            <w:r w:rsidRPr="00322301">
              <w:rPr>
                <w:rFonts w:cstheme="minorHAnsi"/>
              </w:rPr>
              <w:t>NB: Pas na afronding van het onderhandelingstraject: nationale wetgevingstraject monitoren (i.h.k.v. omzetting naar nationale wetgeving).</w:t>
            </w:r>
          </w:p>
        </w:tc>
      </w:tr>
      <w:tr w:rsidRPr="00322301" w:rsidR="00322301" w:rsidTr="00501A7F" w14:paraId="7E76C2E1" w14:textId="77777777">
        <w:tc>
          <w:tcPr>
            <w:tcW w:w="2093" w:type="dxa"/>
          </w:tcPr>
          <w:p w:rsidRPr="00322301" w:rsidR="00322301" w:rsidP="00322301" w:rsidRDefault="00322301" w14:paraId="466C4FFB" w14:textId="77777777">
            <w:pPr>
              <w:rPr>
                <w:rFonts w:cstheme="minorHAnsi"/>
              </w:rPr>
            </w:pPr>
            <w:r w:rsidRPr="00322301">
              <w:rPr>
                <w:rFonts w:cstheme="minorHAnsi"/>
              </w:rPr>
              <w:lastRenderedPageBreak/>
              <w:t xml:space="preserve">Richtlijn </w:t>
            </w:r>
          </w:p>
        </w:tc>
        <w:tc>
          <w:tcPr>
            <w:tcW w:w="6946" w:type="dxa"/>
          </w:tcPr>
          <w:p w:rsidRPr="00322301" w:rsidR="00322301" w:rsidP="00322301" w:rsidRDefault="00322301" w14:paraId="44452D3F" w14:textId="77777777">
            <w:pPr>
              <w:rPr>
                <w:rFonts w:cstheme="minorHAnsi"/>
              </w:rPr>
            </w:pPr>
            <w:r w:rsidRPr="00322301">
              <w:rPr>
                <w:rFonts w:cs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22301" w:rsidR="00322301" w:rsidP="00322301" w:rsidRDefault="00322301" w14:paraId="2CE5944B" w14:textId="77777777">
            <w:pPr>
              <w:numPr>
                <w:ilvl w:val="0"/>
                <w:numId w:val="2"/>
              </w:numPr>
              <w:ind w:left="317" w:hanging="283"/>
              <w:rPr>
                <w:rFonts w:cstheme="minorHAnsi"/>
              </w:rPr>
            </w:pPr>
          </w:p>
        </w:tc>
      </w:tr>
      <w:tr w:rsidRPr="00322301" w:rsidR="00322301" w:rsidTr="00501A7F" w14:paraId="4099B35D" w14:textId="77777777">
        <w:tc>
          <w:tcPr>
            <w:tcW w:w="2093" w:type="dxa"/>
          </w:tcPr>
          <w:p w:rsidRPr="00322301" w:rsidR="00322301" w:rsidP="00322301" w:rsidRDefault="00322301" w14:paraId="2D1F3670" w14:textId="77777777">
            <w:pPr>
              <w:rPr>
                <w:rFonts w:cstheme="minorHAnsi"/>
              </w:rPr>
            </w:pPr>
            <w:r w:rsidRPr="00322301">
              <w:rPr>
                <w:rFonts w:cstheme="minorHAnsi"/>
              </w:rPr>
              <w:t>(Besluit)</w:t>
            </w:r>
          </w:p>
        </w:tc>
        <w:tc>
          <w:tcPr>
            <w:tcW w:w="6946" w:type="dxa"/>
          </w:tcPr>
          <w:p w:rsidRPr="00322301" w:rsidR="00322301" w:rsidP="00322301" w:rsidRDefault="00322301" w14:paraId="2178348A" w14:textId="77777777">
            <w:pPr>
              <w:rPr>
                <w:rFonts w:cstheme="minorHAnsi"/>
              </w:rPr>
            </w:pPr>
            <w:r w:rsidRPr="00322301">
              <w:rPr>
                <w:rFonts w:cstheme="minorHAnsi"/>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22301">
              <w:rPr>
                <w:rFonts w:cs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22301" w:rsidR="00322301" w:rsidP="00322301" w:rsidRDefault="00322301" w14:paraId="1B846169" w14:textId="77777777">
            <w:pPr>
              <w:numPr>
                <w:ilvl w:val="0"/>
                <w:numId w:val="2"/>
              </w:numPr>
              <w:ind w:left="317" w:hanging="283"/>
              <w:rPr>
                <w:rFonts w:cstheme="minorHAnsi"/>
              </w:rPr>
            </w:pPr>
          </w:p>
        </w:tc>
      </w:tr>
      <w:tr w:rsidRPr="00322301" w:rsidR="00322301" w:rsidTr="00501A7F" w14:paraId="2D50B2E0" w14:textId="77777777">
        <w:tc>
          <w:tcPr>
            <w:tcW w:w="14142" w:type="dxa"/>
            <w:gridSpan w:val="3"/>
          </w:tcPr>
          <w:p w:rsidRPr="00322301" w:rsidR="00322301" w:rsidP="00322301" w:rsidRDefault="00322301" w14:paraId="6382D5CB" w14:textId="77777777">
            <w:pPr>
              <w:rPr>
                <w:rFonts w:cstheme="minorHAnsi"/>
                <w:i/>
              </w:rPr>
            </w:pPr>
            <w:r w:rsidRPr="00322301">
              <w:rPr>
                <w:rFonts w:cstheme="minorHAnsi"/>
                <w:i/>
              </w:rPr>
              <w:t>Niet-wetgevende bindende rechtshandelingen</w:t>
            </w:r>
          </w:p>
        </w:tc>
      </w:tr>
      <w:tr w:rsidRPr="00322301" w:rsidR="00322301" w:rsidTr="00501A7F" w14:paraId="3CD33287" w14:textId="77777777">
        <w:tc>
          <w:tcPr>
            <w:tcW w:w="2093" w:type="dxa"/>
          </w:tcPr>
          <w:p w:rsidRPr="00322301" w:rsidR="00322301" w:rsidP="00322301" w:rsidRDefault="00322301" w14:paraId="0BEB04F5" w14:textId="77777777">
            <w:pPr>
              <w:rPr>
                <w:rFonts w:cstheme="minorHAnsi"/>
              </w:rPr>
            </w:pPr>
            <w:r w:rsidRPr="00322301">
              <w:rPr>
                <w:rFonts w:cstheme="minorHAnsi"/>
              </w:rPr>
              <w:t>Gedelegeerde handeling</w:t>
            </w:r>
          </w:p>
        </w:tc>
        <w:tc>
          <w:tcPr>
            <w:tcW w:w="6946" w:type="dxa"/>
          </w:tcPr>
          <w:p w:rsidRPr="00322301" w:rsidR="00322301" w:rsidP="00322301" w:rsidRDefault="00322301" w14:paraId="5229ECB7" w14:textId="77777777">
            <w:pPr>
              <w:rPr>
                <w:rFonts w:cstheme="minorHAnsi"/>
              </w:rPr>
            </w:pPr>
            <w:r w:rsidRPr="00322301">
              <w:rPr>
                <w:rFonts w:cstheme="minorHAnsi"/>
              </w:rPr>
              <w:t xml:space="preserve">In een wetgevingshandeling (richtlijn, verordening) kan aan de Europese Commissie de bevoegdheid worden overgedragen om niet-wetgevingshandelingen van algemene strekking vast te stellen ter aanvulling of wijziging van bepaalde </w:t>
            </w:r>
            <w:r w:rsidRPr="00322301">
              <w:rPr>
                <w:rFonts w:cstheme="minorHAnsi"/>
              </w:rPr>
              <w:lastRenderedPageBreak/>
              <w:t>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322301" w:rsidR="00322301" w:rsidP="00322301" w:rsidRDefault="00322301" w14:paraId="2D6B0DC9" w14:textId="77777777">
            <w:pPr>
              <w:numPr>
                <w:ilvl w:val="0"/>
                <w:numId w:val="1"/>
              </w:numPr>
              <w:rPr>
                <w:rFonts w:cstheme="minorHAnsi"/>
              </w:rPr>
            </w:pPr>
            <w:r w:rsidRPr="00322301">
              <w:rPr>
                <w:rFonts w:cstheme="minorHAnsi"/>
              </w:rPr>
              <w:lastRenderedPageBreak/>
              <w:t>kabinet per brief of tijdens overleg bevragen over stand van zaken en appreciatie EU onderhandelingen en NL inzet.</w:t>
            </w:r>
          </w:p>
          <w:p w:rsidRPr="00322301" w:rsidR="00322301" w:rsidP="00322301" w:rsidRDefault="00322301" w14:paraId="7EFCA1AC" w14:textId="77777777">
            <w:pPr>
              <w:ind w:left="360"/>
              <w:rPr>
                <w:rFonts w:cstheme="minorHAnsi"/>
              </w:rPr>
            </w:pPr>
          </w:p>
        </w:tc>
      </w:tr>
      <w:tr w:rsidRPr="00322301" w:rsidR="00322301" w:rsidTr="00501A7F" w14:paraId="4E0EB41B" w14:textId="77777777">
        <w:tc>
          <w:tcPr>
            <w:tcW w:w="2093" w:type="dxa"/>
          </w:tcPr>
          <w:p w:rsidRPr="00322301" w:rsidR="00322301" w:rsidP="00322301" w:rsidRDefault="00322301" w14:paraId="0D464661" w14:textId="77777777">
            <w:pPr>
              <w:rPr>
                <w:rFonts w:cstheme="minorHAnsi"/>
              </w:rPr>
            </w:pPr>
            <w:r w:rsidRPr="00322301">
              <w:rPr>
                <w:rFonts w:cstheme="minorHAnsi"/>
              </w:rPr>
              <w:lastRenderedPageBreak/>
              <w:t>Uitvoerings-handeling</w:t>
            </w:r>
          </w:p>
        </w:tc>
        <w:tc>
          <w:tcPr>
            <w:tcW w:w="6946" w:type="dxa"/>
          </w:tcPr>
          <w:p w:rsidRPr="00322301" w:rsidR="00322301" w:rsidP="00322301" w:rsidRDefault="00322301" w14:paraId="5C06A8D7" w14:textId="77777777">
            <w:pPr>
              <w:rPr>
                <w:rFonts w:cstheme="minorHAnsi"/>
              </w:rPr>
            </w:pPr>
            <w:r w:rsidRPr="00322301">
              <w:rPr>
                <w:rFonts w:cs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322301" w:rsidR="00322301" w:rsidP="00322301" w:rsidRDefault="00322301" w14:paraId="06882364" w14:textId="77777777">
            <w:pPr>
              <w:numPr>
                <w:ilvl w:val="0"/>
                <w:numId w:val="1"/>
              </w:numPr>
              <w:rPr>
                <w:rFonts w:cstheme="minorHAnsi"/>
              </w:rPr>
            </w:pPr>
            <w:r w:rsidRPr="00322301">
              <w:rPr>
                <w:rFonts w:cstheme="minorHAnsi"/>
              </w:rPr>
              <w:t>kabinet per brief of tijdens algemeen overleg/debat bevragen over stand van zaken en appreciatie EU onderhandelingen en NL inzet.</w:t>
            </w:r>
          </w:p>
          <w:p w:rsidRPr="00322301" w:rsidR="00322301" w:rsidP="00322301" w:rsidRDefault="00322301" w14:paraId="2FC25A4B" w14:textId="77777777">
            <w:pPr>
              <w:numPr>
                <w:ilvl w:val="0"/>
                <w:numId w:val="1"/>
              </w:numPr>
              <w:rPr>
                <w:rFonts w:cstheme="minorHAnsi"/>
              </w:rPr>
            </w:pPr>
            <w:r w:rsidRPr="00322301">
              <w:rPr>
                <w:rFonts w:cstheme="minorHAnsi"/>
                <w:color w:val="000000"/>
              </w:rPr>
              <w:t xml:space="preserve">op basis van </w:t>
            </w:r>
            <w:r w:rsidRPr="00322301">
              <w:rPr>
                <w:rFonts w:cstheme="minorHAnsi"/>
              </w:rPr>
              <w:t xml:space="preserve">de </w:t>
            </w:r>
            <w:hyperlink w:history="1" r:id="rId16">
              <w:r w:rsidRPr="00322301">
                <w:rPr>
                  <w:rFonts w:cstheme="minorHAnsi"/>
                  <w:u w:val="single"/>
                </w:rPr>
                <w:t>(gewijzigde) motie Van Gent</w:t>
              </w:r>
            </w:hyperlink>
            <w:r w:rsidRPr="00322301">
              <w:rPr>
                <w:rFonts w:cstheme="minorHAnsi"/>
                <w:color w:val="000000"/>
              </w:rPr>
              <w:t xml:space="preserve"> dient het kabinet de Kamer afschriften te sturen van haar correspondentie met de Europese Commissie over de uitvoering van Europese regelgeving.</w:t>
            </w:r>
          </w:p>
        </w:tc>
      </w:tr>
      <w:tr w:rsidRPr="00322301" w:rsidR="00322301" w:rsidTr="00501A7F" w14:paraId="34C5EF4E" w14:textId="77777777">
        <w:tc>
          <w:tcPr>
            <w:tcW w:w="2093" w:type="dxa"/>
          </w:tcPr>
          <w:p w:rsidRPr="00322301" w:rsidR="00322301" w:rsidP="00322301" w:rsidRDefault="00322301" w14:paraId="252046E1" w14:textId="77777777">
            <w:pPr>
              <w:rPr>
                <w:rFonts w:cstheme="minorHAnsi"/>
              </w:rPr>
            </w:pPr>
            <w:r w:rsidRPr="00322301">
              <w:rPr>
                <w:rFonts w:cstheme="minorHAnsi"/>
              </w:rPr>
              <w:t>Bijzondere rechtshandelingen</w:t>
            </w:r>
          </w:p>
        </w:tc>
        <w:tc>
          <w:tcPr>
            <w:tcW w:w="6946" w:type="dxa"/>
          </w:tcPr>
          <w:p w:rsidRPr="00322301" w:rsidR="00322301" w:rsidP="00322301" w:rsidRDefault="00322301" w14:paraId="624BDBC3" w14:textId="77777777">
            <w:pPr>
              <w:rPr>
                <w:rFonts w:cstheme="minorHAnsi"/>
              </w:rPr>
            </w:pPr>
            <w:r w:rsidRPr="00322301">
              <w:rPr>
                <w:rFonts w:cs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22301" w:rsidR="00322301" w:rsidP="00322301" w:rsidRDefault="00322301" w14:paraId="133AA042" w14:textId="77777777">
            <w:pPr>
              <w:rPr>
                <w:rFonts w:cstheme="minorHAnsi"/>
              </w:rPr>
            </w:pPr>
          </w:p>
        </w:tc>
        <w:tc>
          <w:tcPr>
            <w:tcW w:w="5103" w:type="dxa"/>
          </w:tcPr>
          <w:p w:rsidRPr="00322301" w:rsidR="00322301" w:rsidP="00322301" w:rsidRDefault="00322301" w14:paraId="4B22C457" w14:textId="77777777">
            <w:pPr>
              <w:numPr>
                <w:ilvl w:val="0"/>
                <w:numId w:val="1"/>
              </w:numPr>
              <w:rPr>
                <w:rFonts w:cstheme="minorHAnsi"/>
              </w:rPr>
            </w:pPr>
            <w:r w:rsidRPr="00322301">
              <w:rPr>
                <w:rFonts w:cstheme="minorHAnsi"/>
              </w:rPr>
              <w:t>kabinetsappreciatie (‘BNC-fiche’) vragen, bespreken.</w:t>
            </w:r>
          </w:p>
          <w:p w:rsidRPr="00322301" w:rsidR="00322301" w:rsidP="00322301" w:rsidRDefault="00322301" w14:paraId="0FD31892" w14:textId="77777777">
            <w:pPr>
              <w:numPr>
                <w:ilvl w:val="0"/>
                <w:numId w:val="1"/>
              </w:numPr>
              <w:rPr>
                <w:rFonts w:cstheme="minorHAnsi"/>
              </w:rPr>
            </w:pPr>
            <w:r w:rsidRPr="00322301">
              <w:rPr>
                <w:rFonts w:cstheme="minorHAnsi"/>
              </w:rPr>
              <w:t>ambtenaren of Commissaris van Europese Commissie (de ‘auteurs’) uitnodigen voor briefing/gesprek, evt. via videoconferentie</w:t>
            </w:r>
          </w:p>
          <w:p w:rsidRPr="00322301" w:rsidR="00322301" w:rsidP="00322301" w:rsidRDefault="00322301" w14:paraId="30626026" w14:textId="77777777">
            <w:pPr>
              <w:numPr>
                <w:ilvl w:val="0"/>
                <w:numId w:val="1"/>
              </w:numPr>
              <w:rPr>
                <w:rFonts w:cstheme="minorHAnsi"/>
              </w:rPr>
            </w:pPr>
            <w:r w:rsidRPr="00322301">
              <w:rPr>
                <w:rFonts w:cstheme="minorHAnsi"/>
              </w:rPr>
              <w:t>indien het Europees Parlement een rapporteur heeft aangesteld kan deze desgewenst worden uitgenodigd voor een gesprek.</w:t>
            </w:r>
          </w:p>
          <w:p w:rsidRPr="00322301" w:rsidR="00322301" w:rsidP="00322301" w:rsidRDefault="00322301" w14:paraId="490F53BE" w14:textId="77777777">
            <w:pPr>
              <w:numPr>
                <w:ilvl w:val="0"/>
                <w:numId w:val="1"/>
              </w:numPr>
              <w:rPr>
                <w:rFonts w:cstheme="minorHAnsi"/>
              </w:rPr>
            </w:pPr>
            <w:r w:rsidRPr="00322301">
              <w:rPr>
                <w:rFonts w:cstheme="minorHAnsi"/>
              </w:rPr>
              <w:t>uw commissie kan op dit onderwerp een ad-hoc rapporteur benoemen</w:t>
            </w:r>
          </w:p>
          <w:p w:rsidRPr="00322301" w:rsidR="00322301" w:rsidP="00322301" w:rsidRDefault="00322301" w14:paraId="6C0C73DE" w14:textId="77777777">
            <w:pPr>
              <w:ind w:left="360"/>
              <w:rPr>
                <w:rFonts w:cstheme="minorHAnsi"/>
              </w:rPr>
            </w:pPr>
            <w:r w:rsidRPr="00322301">
              <w:rPr>
                <w:rFonts w:cstheme="minorHAnsi"/>
              </w:rPr>
              <w:t>nationale wetgevingstraject (i.h.k.v. omzetting van richtlijn naar nationale wetgeving).</w:t>
            </w:r>
          </w:p>
        </w:tc>
      </w:tr>
      <w:tr w:rsidRPr="00322301" w:rsidR="00322301" w:rsidTr="00501A7F" w14:paraId="76F3F46F" w14:textId="77777777">
        <w:tc>
          <w:tcPr>
            <w:tcW w:w="14142" w:type="dxa"/>
            <w:gridSpan w:val="3"/>
          </w:tcPr>
          <w:p w:rsidRPr="00322301" w:rsidR="00322301" w:rsidP="00322301" w:rsidRDefault="00322301" w14:paraId="287A4D4B" w14:textId="77777777">
            <w:pPr>
              <w:rPr>
                <w:rFonts w:cstheme="minorHAnsi"/>
                <w:i/>
              </w:rPr>
            </w:pPr>
            <w:r w:rsidRPr="00322301">
              <w:rPr>
                <w:rFonts w:cstheme="minorHAnsi"/>
                <w:i/>
              </w:rPr>
              <w:t>Niet-bindende handelingen (soft-law)</w:t>
            </w:r>
          </w:p>
        </w:tc>
      </w:tr>
      <w:tr w:rsidRPr="00322301" w:rsidR="00322301" w:rsidTr="00501A7F" w14:paraId="7F7C25F5" w14:textId="77777777">
        <w:tc>
          <w:tcPr>
            <w:tcW w:w="2093" w:type="dxa"/>
          </w:tcPr>
          <w:p w:rsidRPr="00322301" w:rsidR="00322301" w:rsidP="00322301" w:rsidRDefault="00322301" w14:paraId="07F53D64" w14:textId="77777777">
            <w:pPr>
              <w:rPr>
                <w:rFonts w:cstheme="minorHAnsi"/>
              </w:rPr>
            </w:pPr>
            <w:r w:rsidRPr="00322301">
              <w:rPr>
                <w:rFonts w:cstheme="minorHAnsi"/>
              </w:rPr>
              <w:t>Advies, aanbeveling, mededeling</w:t>
            </w:r>
          </w:p>
          <w:p w:rsidRPr="00322301" w:rsidR="00322301" w:rsidP="00322301" w:rsidRDefault="00322301" w14:paraId="6640CA91" w14:textId="77777777">
            <w:pPr>
              <w:jc w:val="right"/>
              <w:rPr>
                <w:rFonts w:cstheme="minorHAnsi"/>
              </w:rPr>
            </w:pPr>
          </w:p>
          <w:p w:rsidRPr="00322301" w:rsidR="00322301" w:rsidP="00322301" w:rsidRDefault="00322301" w14:paraId="5EA80114" w14:textId="77777777">
            <w:pPr>
              <w:jc w:val="right"/>
              <w:rPr>
                <w:rFonts w:cstheme="minorHAnsi"/>
              </w:rPr>
            </w:pPr>
          </w:p>
          <w:p w:rsidRPr="00322301" w:rsidR="00322301" w:rsidP="00322301" w:rsidRDefault="00322301" w14:paraId="6E3E4563" w14:textId="77777777">
            <w:pPr>
              <w:jc w:val="right"/>
              <w:rPr>
                <w:rFonts w:cstheme="minorHAnsi"/>
              </w:rPr>
            </w:pPr>
          </w:p>
          <w:p w:rsidRPr="00322301" w:rsidR="00322301" w:rsidP="00322301" w:rsidRDefault="00322301" w14:paraId="65F8E119" w14:textId="77777777">
            <w:pPr>
              <w:jc w:val="right"/>
              <w:rPr>
                <w:rFonts w:cstheme="minorHAnsi"/>
              </w:rPr>
            </w:pPr>
          </w:p>
          <w:p w:rsidRPr="00322301" w:rsidR="00322301" w:rsidP="00322301" w:rsidRDefault="00322301" w14:paraId="17E058EC" w14:textId="77777777">
            <w:pPr>
              <w:jc w:val="right"/>
              <w:rPr>
                <w:rFonts w:cstheme="minorHAnsi"/>
              </w:rPr>
            </w:pPr>
          </w:p>
        </w:tc>
        <w:tc>
          <w:tcPr>
            <w:tcW w:w="6946" w:type="dxa"/>
          </w:tcPr>
          <w:p w:rsidRPr="00322301" w:rsidR="00322301" w:rsidP="00322301" w:rsidRDefault="00322301" w14:paraId="14C00B3C" w14:textId="77777777">
            <w:pPr>
              <w:spacing w:before="100" w:beforeAutospacing="1" w:after="100" w:afterAutospacing="1"/>
              <w:rPr>
                <w:rFonts w:cstheme="minorHAnsi"/>
              </w:rPr>
            </w:pPr>
            <w:r w:rsidRPr="00322301">
              <w:rPr>
                <w:rFonts w:cs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322301" w:rsidR="00322301" w:rsidP="00322301" w:rsidRDefault="00322301" w14:paraId="267BCACD" w14:textId="77777777">
            <w:pPr>
              <w:numPr>
                <w:ilvl w:val="0"/>
                <w:numId w:val="1"/>
              </w:numPr>
              <w:rPr>
                <w:rFonts w:cstheme="minorHAnsi"/>
              </w:rPr>
            </w:pPr>
            <w:r w:rsidRPr="00322301">
              <w:rPr>
                <w:rFonts w:cstheme="minorHAnsi"/>
              </w:rPr>
              <w:t>kabinet om appreciatie in de vorm van BNC-fiche verzoeken aangezien over deze categorie niet standaard een fiche wordt gemaakt.</w:t>
            </w:r>
          </w:p>
          <w:p w:rsidRPr="00322301" w:rsidR="00322301" w:rsidP="00322301" w:rsidRDefault="00322301" w14:paraId="761FD151" w14:textId="77777777">
            <w:pPr>
              <w:rPr>
                <w:rFonts w:cstheme="minorHAnsi"/>
              </w:rPr>
            </w:pPr>
          </w:p>
          <w:p w:rsidRPr="00322301" w:rsidR="00322301" w:rsidP="00322301" w:rsidRDefault="00322301" w14:paraId="3DAE0F21" w14:textId="77777777">
            <w:pPr>
              <w:rPr>
                <w:rFonts w:cstheme="minorHAnsi"/>
              </w:rPr>
            </w:pPr>
          </w:p>
          <w:p w:rsidRPr="00322301" w:rsidR="00322301" w:rsidP="00322301" w:rsidRDefault="00322301" w14:paraId="598744D2" w14:textId="77777777">
            <w:pPr>
              <w:rPr>
                <w:rFonts w:cstheme="minorHAnsi"/>
              </w:rPr>
            </w:pPr>
          </w:p>
          <w:p w:rsidRPr="00322301" w:rsidR="00322301" w:rsidP="00322301" w:rsidRDefault="00322301" w14:paraId="35681258" w14:textId="77777777">
            <w:pPr>
              <w:rPr>
                <w:rFonts w:cstheme="minorHAnsi"/>
              </w:rPr>
            </w:pPr>
          </w:p>
          <w:p w:rsidRPr="00322301" w:rsidR="00322301" w:rsidP="00322301" w:rsidRDefault="00322301" w14:paraId="74947C94" w14:textId="77777777">
            <w:pPr>
              <w:rPr>
                <w:rFonts w:cstheme="minorHAnsi"/>
              </w:rPr>
            </w:pPr>
          </w:p>
        </w:tc>
      </w:tr>
      <w:tr w:rsidRPr="00322301" w:rsidR="00322301" w:rsidTr="00501A7F" w14:paraId="39C1B7DC" w14:textId="77777777">
        <w:tc>
          <w:tcPr>
            <w:tcW w:w="14142" w:type="dxa"/>
            <w:gridSpan w:val="3"/>
          </w:tcPr>
          <w:p w:rsidRPr="00322301" w:rsidR="00322301" w:rsidP="00322301" w:rsidRDefault="00322301" w14:paraId="58C9334B" w14:textId="77777777">
            <w:pPr>
              <w:rPr>
                <w:rFonts w:cstheme="minorHAnsi"/>
                <w:i/>
              </w:rPr>
            </w:pPr>
            <w:r w:rsidRPr="00322301">
              <w:rPr>
                <w:rFonts w:cstheme="minorHAnsi"/>
                <w:i/>
              </w:rPr>
              <w:t xml:space="preserve">Overige handelingen en instrumenten </w:t>
            </w:r>
          </w:p>
        </w:tc>
      </w:tr>
      <w:tr w:rsidRPr="00322301" w:rsidR="00322301" w:rsidTr="00501A7F" w14:paraId="58115F43" w14:textId="77777777">
        <w:tc>
          <w:tcPr>
            <w:tcW w:w="2093" w:type="dxa"/>
          </w:tcPr>
          <w:p w:rsidRPr="00322301" w:rsidR="00322301" w:rsidP="00322301" w:rsidRDefault="00322301" w14:paraId="57B7572D" w14:textId="77777777">
            <w:pPr>
              <w:rPr>
                <w:rFonts w:cstheme="minorHAnsi"/>
              </w:rPr>
            </w:pPr>
            <w:r w:rsidRPr="00322301">
              <w:rPr>
                <w:rFonts w:cstheme="minorHAnsi"/>
              </w:rPr>
              <w:t xml:space="preserve">Routekaart, actieplannen, strategie, agenda </w:t>
            </w:r>
          </w:p>
        </w:tc>
        <w:tc>
          <w:tcPr>
            <w:tcW w:w="6946" w:type="dxa"/>
          </w:tcPr>
          <w:p w:rsidRPr="00322301" w:rsidR="00322301" w:rsidP="00322301" w:rsidRDefault="00322301" w14:paraId="2F983489" w14:textId="77777777">
            <w:pPr>
              <w:rPr>
                <w:rFonts w:cstheme="minorHAnsi"/>
              </w:rPr>
            </w:pPr>
            <w:r w:rsidRPr="00322301">
              <w:rPr>
                <w:rFonts w:cstheme="minorHAnsi"/>
              </w:rPr>
              <w:t xml:space="preserve">Via routekaarten, actieplannen, strategieën en agenda’s informeert de Europese Commissie belanghebbenden en burgers over nieuwe initiatieven, evaluaties en geschiktheidscontroles. In deze documenten </w:t>
            </w:r>
            <w:r w:rsidRPr="00322301">
              <w:rPr>
                <w:rFonts w:cstheme="minorHAnsi"/>
                <w:b/>
                <w:bCs/>
              </w:rPr>
              <w:t>voor nieuwe initiatieven</w:t>
            </w:r>
            <w:r w:rsidRPr="00322301">
              <w:rPr>
                <w:rFonts w:cstheme="minorHAnsi"/>
              </w:rPr>
              <w:t xml:space="preserve"> wordt uitgelegd wat het probleem is, wat de Commissie wil bereiken, waarom juist de EU maatregelen moet nemen, wat de toegevoegde waarde is en welke alternatieven er zijn. In deze documenten</w:t>
            </w:r>
            <w:r w:rsidRPr="00322301">
              <w:rPr>
                <w:rFonts w:cstheme="minorHAnsi"/>
                <w:b/>
                <w:bCs/>
              </w:rPr>
              <w:t xml:space="preserve"> voor evaluaties en geschiktheidscontroles</w:t>
            </w:r>
            <w:r w:rsidRPr="00322301">
              <w:rPr>
                <w:rFonts w:cstheme="minorHAnsi"/>
              </w:rPr>
              <w:t xml:space="preserve"> wordt </w:t>
            </w:r>
            <w:r w:rsidRPr="00322301">
              <w:rPr>
                <w:rFonts w:cstheme="minorHAnsi"/>
              </w:rPr>
              <w:lastRenderedPageBreak/>
              <w:t xml:space="preserve">bepaald wat er geëvalueerd moet worden en welke aspecten moeten worden onderzocht. </w:t>
            </w:r>
          </w:p>
        </w:tc>
        <w:tc>
          <w:tcPr>
            <w:tcW w:w="5103" w:type="dxa"/>
          </w:tcPr>
          <w:p w:rsidRPr="00322301" w:rsidR="00322301" w:rsidP="00322301" w:rsidRDefault="00322301" w14:paraId="7D2447C7" w14:textId="77777777">
            <w:pPr>
              <w:numPr>
                <w:ilvl w:val="0"/>
                <w:numId w:val="1"/>
              </w:numPr>
              <w:rPr>
                <w:rFonts w:cstheme="minorHAnsi"/>
              </w:rPr>
            </w:pPr>
            <w:r w:rsidRPr="00322301">
              <w:rPr>
                <w:rFonts w:cstheme="minorHAnsi"/>
              </w:rPr>
              <w:lastRenderedPageBreak/>
              <w:t>kabinet om appreciatie in de vorm van BNC-fiche verzoeken aangezien over deze categorie niet standaard een fiche wordt gemaakt</w:t>
            </w:r>
          </w:p>
          <w:p w:rsidRPr="00322301" w:rsidR="00322301" w:rsidP="00322301" w:rsidRDefault="00322301" w14:paraId="73E29F97" w14:textId="77777777">
            <w:pPr>
              <w:numPr>
                <w:ilvl w:val="0"/>
                <w:numId w:val="1"/>
              </w:numPr>
              <w:rPr>
                <w:rFonts w:cstheme="minorHAnsi"/>
              </w:rPr>
            </w:pPr>
            <w:r w:rsidRPr="00322301">
              <w:rPr>
                <w:rFonts w:cstheme="minorHAnsi"/>
              </w:rPr>
              <w:t>en/of kabinet vragen om NL inzet (per commissiebrief of tijdens algemeen overleg/debat).</w:t>
            </w:r>
          </w:p>
        </w:tc>
      </w:tr>
      <w:tr w:rsidRPr="00322301" w:rsidR="00322301" w:rsidTr="00501A7F" w14:paraId="5253DF5F" w14:textId="77777777">
        <w:tc>
          <w:tcPr>
            <w:tcW w:w="2093" w:type="dxa"/>
          </w:tcPr>
          <w:p w:rsidRPr="00322301" w:rsidR="00322301" w:rsidP="00322301" w:rsidRDefault="00322301" w14:paraId="2D806D79" w14:textId="77777777">
            <w:pPr>
              <w:rPr>
                <w:rFonts w:cstheme="minorHAnsi"/>
              </w:rPr>
            </w:pPr>
            <w:r w:rsidRPr="00322301">
              <w:rPr>
                <w:rFonts w:cstheme="minorHAnsi"/>
              </w:rPr>
              <w:t>Groen- en witboek</w:t>
            </w:r>
          </w:p>
        </w:tc>
        <w:tc>
          <w:tcPr>
            <w:tcW w:w="6946" w:type="dxa"/>
          </w:tcPr>
          <w:p w:rsidRPr="00322301" w:rsidR="00322301" w:rsidP="00322301" w:rsidRDefault="00322301" w14:paraId="32F49685" w14:textId="77777777">
            <w:pPr>
              <w:rPr>
                <w:rFonts w:cstheme="minorHAnsi"/>
              </w:rPr>
            </w:pPr>
            <w:r w:rsidRPr="00322301">
              <w:rPr>
                <w:rFonts w:cstheme="minorHAnsi"/>
              </w:rPr>
              <w:t xml:space="preserve">Groenboek: een discussiestuk, waarmee de Europese Commissie de stand van zaken inventariseert omtrent een onderwerp. Ook doet ze aanbevelingen voor nieuw beleid. </w:t>
            </w:r>
          </w:p>
          <w:p w:rsidRPr="00322301" w:rsidR="00322301" w:rsidP="00322301" w:rsidRDefault="00322301" w14:paraId="6C3F44CE" w14:textId="77777777">
            <w:pPr>
              <w:rPr>
                <w:rFonts w:cstheme="minorHAnsi"/>
              </w:rPr>
            </w:pPr>
          </w:p>
          <w:p w:rsidRPr="00322301" w:rsidR="00322301" w:rsidP="00322301" w:rsidRDefault="00322301" w14:paraId="523F8088" w14:textId="77777777">
            <w:pPr>
              <w:rPr>
                <w:rFonts w:cstheme="minorHAnsi"/>
              </w:rPr>
            </w:pPr>
            <w:r w:rsidRPr="00322301">
              <w:rPr>
                <w:rFonts w:cstheme="minorHAnsi"/>
              </w:rPr>
              <w:t>Witboek: hierin zet de Europese Commissie uiteen hoe zij bepaalde doelen wil bereiken. Vaak worden in een witboek al concrete voorstellen uitgewerkt en toegelicht.</w:t>
            </w:r>
          </w:p>
          <w:p w:rsidRPr="00322301" w:rsidR="00322301" w:rsidP="00322301" w:rsidRDefault="00322301" w14:paraId="6932B83F" w14:textId="77777777">
            <w:pPr>
              <w:rPr>
                <w:rFonts w:cstheme="minorHAnsi"/>
              </w:rPr>
            </w:pPr>
            <w:r w:rsidRPr="00322301">
              <w:rPr>
                <w:rFonts w:cstheme="minorHAnsi"/>
              </w:rPr>
              <w:t xml:space="preserve">De Europese Commissie nodigt overheden, nationale parlementen en andere organisaties uit om binnen een bepaalde termijn op een Groen- of Witboek te reageren. </w:t>
            </w:r>
          </w:p>
        </w:tc>
        <w:tc>
          <w:tcPr>
            <w:tcW w:w="5103" w:type="dxa"/>
          </w:tcPr>
          <w:p w:rsidRPr="00322301" w:rsidR="00322301" w:rsidP="00322301" w:rsidRDefault="00322301" w14:paraId="59D336BB" w14:textId="77777777">
            <w:pPr>
              <w:numPr>
                <w:ilvl w:val="0"/>
                <w:numId w:val="1"/>
              </w:numPr>
              <w:rPr>
                <w:rFonts w:cstheme="minorHAnsi"/>
              </w:rPr>
            </w:pPr>
            <w:r w:rsidRPr="00322301">
              <w:rPr>
                <w:rFonts w:cstheme="minorHAnsi"/>
              </w:rPr>
              <w:t>desgewenst ambtenaren EC of Europees Commissaris uitnodigen voor een toelichting.</w:t>
            </w:r>
          </w:p>
          <w:p w:rsidRPr="00322301" w:rsidR="00322301" w:rsidP="00322301" w:rsidRDefault="00322301" w14:paraId="16E788B7" w14:textId="77777777">
            <w:pPr>
              <w:numPr>
                <w:ilvl w:val="0"/>
                <w:numId w:val="1"/>
              </w:numPr>
              <w:rPr>
                <w:rFonts w:cstheme="minorHAnsi"/>
              </w:rPr>
            </w:pPr>
            <w:r w:rsidRPr="00322301">
              <w:rPr>
                <w:rFonts w:cstheme="minorHAnsi"/>
              </w:rPr>
              <w:t>in commissieverband (via schriftelijke inbreng in de vorm van een politieke dialoog) of als lid, burger of via fracties een reactie sturen aan de Europese Commissie.</w:t>
            </w:r>
          </w:p>
          <w:p w:rsidRPr="00322301" w:rsidR="00322301" w:rsidP="00322301" w:rsidRDefault="00322301" w14:paraId="4B7493B8" w14:textId="77777777">
            <w:pPr>
              <w:numPr>
                <w:ilvl w:val="0"/>
                <w:numId w:val="1"/>
              </w:numPr>
              <w:rPr>
                <w:rFonts w:cstheme="minorHAnsi"/>
              </w:rPr>
            </w:pPr>
            <w:r w:rsidRPr="00322301">
              <w:rPr>
                <w:rFonts w:cs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22301" w:rsidR="00322301" w:rsidTr="00501A7F" w14:paraId="43DD4CA2" w14:textId="77777777">
        <w:tc>
          <w:tcPr>
            <w:tcW w:w="2093" w:type="dxa"/>
          </w:tcPr>
          <w:p w:rsidRPr="00322301" w:rsidR="00322301" w:rsidP="00322301" w:rsidRDefault="00322301" w14:paraId="76AD1E11" w14:textId="77777777">
            <w:pPr>
              <w:rPr>
                <w:rFonts w:cstheme="minorHAnsi"/>
              </w:rPr>
            </w:pPr>
            <w:r w:rsidRPr="00322301">
              <w:rPr>
                <w:rFonts w:cstheme="minorHAnsi"/>
              </w:rPr>
              <w:t>Openbare raadpleging (consultatie)</w:t>
            </w:r>
          </w:p>
        </w:tc>
        <w:tc>
          <w:tcPr>
            <w:tcW w:w="6946" w:type="dxa"/>
          </w:tcPr>
          <w:p w:rsidRPr="00322301" w:rsidR="00322301" w:rsidP="00322301" w:rsidRDefault="00322301" w14:paraId="6A677B38" w14:textId="77777777">
            <w:pPr>
              <w:spacing w:before="100" w:beforeAutospacing="1" w:after="100" w:afterAutospacing="1"/>
              <w:rPr>
                <w:rFonts w:cstheme="minorHAnsi"/>
              </w:rPr>
            </w:pPr>
            <w:r w:rsidRPr="00322301">
              <w:rPr>
                <w:rFonts w:cs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322301">
                <w:rPr>
                  <w:rFonts w:cstheme="minorHAnsi"/>
                  <w:color w:val="0000FF"/>
                  <w:u w:val="single"/>
                </w:rPr>
                <w:t>Bekijk alle openbare raadplegingen op "Uw stem in Europa"</w:t>
              </w:r>
            </w:hyperlink>
            <w:r w:rsidRPr="00322301">
              <w:rPr>
                <w:rFonts w:cstheme="minorHAnsi"/>
              </w:rPr>
              <w:t xml:space="preserve"> . </w:t>
            </w:r>
          </w:p>
        </w:tc>
        <w:tc>
          <w:tcPr>
            <w:tcW w:w="5103" w:type="dxa"/>
          </w:tcPr>
          <w:p w:rsidRPr="00322301" w:rsidR="00322301" w:rsidP="00322301" w:rsidRDefault="00322301" w14:paraId="1EEEF5BA" w14:textId="77777777">
            <w:pPr>
              <w:numPr>
                <w:ilvl w:val="0"/>
                <w:numId w:val="1"/>
              </w:numPr>
              <w:autoSpaceDE w:val="0"/>
              <w:autoSpaceDN w:val="0"/>
              <w:rPr>
                <w:rFonts w:cstheme="minorHAnsi"/>
              </w:rPr>
            </w:pPr>
            <w:r w:rsidRPr="00322301">
              <w:rPr>
                <w:rFonts w:cstheme="minorHAnsi"/>
              </w:rPr>
              <w:t>als burger, lid, fractie of in commissieverband (via schriftelijke inbreng in de vorm van een politieke dialoog). meedoen aan de openbare raadpleging.</w:t>
            </w:r>
          </w:p>
          <w:p w:rsidRPr="00322301" w:rsidR="00322301" w:rsidP="00322301" w:rsidRDefault="00322301" w14:paraId="5055A701" w14:textId="77777777">
            <w:pPr>
              <w:numPr>
                <w:ilvl w:val="0"/>
                <w:numId w:val="1"/>
              </w:numPr>
              <w:autoSpaceDE w:val="0"/>
              <w:autoSpaceDN w:val="0"/>
              <w:rPr>
                <w:rFonts w:cstheme="minorHAnsi"/>
              </w:rPr>
            </w:pPr>
            <w:r w:rsidRPr="00322301">
              <w:rPr>
                <w:rFonts w:cstheme="minorHAnsi"/>
              </w:rPr>
              <w:t>kabinet verzoeken om de concept-kabinetsreactie naar de Kamer te sturen voordat de definitieve versie naar de Europese Commissie wordt gestuurd, teneinde desgewenst hierover met de bewindspersoon in gesprek te treden.</w:t>
            </w:r>
          </w:p>
          <w:p w:rsidRPr="00322301" w:rsidR="00322301" w:rsidP="00322301" w:rsidRDefault="00322301" w14:paraId="00F4A151" w14:textId="77777777">
            <w:pPr>
              <w:numPr>
                <w:ilvl w:val="0"/>
                <w:numId w:val="1"/>
              </w:numPr>
              <w:autoSpaceDE w:val="0"/>
              <w:autoSpaceDN w:val="0"/>
              <w:rPr>
                <w:rFonts w:cstheme="minorHAnsi"/>
              </w:rPr>
            </w:pPr>
            <w:r w:rsidRPr="00322301">
              <w:rPr>
                <w:rFonts w:cstheme="minorHAnsi"/>
              </w:rPr>
              <w:t>de Kamer ontvangt krachtens de standaard-informatieafspraken de definitieve kabinetsreactie op alle consultaties van de Europese Commissie waarop het kabinet reageert.</w:t>
            </w:r>
          </w:p>
        </w:tc>
      </w:tr>
      <w:tr w:rsidRPr="00322301" w:rsidR="00322301" w:rsidTr="00501A7F" w14:paraId="5937E450" w14:textId="77777777">
        <w:tc>
          <w:tcPr>
            <w:tcW w:w="14142" w:type="dxa"/>
            <w:gridSpan w:val="3"/>
          </w:tcPr>
          <w:p w:rsidRPr="00322301" w:rsidR="00322301" w:rsidP="00322301" w:rsidRDefault="00322301" w14:paraId="1BD1C323" w14:textId="77777777">
            <w:pPr>
              <w:rPr>
                <w:rFonts w:cstheme="minorHAnsi"/>
                <w:i/>
              </w:rPr>
            </w:pPr>
            <w:r w:rsidRPr="00322301">
              <w:rPr>
                <w:rFonts w:cstheme="minorHAnsi"/>
                <w:i/>
              </w:rPr>
              <w:t>Uitgelicht: twee specifieke parlementaire instrumenten bij nieuw gepubliceerde EU-voorstellen</w:t>
            </w:r>
          </w:p>
        </w:tc>
      </w:tr>
      <w:tr w:rsidRPr="00322301" w:rsidR="00322301" w:rsidTr="00501A7F" w14:paraId="668ABD7A" w14:textId="77777777">
        <w:tc>
          <w:tcPr>
            <w:tcW w:w="2093" w:type="dxa"/>
          </w:tcPr>
          <w:p w:rsidRPr="00322301" w:rsidR="00322301" w:rsidP="00322301" w:rsidRDefault="00322301" w14:paraId="503EBFA8" w14:textId="77777777">
            <w:pPr>
              <w:rPr>
                <w:rFonts w:cstheme="minorHAnsi"/>
              </w:rPr>
            </w:pPr>
            <w:r w:rsidRPr="00322301">
              <w:rPr>
                <w:rFonts w:cstheme="minorHAnsi"/>
              </w:rPr>
              <w:t xml:space="preserve">Subsidiariteitstoets </w:t>
            </w:r>
          </w:p>
          <w:p w:rsidRPr="00322301" w:rsidR="00322301" w:rsidP="00322301" w:rsidRDefault="00322301" w14:paraId="124B6DC5" w14:textId="77777777">
            <w:pPr>
              <w:rPr>
                <w:rFonts w:cstheme="minorHAnsi"/>
              </w:rPr>
            </w:pPr>
            <w:r w:rsidRPr="00322301">
              <w:rPr>
                <w:rFonts w:cstheme="minorHAnsi"/>
              </w:rPr>
              <w:t>(richting EU)</w:t>
            </w:r>
          </w:p>
        </w:tc>
        <w:tc>
          <w:tcPr>
            <w:tcW w:w="6946" w:type="dxa"/>
          </w:tcPr>
          <w:p w:rsidRPr="00322301" w:rsidR="00322301" w:rsidP="00322301" w:rsidRDefault="00322301" w14:paraId="72BEDAF5" w14:textId="77777777">
            <w:pPr>
              <w:rPr>
                <w:rFonts w:cstheme="minorHAnsi"/>
              </w:rPr>
            </w:pPr>
            <w:r w:rsidRPr="00322301">
              <w:rPr>
                <w:rFonts w:cs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22301">
              <w:rPr>
                <w:rFonts w:cstheme="minorHAnsi"/>
                <w:color w:val="000000" w:themeColor="text1"/>
              </w:rPr>
              <w:t>Elk parlement krijgt 2 stemmen, maar bij een bicameraal stelsel, zoals in Nederland, krijgt elke kamer 1 stem</w:t>
            </w:r>
            <w:r w:rsidRPr="00322301">
              <w:rPr>
                <w:rFonts w:cstheme="minorHAnsi"/>
              </w:rPr>
              <w:t>.</w:t>
            </w:r>
            <w:r w:rsidRPr="00322301">
              <w:rPr>
                <w:rFonts w:cstheme="minorHAnsi"/>
                <w:color w:val="000000" w:themeColor="text1"/>
              </w:rPr>
              <w:t xml:space="preserve"> Om een gele kaart te trekken moeten er 19 stemmen worden gehaald.</w:t>
            </w:r>
          </w:p>
        </w:tc>
        <w:tc>
          <w:tcPr>
            <w:tcW w:w="5103" w:type="dxa"/>
          </w:tcPr>
          <w:p w:rsidRPr="00322301" w:rsidR="00322301" w:rsidP="00322301" w:rsidRDefault="00322301" w14:paraId="1EE2D248" w14:textId="77777777">
            <w:pPr>
              <w:numPr>
                <w:ilvl w:val="0"/>
                <w:numId w:val="1"/>
              </w:numPr>
              <w:rPr>
                <w:rFonts w:cstheme="minorHAnsi"/>
              </w:rPr>
            </w:pPr>
            <w:r w:rsidRPr="00322301">
              <w:rPr>
                <w:rFonts w:cstheme="minorHAnsi"/>
              </w:rPr>
              <w:t>bij wetgevende EU-voorstellen kan een Kamercommissie besluiten tot het uitvoeren van een subsidiariteitstoets. Let op: dit moet binnen acht weken na het uitkomen van alle taalversies van het voorstel.</w:t>
            </w:r>
          </w:p>
          <w:p w:rsidRPr="00322301" w:rsidR="00322301" w:rsidP="00322301" w:rsidRDefault="00322301" w14:paraId="7EA9CF92" w14:textId="77777777">
            <w:pPr>
              <w:numPr>
                <w:ilvl w:val="0"/>
                <w:numId w:val="1"/>
              </w:numPr>
              <w:rPr>
                <w:rFonts w:cstheme="minorHAnsi"/>
              </w:rPr>
            </w:pPr>
            <w:r w:rsidRPr="00322301">
              <w:rPr>
                <w:rFonts w:cstheme="minorHAnsi"/>
              </w:rPr>
              <w:t>kabinetsappreciatie (‘BNC-fiche’) komt voor aangekondigde subsidiariteitstoetsen binnen drie weken t.b.v. een snelle behandeling.</w:t>
            </w:r>
          </w:p>
          <w:p w:rsidRPr="00322301" w:rsidR="00322301" w:rsidP="00322301" w:rsidRDefault="00322301" w14:paraId="538D15D0" w14:textId="77777777">
            <w:pPr>
              <w:numPr>
                <w:ilvl w:val="0"/>
                <w:numId w:val="1"/>
              </w:numPr>
              <w:rPr>
                <w:rFonts w:cstheme="minorHAnsi"/>
              </w:rPr>
            </w:pPr>
            <w:r w:rsidRPr="00322301">
              <w:rPr>
                <w:rFonts w:cstheme="minorHAnsi"/>
              </w:rPr>
              <w:t xml:space="preserve">met andere parlementen in overleg treden t.b.v. behalen meerderheid voor ’gele kaart’ (1/3 stemmen) via parlementaire vertegenwoordiging en/of fractielijnen. </w:t>
            </w:r>
          </w:p>
        </w:tc>
      </w:tr>
      <w:tr w:rsidRPr="00322301" w:rsidR="00322301" w:rsidTr="00501A7F" w14:paraId="14A6808B" w14:textId="77777777">
        <w:tc>
          <w:tcPr>
            <w:tcW w:w="2093" w:type="dxa"/>
          </w:tcPr>
          <w:p w:rsidRPr="00322301" w:rsidR="00322301" w:rsidP="00322301" w:rsidRDefault="00322301" w14:paraId="7393E741" w14:textId="77777777">
            <w:pPr>
              <w:rPr>
                <w:rFonts w:cstheme="minorHAnsi"/>
              </w:rPr>
            </w:pPr>
            <w:r w:rsidRPr="00322301">
              <w:rPr>
                <w:rFonts w:cstheme="minorHAnsi"/>
              </w:rPr>
              <w:lastRenderedPageBreak/>
              <w:t>Behandel-voorbehoud (richting regering)</w:t>
            </w:r>
          </w:p>
        </w:tc>
        <w:tc>
          <w:tcPr>
            <w:tcW w:w="6946" w:type="dxa"/>
          </w:tcPr>
          <w:p w:rsidRPr="00322301" w:rsidR="00322301" w:rsidP="00322301" w:rsidRDefault="00322301" w14:paraId="0C1BA513" w14:textId="77777777">
            <w:pPr>
              <w:ind w:left="34"/>
              <w:rPr>
                <w:rFonts w:cstheme="minorHAnsi"/>
              </w:rPr>
            </w:pPr>
            <w:r w:rsidRPr="00322301">
              <w:rPr>
                <w:rFonts w:cs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22301" w:rsidR="00322301" w:rsidP="00322301" w:rsidRDefault="00322301" w14:paraId="1B987224" w14:textId="77777777">
            <w:pPr>
              <w:numPr>
                <w:ilvl w:val="0"/>
                <w:numId w:val="1"/>
              </w:numPr>
              <w:rPr>
                <w:rFonts w:cstheme="minorHAnsi"/>
              </w:rPr>
            </w:pPr>
            <w:r w:rsidRPr="00322301">
              <w:rPr>
                <w:rFonts w:cstheme="minorHAnsi"/>
              </w:rPr>
              <w:t>bij wetgevende EU-voorstellen kan een commissie besluiten tot het uitvoeren van een zgn. ‘behandelvoorbehoud’. Over deze brief moet plenair gestemd worden (let op de termijnen).</w:t>
            </w:r>
          </w:p>
          <w:p w:rsidRPr="00322301" w:rsidR="00322301" w:rsidP="00322301" w:rsidRDefault="00322301" w14:paraId="425F974F" w14:textId="77777777">
            <w:pPr>
              <w:numPr>
                <w:ilvl w:val="0"/>
                <w:numId w:val="1"/>
              </w:numPr>
              <w:rPr>
                <w:rFonts w:cstheme="minorHAnsi"/>
              </w:rPr>
            </w:pPr>
            <w:r w:rsidRPr="00322301">
              <w:rPr>
                <w:rFonts w:cstheme="minorHAnsi"/>
              </w:rPr>
              <w:t>tijdens een speciaal overleg kan de commissie afspraken maken over informatieverstrekking (bv. in kwartaalrapportages) zolang het desbetreffende dossier in onderhandeling is.</w:t>
            </w:r>
          </w:p>
          <w:p w:rsidRPr="00322301" w:rsidR="00322301" w:rsidP="00322301" w:rsidRDefault="00322301" w14:paraId="683C8F6F" w14:textId="77777777">
            <w:pPr>
              <w:numPr>
                <w:ilvl w:val="0"/>
                <w:numId w:val="1"/>
              </w:numPr>
              <w:rPr>
                <w:rFonts w:cstheme="minorHAnsi"/>
              </w:rPr>
            </w:pPr>
            <w:r w:rsidRPr="00322301">
              <w:rPr>
                <w:rFonts w:cstheme="minorHAnsi"/>
              </w:rPr>
              <w:t>kabinetsappreciatie (‘BNC-fiche’) komt voor aangekondigde behandelvoorbehouden binnen drie weken t.b.v. een snelle behandeling.</w:t>
            </w:r>
          </w:p>
          <w:p w:rsidRPr="00322301" w:rsidR="00322301" w:rsidP="00322301" w:rsidRDefault="00322301" w14:paraId="76577814" w14:textId="77777777">
            <w:pPr>
              <w:rPr>
                <w:rFonts w:cstheme="minorHAnsi"/>
              </w:rPr>
            </w:pPr>
          </w:p>
        </w:tc>
      </w:tr>
    </w:tbl>
    <w:p w:rsidR="003D5E74" w:rsidRDefault="005464ED" w14:paraId="529E0FEA" w14:textId="77777777"/>
    <w:sectPr w:rsidR="003D5E74"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9E69C" w14:textId="77777777" w:rsidR="00506E11" w:rsidRDefault="00506E11" w:rsidP="00322301">
      <w:pPr>
        <w:spacing w:after="0" w:line="240" w:lineRule="auto"/>
      </w:pPr>
      <w:r>
        <w:separator/>
      </w:r>
    </w:p>
  </w:endnote>
  <w:endnote w:type="continuationSeparator" w:id="0">
    <w:p w14:paraId="575A45AE" w14:textId="77777777" w:rsidR="00506E11" w:rsidRDefault="00506E11" w:rsidP="0032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55F6C" w14:textId="77777777" w:rsidR="00506E11" w:rsidRDefault="00506E11" w:rsidP="00322301">
      <w:pPr>
        <w:spacing w:after="0" w:line="240" w:lineRule="auto"/>
      </w:pPr>
      <w:r>
        <w:separator/>
      </w:r>
    </w:p>
  </w:footnote>
  <w:footnote w:type="continuationSeparator" w:id="0">
    <w:p w14:paraId="055220F6" w14:textId="77777777" w:rsidR="00506E11" w:rsidRDefault="00506E11" w:rsidP="00322301">
      <w:pPr>
        <w:spacing w:after="0" w:line="240" w:lineRule="auto"/>
      </w:pPr>
      <w:r>
        <w:continuationSeparator/>
      </w:r>
    </w:p>
  </w:footnote>
  <w:footnote w:id="1">
    <w:p w14:paraId="3720C59E" w14:textId="77777777" w:rsidR="00322301" w:rsidRPr="00B45904" w:rsidRDefault="00322301" w:rsidP="0032230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01"/>
    <w:rsid w:val="00003A98"/>
    <w:rsid w:val="000146C6"/>
    <w:rsid w:val="00020F4E"/>
    <w:rsid w:val="0003352B"/>
    <w:rsid w:val="00097EEB"/>
    <w:rsid w:val="000E1DFB"/>
    <w:rsid w:val="000F7621"/>
    <w:rsid w:val="00104B2A"/>
    <w:rsid w:val="001E4F43"/>
    <w:rsid w:val="001F395D"/>
    <w:rsid w:val="002B1E41"/>
    <w:rsid w:val="002B4980"/>
    <w:rsid w:val="00322301"/>
    <w:rsid w:val="00333758"/>
    <w:rsid w:val="00373E28"/>
    <w:rsid w:val="003F2A67"/>
    <w:rsid w:val="00460601"/>
    <w:rsid w:val="0046326C"/>
    <w:rsid w:val="00472DDD"/>
    <w:rsid w:val="00506E11"/>
    <w:rsid w:val="005464ED"/>
    <w:rsid w:val="00551394"/>
    <w:rsid w:val="0058776F"/>
    <w:rsid w:val="005B2D4B"/>
    <w:rsid w:val="005C442E"/>
    <w:rsid w:val="00602038"/>
    <w:rsid w:val="006E4FC6"/>
    <w:rsid w:val="00722340"/>
    <w:rsid w:val="0074646B"/>
    <w:rsid w:val="007511C0"/>
    <w:rsid w:val="00790ABD"/>
    <w:rsid w:val="007B1E94"/>
    <w:rsid w:val="007D7A2F"/>
    <w:rsid w:val="008110E3"/>
    <w:rsid w:val="0082402A"/>
    <w:rsid w:val="0090098F"/>
    <w:rsid w:val="00901B17"/>
    <w:rsid w:val="00960C84"/>
    <w:rsid w:val="0097279D"/>
    <w:rsid w:val="0098682C"/>
    <w:rsid w:val="009A63E5"/>
    <w:rsid w:val="009D6988"/>
    <w:rsid w:val="009E1753"/>
    <w:rsid w:val="00A26DF5"/>
    <w:rsid w:val="00A7136C"/>
    <w:rsid w:val="00A874AD"/>
    <w:rsid w:val="00AB391E"/>
    <w:rsid w:val="00B05BD4"/>
    <w:rsid w:val="00B3300A"/>
    <w:rsid w:val="00C30919"/>
    <w:rsid w:val="00C57BEE"/>
    <w:rsid w:val="00C63D42"/>
    <w:rsid w:val="00CA0211"/>
    <w:rsid w:val="00CE0FFD"/>
    <w:rsid w:val="00CF4F4B"/>
    <w:rsid w:val="00D246BD"/>
    <w:rsid w:val="00D24B00"/>
    <w:rsid w:val="00D33A7F"/>
    <w:rsid w:val="00DA03FC"/>
    <w:rsid w:val="00E363FF"/>
    <w:rsid w:val="00E41016"/>
    <w:rsid w:val="00EF566A"/>
    <w:rsid w:val="00F131AA"/>
    <w:rsid w:val="00F426AC"/>
    <w:rsid w:val="00F65B78"/>
    <w:rsid w:val="00FA654D"/>
    <w:rsid w:val="00FB7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E86A"/>
  <w15:chartTrackingRefBased/>
  <w15:docId w15:val="{65E893BC-C95C-4D03-8AE7-0AE6EAD4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2301"/>
    <w:rPr>
      <w:color w:val="0000FF"/>
      <w:u w:val="single"/>
    </w:rPr>
  </w:style>
  <w:style w:type="paragraph" w:styleId="Voetnoottekst">
    <w:name w:val="footnote text"/>
    <w:basedOn w:val="Standaard"/>
    <w:link w:val="VoetnoottekstChar"/>
    <w:rsid w:val="0032230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322301"/>
    <w:rPr>
      <w:rFonts w:ascii="Times New Roman" w:eastAsia="Times New Roman" w:hAnsi="Times New Roman" w:cs="Times New Roman"/>
      <w:sz w:val="20"/>
      <w:szCs w:val="20"/>
      <w:lang w:eastAsia="nl-NL"/>
    </w:rPr>
  </w:style>
  <w:style w:type="table" w:styleId="Tabelraster">
    <w:name w:val="Table Grid"/>
    <w:basedOn w:val="Standaardtabel"/>
    <w:rsid w:val="0032230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22301"/>
    <w:rPr>
      <w:vertAlign w:val="superscript"/>
    </w:rPr>
  </w:style>
  <w:style w:type="character" w:styleId="GevolgdeHyperlink">
    <w:name w:val="FollowedHyperlink"/>
    <w:basedOn w:val="Standaardalinea-lettertype"/>
    <w:uiPriority w:val="99"/>
    <w:semiHidden/>
    <w:unhideWhenUsed/>
    <w:rsid w:val="000F76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341">
      <w:bodyDiv w:val="1"/>
      <w:marLeft w:val="0"/>
      <w:marRight w:val="0"/>
      <w:marTop w:val="0"/>
      <w:marBottom w:val="0"/>
      <w:divBdr>
        <w:top w:val="none" w:sz="0" w:space="0" w:color="auto"/>
        <w:left w:val="none" w:sz="0" w:space="0" w:color="auto"/>
        <w:bottom w:val="none" w:sz="0" w:space="0" w:color="auto"/>
        <w:right w:val="none" w:sz="0" w:space="0" w:color="auto"/>
      </w:divBdr>
    </w:div>
    <w:div w:id="141391896">
      <w:bodyDiv w:val="1"/>
      <w:marLeft w:val="0"/>
      <w:marRight w:val="0"/>
      <w:marTop w:val="0"/>
      <w:marBottom w:val="0"/>
      <w:divBdr>
        <w:top w:val="none" w:sz="0" w:space="0" w:color="auto"/>
        <w:left w:val="none" w:sz="0" w:space="0" w:color="auto"/>
        <w:bottom w:val="none" w:sz="0" w:space="0" w:color="auto"/>
        <w:right w:val="none" w:sz="0" w:space="0" w:color="auto"/>
      </w:divBdr>
    </w:div>
    <w:div w:id="263615701">
      <w:bodyDiv w:val="1"/>
      <w:marLeft w:val="0"/>
      <w:marRight w:val="0"/>
      <w:marTop w:val="0"/>
      <w:marBottom w:val="0"/>
      <w:divBdr>
        <w:top w:val="none" w:sz="0" w:space="0" w:color="auto"/>
        <w:left w:val="none" w:sz="0" w:space="0" w:color="auto"/>
        <w:bottom w:val="none" w:sz="0" w:space="0" w:color="auto"/>
        <w:right w:val="none" w:sz="0" w:space="0" w:color="auto"/>
      </w:divBdr>
    </w:div>
    <w:div w:id="537552811">
      <w:bodyDiv w:val="1"/>
      <w:marLeft w:val="0"/>
      <w:marRight w:val="0"/>
      <w:marTop w:val="0"/>
      <w:marBottom w:val="0"/>
      <w:divBdr>
        <w:top w:val="none" w:sz="0" w:space="0" w:color="auto"/>
        <w:left w:val="none" w:sz="0" w:space="0" w:color="auto"/>
        <w:bottom w:val="none" w:sz="0" w:space="0" w:color="auto"/>
        <w:right w:val="none" w:sz="0" w:space="0" w:color="auto"/>
      </w:divBdr>
    </w:div>
    <w:div w:id="559677609">
      <w:bodyDiv w:val="1"/>
      <w:marLeft w:val="0"/>
      <w:marRight w:val="0"/>
      <w:marTop w:val="0"/>
      <w:marBottom w:val="0"/>
      <w:divBdr>
        <w:top w:val="none" w:sz="0" w:space="0" w:color="auto"/>
        <w:left w:val="none" w:sz="0" w:space="0" w:color="auto"/>
        <w:bottom w:val="none" w:sz="0" w:space="0" w:color="auto"/>
        <w:right w:val="none" w:sz="0" w:space="0" w:color="auto"/>
      </w:divBdr>
    </w:div>
    <w:div w:id="651252875">
      <w:bodyDiv w:val="1"/>
      <w:marLeft w:val="0"/>
      <w:marRight w:val="0"/>
      <w:marTop w:val="0"/>
      <w:marBottom w:val="0"/>
      <w:divBdr>
        <w:top w:val="none" w:sz="0" w:space="0" w:color="auto"/>
        <w:left w:val="none" w:sz="0" w:space="0" w:color="auto"/>
        <w:bottom w:val="none" w:sz="0" w:space="0" w:color="auto"/>
        <w:right w:val="none" w:sz="0" w:space="0" w:color="auto"/>
      </w:divBdr>
    </w:div>
    <w:div w:id="830414032">
      <w:bodyDiv w:val="1"/>
      <w:marLeft w:val="0"/>
      <w:marRight w:val="0"/>
      <w:marTop w:val="0"/>
      <w:marBottom w:val="0"/>
      <w:divBdr>
        <w:top w:val="none" w:sz="0" w:space="0" w:color="auto"/>
        <w:left w:val="none" w:sz="0" w:space="0" w:color="auto"/>
        <w:bottom w:val="none" w:sz="0" w:space="0" w:color="auto"/>
        <w:right w:val="none" w:sz="0" w:space="0" w:color="auto"/>
      </w:divBdr>
    </w:div>
    <w:div w:id="848445114">
      <w:bodyDiv w:val="1"/>
      <w:marLeft w:val="0"/>
      <w:marRight w:val="0"/>
      <w:marTop w:val="0"/>
      <w:marBottom w:val="0"/>
      <w:divBdr>
        <w:top w:val="none" w:sz="0" w:space="0" w:color="auto"/>
        <w:left w:val="none" w:sz="0" w:space="0" w:color="auto"/>
        <w:bottom w:val="none" w:sz="0" w:space="0" w:color="auto"/>
        <w:right w:val="none" w:sz="0" w:space="0" w:color="auto"/>
      </w:divBdr>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66226234">
      <w:bodyDiv w:val="1"/>
      <w:marLeft w:val="0"/>
      <w:marRight w:val="0"/>
      <w:marTop w:val="0"/>
      <w:marBottom w:val="0"/>
      <w:divBdr>
        <w:top w:val="none" w:sz="0" w:space="0" w:color="auto"/>
        <w:left w:val="none" w:sz="0" w:space="0" w:color="auto"/>
        <w:bottom w:val="none" w:sz="0" w:space="0" w:color="auto"/>
        <w:right w:val="none" w:sz="0" w:space="0" w:color="auto"/>
      </w:divBdr>
    </w:div>
    <w:div w:id="1185023048">
      <w:bodyDiv w:val="1"/>
      <w:marLeft w:val="0"/>
      <w:marRight w:val="0"/>
      <w:marTop w:val="0"/>
      <w:marBottom w:val="0"/>
      <w:divBdr>
        <w:top w:val="none" w:sz="0" w:space="0" w:color="auto"/>
        <w:left w:val="none" w:sz="0" w:space="0" w:color="auto"/>
        <w:bottom w:val="none" w:sz="0" w:space="0" w:color="auto"/>
        <w:right w:val="none" w:sz="0" w:space="0" w:color="auto"/>
      </w:divBdr>
    </w:div>
    <w:div w:id="1302616931">
      <w:bodyDiv w:val="1"/>
      <w:marLeft w:val="0"/>
      <w:marRight w:val="0"/>
      <w:marTop w:val="0"/>
      <w:marBottom w:val="0"/>
      <w:divBdr>
        <w:top w:val="none" w:sz="0" w:space="0" w:color="auto"/>
        <w:left w:val="none" w:sz="0" w:space="0" w:color="auto"/>
        <w:bottom w:val="none" w:sz="0" w:space="0" w:color="auto"/>
        <w:right w:val="none" w:sz="0" w:space="0" w:color="auto"/>
      </w:divBdr>
    </w:div>
    <w:div w:id="1391995126">
      <w:bodyDiv w:val="1"/>
      <w:marLeft w:val="0"/>
      <w:marRight w:val="0"/>
      <w:marTop w:val="0"/>
      <w:marBottom w:val="0"/>
      <w:divBdr>
        <w:top w:val="none" w:sz="0" w:space="0" w:color="auto"/>
        <w:left w:val="none" w:sz="0" w:space="0" w:color="auto"/>
        <w:bottom w:val="none" w:sz="0" w:space="0" w:color="auto"/>
        <w:right w:val="none" w:sz="0" w:space="0" w:color="auto"/>
      </w:divBdr>
    </w:div>
    <w:div w:id="1393236644">
      <w:bodyDiv w:val="1"/>
      <w:marLeft w:val="0"/>
      <w:marRight w:val="0"/>
      <w:marTop w:val="0"/>
      <w:marBottom w:val="0"/>
      <w:divBdr>
        <w:top w:val="none" w:sz="0" w:space="0" w:color="auto"/>
        <w:left w:val="none" w:sz="0" w:space="0" w:color="auto"/>
        <w:bottom w:val="none" w:sz="0" w:space="0" w:color="auto"/>
        <w:right w:val="none" w:sz="0" w:space="0" w:color="auto"/>
      </w:divBdr>
    </w:div>
    <w:div w:id="1420370076">
      <w:bodyDiv w:val="1"/>
      <w:marLeft w:val="0"/>
      <w:marRight w:val="0"/>
      <w:marTop w:val="0"/>
      <w:marBottom w:val="0"/>
      <w:divBdr>
        <w:top w:val="none" w:sz="0" w:space="0" w:color="auto"/>
        <w:left w:val="none" w:sz="0" w:space="0" w:color="auto"/>
        <w:bottom w:val="none" w:sz="0" w:space="0" w:color="auto"/>
        <w:right w:val="none" w:sz="0" w:space="0" w:color="auto"/>
      </w:divBdr>
    </w:div>
    <w:div w:id="1706444585">
      <w:bodyDiv w:val="1"/>
      <w:marLeft w:val="0"/>
      <w:marRight w:val="0"/>
      <w:marTop w:val="0"/>
      <w:marBottom w:val="0"/>
      <w:divBdr>
        <w:top w:val="none" w:sz="0" w:space="0" w:color="auto"/>
        <w:left w:val="none" w:sz="0" w:space="0" w:color="auto"/>
        <w:bottom w:val="none" w:sz="0" w:space="0" w:color="auto"/>
        <w:right w:val="none" w:sz="0" w:space="0" w:color="auto"/>
      </w:divBdr>
    </w:div>
    <w:div w:id="1795825567">
      <w:bodyDiv w:val="1"/>
      <w:marLeft w:val="0"/>
      <w:marRight w:val="0"/>
      <w:marTop w:val="0"/>
      <w:marBottom w:val="0"/>
      <w:divBdr>
        <w:top w:val="none" w:sz="0" w:space="0" w:color="auto"/>
        <w:left w:val="none" w:sz="0" w:space="0" w:color="auto"/>
        <w:bottom w:val="none" w:sz="0" w:space="0" w:color="auto"/>
        <w:right w:val="none" w:sz="0" w:space="0" w:color="auto"/>
      </w:divBdr>
    </w:div>
    <w:div w:id="1833331345">
      <w:bodyDiv w:val="1"/>
      <w:marLeft w:val="0"/>
      <w:marRight w:val="0"/>
      <w:marTop w:val="0"/>
      <w:marBottom w:val="0"/>
      <w:divBdr>
        <w:top w:val="none" w:sz="0" w:space="0" w:color="auto"/>
        <w:left w:val="none" w:sz="0" w:space="0" w:color="auto"/>
        <w:bottom w:val="none" w:sz="0" w:space="0" w:color="auto"/>
        <w:right w:val="none" w:sz="0" w:space="0" w:color="auto"/>
      </w:divBdr>
    </w:div>
    <w:div w:id="1944141871">
      <w:bodyDiv w:val="1"/>
      <w:marLeft w:val="0"/>
      <w:marRight w:val="0"/>
      <w:marTop w:val="0"/>
      <w:marBottom w:val="0"/>
      <w:divBdr>
        <w:top w:val="none" w:sz="0" w:space="0" w:color="auto"/>
        <w:left w:val="none" w:sz="0" w:space="0" w:color="auto"/>
        <w:bottom w:val="none" w:sz="0" w:space="0" w:color="auto"/>
        <w:right w:val="none" w:sz="0" w:space="0" w:color="auto"/>
      </w:divBdr>
    </w:div>
    <w:div w:id="1965502606">
      <w:bodyDiv w:val="1"/>
      <w:marLeft w:val="0"/>
      <w:marRight w:val="0"/>
      <w:marTop w:val="0"/>
      <w:marBottom w:val="0"/>
      <w:divBdr>
        <w:top w:val="none" w:sz="0" w:space="0" w:color="auto"/>
        <w:left w:val="none" w:sz="0" w:space="0" w:color="auto"/>
        <w:bottom w:val="none" w:sz="0" w:space="0" w:color="auto"/>
        <w:right w:val="none" w:sz="0" w:space="0" w:color="auto"/>
      </w:divBdr>
    </w:div>
    <w:div w:id="19792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cure.ipex.eu/IPEXL-WEB/dossier/document/COM20200275.do" TargetMode="Externa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yperlink" Target="https://secure.ipex.eu/IPEXL-WEB/dossier/document/COM20200274.do" TargetMode="External" Id="rId12" /><Relationship Type="http://schemas.openxmlformats.org/officeDocument/2006/relationships/hyperlink" Target="http://ec.europa.eu/yourvoice/consultations/index_nl.htm" TargetMode="External" Id="rId1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openxmlformats.org/officeDocument/2006/relationships/settings" Target="settings.xml" Id="rId6" /><Relationship Type="http://schemas.openxmlformats.org/officeDocument/2006/relationships/hyperlink" Target="https://secure.ipex.eu/IPEXL-WEB/dossier/document/COM20200291.do" TargetMode="External" Id="rId11" /><Relationship Type="http://schemas.openxmlformats.org/officeDocument/2006/relationships/styles" Target="styles.xml" Id="rId5" /><Relationship Type="http://schemas.openxmlformats.org/officeDocument/2006/relationships/hyperlink" Target="https://secure.ipex.eu/IPEXL-WEB/dossier/document/COM20200277.do" TargetMode="External" Id="rId15" /><Relationship Type="http://schemas.openxmlformats.org/officeDocument/2006/relationships/hyperlink" Target="https://secure.ipex.eu/IPEXL-WEB/dossier/document/COM20200241.do"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ecure.ipex.eu/IPEXL-WEB/dossier/document/COM20200276.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2976</ap:Words>
  <ap:Characters>16370</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2020-09-03T07:24:00.0000000Z</dcterms:created>
  <dcterms:modified xsi:type="dcterms:W3CDTF">2020-09-03T07:24:00.0000000Z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0x010100A8525C67C14FD345A668BB481CBD6F52</vt:lpwstr>
  </property>
</Properties>
</file>