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54491" w:rsidR="00754491" w:rsidP="00F81BD8" w:rsidRDefault="00754491" w14:paraId="66CE4BEB" w14:textId="77777777">
      <w:pPr>
        <w:contextualSpacing/>
        <w:rPr>
          <w:b/>
          <w:bCs/>
          <w:szCs w:val="18"/>
        </w:rPr>
      </w:pPr>
      <w:bookmarkStart w:name="_GoBack" w:id="0"/>
      <w:bookmarkEnd w:id="0"/>
      <w:r>
        <w:rPr>
          <w:b/>
          <w:bCs/>
          <w:szCs w:val="18"/>
        </w:rPr>
        <w:t>Kabinetsappreciatie witboek buitenlandse subsidies op de interne markt</w:t>
      </w:r>
    </w:p>
    <w:p w:rsidR="00754491" w:rsidP="00F81BD8" w:rsidRDefault="00754491" w14:paraId="13435E99" w14:textId="77777777">
      <w:pPr>
        <w:contextualSpacing/>
        <w:rPr>
          <w:i/>
          <w:iCs/>
          <w:szCs w:val="18"/>
          <w:u w:val="single"/>
        </w:rPr>
      </w:pPr>
    </w:p>
    <w:p w:rsidR="007D41B1" w:rsidP="00F81BD8" w:rsidRDefault="007D41B1" w14:paraId="1A90E076" w14:textId="77777777">
      <w:pPr>
        <w:contextualSpacing/>
        <w:rPr>
          <w:i/>
          <w:iCs/>
          <w:szCs w:val="18"/>
          <w:u w:val="single"/>
        </w:rPr>
      </w:pPr>
      <w:r>
        <w:rPr>
          <w:i/>
          <w:iCs/>
          <w:szCs w:val="18"/>
          <w:u w:val="single"/>
        </w:rPr>
        <w:t>Inleiding</w:t>
      </w:r>
    </w:p>
    <w:p w:rsidRPr="004E2FDD" w:rsidR="002F1781" w:rsidP="002F1781" w:rsidRDefault="007B4F84" w14:paraId="42FFD048" w14:textId="77777777">
      <w:pPr>
        <w:contextualSpacing/>
        <w:rPr>
          <w:szCs w:val="18"/>
        </w:rPr>
      </w:pPr>
      <w:r>
        <w:rPr>
          <w:szCs w:val="18"/>
        </w:rPr>
        <w:t>Op 17 jun</w:t>
      </w:r>
      <w:r w:rsidR="00845D3B">
        <w:rPr>
          <w:szCs w:val="18"/>
        </w:rPr>
        <w:t>i</w:t>
      </w:r>
      <w:r w:rsidR="0094015E">
        <w:rPr>
          <w:szCs w:val="18"/>
        </w:rPr>
        <w:t xml:space="preserve"> jl. </w:t>
      </w:r>
      <w:r>
        <w:rPr>
          <w:szCs w:val="18"/>
        </w:rPr>
        <w:t>heeft de Europese Commissie een witboek</w:t>
      </w:r>
      <w:r w:rsidR="002E6268">
        <w:rPr>
          <w:szCs w:val="18"/>
        </w:rPr>
        <w:t xml:space="preserve"> gepresenteerd</w:t>
      </w:r>
      <w:r>
        <w:rPr>
          <w:szCs w:val="18"/>
        </w:rPr>
        <w:t xml:space="preserve"> over </w:t>
      </w:r>
      <w:r w:rsidR="002E6268">
        <w:rPr>
          <w:szCs w:val="18"/>
        </w:rPr>
        <w:t xml:space="preserve">het gelijktrekken van het speelveld op de interne markt in relatie tot </w:t>
      </w:r>
      <w:r w:rsidR="00F92DBE">
        <w:rPr>
          <w:szCs w:val="18"/>
        </w:rPr>
        <w:t>overheids</w:t>
      </w:r>
      <w:r>
        <w:rPr>
          <w:szCs w:val="18"/>
        </w:rPr>
        <w:t>subsidies</w:t>
      </w:r>
      <w:r w:rsidR="002E6268">
        <w:rPr>
          <w:szCs w:val="18"/>
        </w:rPr>
        <w:t xml:space="preserve"> uit derde landen</w:t>
      </w:r>
      <w:r>
        <w:rPr>
          <w:szCs w:val="18"/>
        </w:rPr>
        <w:t xml:space="preserve">. Met dit witboek schetst de Commissie de contouren van mogelijke instrumenten die de verstorende </w:t>
      </w:r>
      <w:r w:rsidRPr="004E2FDD">
        <w:rPr>
          <w:szCs w:val="18"/>
        </w:rPr>
        <w:t xml:space="preserve">effecten van subsidies </w:t>
      </w:r>
      <w:r w:rsidRPr="004E2FDD" w:rsidR="003E524E">
        <w:rPr>
          <w:szCs w:val="18"/>
        </w:rPr>
        <w:t>en andere vormen van overheidsondersteuning</w:t>
      </w:r>
      <w:r w:rsidR="004E2FDD">
        <w:rPr>
          <w:szCs w:val="18"/>
        </w:rPr>
        <w:t xml:space="preserve"> </w:t>
      </w:r>
      <w:r w:rsidRPr="004E2FDD" w:rsidR="003E524E">
        <w:rPr>
          <w:szCs w:val="18"/>
        </w:rPr>
        <w:t xml:space="preserve">door derde landen </w:t>
      </w:r>
      <w:r w:rsidRPr="004E2FDD">
        <w:rPr>
          <w:szCs w:val="18"/>
        </w:rPr>
        <w:t>op de interne markt moeten tegengaan.</w:t>
      </w:r>
      <w:r w:rsidR="004E2FDD">
        <w:rPr>
          <w:szCs w:val="18"/>
        </w:rPr>
        <w:t xml:space="preserve"> </w:t>
      </w:r>
      <w:bookmarkStart w:name="_Hlk47001383" w:id="1"/>
      <w:r w:rsidR="0003059D">
        <w:rPr>
          <w:szCs w:val="18"/>
        </w:rPr>
        <w:t>Deze brief</w:t>
      </w:r>
      <w:r w:rsidRPr="004E2FDD" w:rsidR="002F1781">
        <w:rPr>
          <w:szCs w:val="18"/>
        </w:rPr>
        <w:t xml:space="preserve"> geeft weer hoe Nederland aankijkt tegen de mogelijke instrumenten die in het witboek worden geschetst. Allereerst </w:t>
      </w:r>
      <w:r w:rsidR="007D41B1">
        <w:rPr>
          <w:szCs w:val="18"/>
        </w:rPr>
        <w:t>wordt het witboek samengevat,</w:t>
      </w:r>
      <w:r w:rsidRPr="004E2FDD" w:rsidR="002F1781">
        <w:rPr>
          <w:szCs w:val="18"/>
        </w:rPr>
        <w:t xml:space="preserve"> waarna de verschillende onderdelen nader worden toegelicht</w:t>
      </w:r>
      <w:bookmarkEnd w:id="1"/>
      <w:r w:rsidR="0001194B">
        <w:rPr>
          <w:szCs w:val="18"/>
        </w:rPr>
        <w:t xml:space="preserve"> en geapprecieerd.</w:t>
      </w:r>
      <w:r w:rsidRPr="00B12EE1" w:rsidR="00B12EE1">
        <w:rPr>
          <w:szCs w:val="18"/>
        </w:rPr>
        <w:t xml:space="preserve"> </w:t>
      </w:r>
      <w:r w:rsidRPr="004E2FDD" w:rsidR="00B12EE1">
        <w:rPr>
          <w:szCs w:val="18"/>
        </w:rPr>
        <w:t xml:space="preserve">Nederland verwelkomt </w:t>
      </w:r>
      <w:r w:rsidR="00B12EE1">
        <w:rPr>
          <w:szCs w:val="18"/>
        </w:rPr>
        <w:t>het</w:t>
      </w:r>
      <w:r w:rsidRPr="004E2FDD" w:rsidR="00B12EE1">
        <w:rPr>
          <w:szCs w:val="18"/>
        </w:rPr>
        <w:t xml:space="preserve"> witboek en</w:t>
      </w:r>
      <w:r w:rsidR="00B12EE1">
        <w:rPr>
          <w:szCs w:val="18"/>
        </w:rPr>
        <w:t xml:space="preserve"> kijkt uit naar wetgevende voorstellen op dit terrein.</w:t>
      </w:r>
    </w:p>
    <w:p w:rsidR="007B4F84" w:rsidP="00F81BD8" w:rsidRDefault="007B4F84" w14:paraId="6AE62395" w14:textId="77777777">
      <w:pPr>
        <w:contextualSpacing/>
        <w:rPr>
          <w:i/>
          <w:iCs/>
          <w:szCs w:val="18"/>
        </w:rPr>
      </w:pPr>
    </w:p>
    <w:p w:rsidRPr="005325F4" w:rsidR="004E2FDD" w:rsidP="00F81BD8" w:rsidRDefault="004E2FDD" w14:paraId="19F00BA2" w14:textId="77777777">
      <w:pPr>
        <w:contextualSpacing/>
        <w:rPr>
          <w:i/>
          <w:iCs/>
          <w:szCs w:val="18"/>
          <w:u w:val="single"/>
        </w:rPr>
      </w:pPr>
      <w:r w:rsidRPr="005325F4">
        <w:rPr>
          <w:i/>
          <w:iCs/>
          <w:szCs w:val="18"/>
          <w:u w:val="single"/>
        </w:rPr>
        <w:t>Samenvatting witboek</w:t>
      </w:r>
    </w:p>
    <w:p w:rsidR="009C5ECD" w:rsidP="009C5ECD" w:rsidRDefault="005325F4" w14:paraId="28FB0D1C" w14:textId="0805406F">
      <w:pPr>
        <w:contextualSpacing/>
        <w:rPr>
          <w:szCs w:val="18"/>
        </w:rPr>
      </w:pPr>
      <w:r w:rsidRPr="005325F4">
        <w:rPr>
          <w:szCs w:val="18"/>
        </w:rPr>
        <w:t xml:space="preserve">De Europese Commissie heeft </w:t>
      </w:r>
      <w:r w:rsidR="009C5ECD">
        <w:rPr>
          <w:szCs w:val="18"/>
        </w:rPr>
        <w:t>geanalyseerd</w:t>
      </w:r>
      <w:r w:rsidRPr="005325F4">
        <w:rPr>
          <w:szCs w:val="18"/>
        </w:rPr>
        <w:t xml:space="preserve"> in hoeverre bestaande internationale en Europese instrumenten de </w:t>
      </w:r>
      <w:r w:rsidRPr="009C5ECD">
        <w:rPr>
          <w:szCs w:val="18"/>
        </w:rPr>
        <w:t xml:space="preserve">verstorende effecten van overheidssubsidies en andere vormen van overheidsondersteuning uit derde landen op de interne markt kunnen bestrijden. </w:t>
      </w:r>
    </w:p>
    <w:p w:rsidRPr="007D41B1" w:rsidR="007D41B1" w:rsidP="005325F4" w:rsidRDefault="009C5ECD" w14:paraId="4232BB0C" w14:textId="77777777">
      <w:pPr>
        <w:pStyle w:val="Lijstalinea"/>
        <w:numPr>
          <w:ilvl w:val="0"/>
          <w:numId w:val="15"/>
        </w:numPr>
        <w:rPr>
          <w:szCs w:val="18"/>
        </w:rPr>
      </w:pPr>
      <w:r w:rsidRPr="007D41B1">
        <w:rPr>
          <w:szCs w:val="18"/>
        </w:rPr>
        <w:t>Het EU-mededingingstoezicht, specifiek het concentratietoezicht en het verbod op misbruik van economische machtspositie, houdt geen rekening met het effect van overheidsondersteuning van een marktpartij door een derde land. Het EU-staatssteuntoezicht is beperkt tot overheidsondersteuning door de EU-lidstaten.</w:t>
      </w:r>
    </w:p>
    <w:p w:rsidR="006E75E4" w:rsidP="006E75E4" w:rsidRDefault="007D41B1" w14:paraId="2F3E86F7" w14:textId="77777777">
      <w:pPr>
        <w:pStyle w:val="Lijstalinea"/>
        <w:numPr>
          <w:ilvl w:val="0"/>
          <w:numId w:val="15"/>
        </w:numPr>
        <w:rPr>
          <w:szCs w:val="18"/>
        </w:rPr>
      </w:pPr>
      <w:r w:rsidRPr="006E75E4">
        <w:rPr>
          <w:szCs w:val="18"/>
        </w:rPr>
        <w:t>T</w:t>
      </w:r>
      <w:r w:rsidRPr="006E75E4" w:rsidR="009C5ECD">
        <w:rPr>
          <w:szCs w:val="18"/>
        </w:rPr>
        <w:t xml:space="preserve">en aanzien van </w:t>
      </w:r>
      <w:r w:rsidRPr="006E75E4">
        <w:rPr>
          <w:szCs w:val="18"/>
        </w:rPr>
        <w:t xml:space="preserve">bilaterale handelsakkoorden, </w:t>
      </w:r>
      <w:r w:rsidRPr="006E75E4" w:rsidR="003F3A95">
        <w:rPr>
          <w:szCs w:val="18"/>
        </w:rPr>
        <w:t xml:space="preserve">handelspolitieke </w:t>
      </w:r>
      <w:r w:rsidRPr="006E75E4" w:rsidR="00C01821">
        <w:rPr>
          <w:szCs w:val="18"/>
        </w:rPr>
        <w:t xml:space="preserve">en </w:t>
      </w:r>
      <w:proofErr w:type="spellStart"/>
      <w:r w:rsidRPr="006E75E4" w:rsidR="00C01821">
        <w:rPr>
          <w:szCs w:val="18"/>
        </w:rPr>
        <w:t>handelsdefensieve</w:t>
      </w:r>
      <w:proofErr w:type="spellEnd"/>
      <w:r w:rsidRPr="006E75E4" w:rsidR="00C01821">
        <w:rPr>
          <w:szCs w:val="18"/>
        </w:rPr>
        <w:t xml:space="preserve"> instrumenten, waaronder </w:t>
      </w:r>
      <w:r w:rsidR="004D5AD9">
        <w:rPr>
          <w:szCs w:val="18"/>
        </w:rPr>
        <w:t>Wereldhandelsorganisatie (WHO)</w:t>
      </w:r>
      <w:r w:rsidRPr="006E75E4" w:rsidR="00C01821">
        <w:rPr>
          <w:szCs w:val="18"/>
        </w:rPr>
        <w:t>regels zoals het SCM-Verdrag</w:t>
      </w:r>
      <w:r w:rsidRPr="006E75E4">
        <w:rPr>
          <w:szCs w:val="18"/>
        </w:rPr>
        <w:t>,</w:t>
      </w:r>
      <w:r w:rsidRPr="004E2FDD" w:rsidR="00C01821">
        <w:rPr>
          <w:rStyle w:val="Voetnootmarkering"/>
          <w:szCs w:val="18"/>
        </w:rPr>
        <w:footnoteReference w:id="2"/>
      </w:r>
      <w:r w:rsidRPr="006E75E4">
        <w:rPr>
          <w:szCs w:val="18"/>
        </w:rPr>
        <w:t xml:space="preserve"> erkent de </w:t>
      </w:r>
      <w:r w:rsidRPr="006E75E4" w:rsidR="003F3A95">
        <w:rPr>
          <w:szCs w:val="18"/>
        </w:rPr>
        <w:t xml:space="preserve">Commissie dat deze niet alle vormen van (financiële) overheidsondersteuning door derde landen </w:t>
      </w:r>
      <w:r w:rsidRPr="006E75E4" w:rsidR="00C01821">
        <w:rPr>
          <w:szCs w:val="18"/>
        </w:rPr>
        <w:t>kunnen</w:t>
      </w:r>
      <w:r w:rsidRPr="006E75E4" w:rsidR="003F3A95">
        <w:rPr>
          <w:szCs w:val="18"/>
        </w:rPr>
        <w:t xml:space="preserve"> aanpakken.</w:t>
      </w:r>
      <w:r w:rsidR="004E2FDD">
        <w:rPr>
          <w:rStyle w:val="Voetnootmarkering"/>
          <w:szCs w:val="18"/>
        </w:rPr>
        <w:footnoteReference w:id="3"/>
      </w:r>
      <w:r w:rsidRPr="006E75E4" w:rsidR="003F3A95">
        <w:rPr>
          <w:szCs w:val="18"/>
        </w:rPr>
        <w:t xml:space="preserve"> </w:t>
      </w:r>
    </w:p>
    <w:p w:rsidRPr="007D41B1" w:rsidR="006E75E4" w:rsidP="006E75E4" w:rsidRDefault="006E75E4" w14:paraId="0CCC6FC6" w14:textId="77777777">
      <w:pPr>
        <w:pStyle w:val="Lijstalinea"/>
        <w:numPr>
          <w:ilvl w:val="0"/>
          <w:numId w:val="15"/>
        </w:numPr>
        <w:rPr>
          <w:szCs w:val="18"/>
        </w:rPr>
      </w:pPr>
      <w:r w:rsidRPr="007D41B1">
        <w:rPr>
          <w:szCs w:val="18"/>
        </w:rPr>
        <w:t xml:space="preserve">De Commissie geeft daarnaast aan </w:t>
      </w:r>
      <w:r w:rsidRPr="006E75E4">
        <w:rPr>
          <w:szCs w:val="18"/>
        </w:rPr>
        <w:t>dat de Europese FDI screeningsverordening is</w:t>
      </w:r>
      <w:r w:rsidRPr="007D41B1">
        <w:rPr>
          <w:szCs w:val="18"/>
        </w:rPr>
        <w:t xml:space="preserve"> toegespitst op het effect van buitenlandse directe investeringen op de bescherming van de openbare veiligheid en de openbare orde</w:t>
      </w:r>
      <w:r>
        <w:rPr>
          <w:szCs w:val="18"/>
        </w:rPr>
        <w:t>. H</w:t>
      </w:r>
      <w:r w:rsidRPr="007D41B1">
        <w:rPr>
          <w:szCs w:val="18"/>
        </w:rPr>
        <w:t xml:space="preserve">et bestrijden van </w:t>
      </w:r>
      <w:r w:rsidR="00647AEA">
        <w:rPr>
          <w:szCs w:val="18"/>
        </w:rPr>
        <w:t>concurrentie</w:t>
      </w:r>
      <w:r w:rsidRPr="007D41B1">
        <w:rPr>
          <w:szCs w:val="18"/>
        </w:rPr>
        <w:t>verstoringen op de interne markt veroorzaakt door overheidsondersteuning uit derde landen</w:t>
      </w:r>
      <w:r>
        <w:rPr>
          <w:szCs w:val="18"/>
        </w:rPr>
        <w:t xml:space="preserve"> valt niet binnen de scope van het FDI-screeningsmechanisme</w:t>
      </w:r>
      <w:r w:rsidRPr="007D41B1">
        <w:rPr>
          <w:szCs w:val="18"/>
        </w:rPr>
        <w:t>.</w:t>
      </w:r>
    </w:p>
    <w:p w:rsidRPr="006E75E4" w:rsidR="005325F4" w:rsidP="00610544" w:rsidRDefault="007D41B1" w14:paraId="19E8C1B2" w14:textId="77777777">
      <w:pPr>
        <w:pStyle w:val="Lijstalinea"/>
        <w:numPr>
          <w:ilvl w:val="0"/>
          <w:numId w:val="15"/>
        </w:numPr>
        <w:rPr>
          <w:szCs w:val="18"/>
        </w:rPr>
      </w:pPr>
      <w:r w:rsidRPr="006E75E4">
        <w:rPr>
          <w:szCs w:val="18"/>
        </w:rPr>
        <w:t>Ook de</w:t>
      </w:r>
      <w:r w:rsidRPr="006E75E4" w:rsidR="005325F4">
        <w:rPr>
          <w:szCs w:val="18"/>
        </w:rPr>
        <w:t xml:space="preserve"> Europese aanbestedingsregelgeving</w:t>
      </w:r>
      <w:r w:rsidRPr="006E75E4">
        <w:rPr>
          <w:szCs w:val="18"/>
        </w:rPr>
        <w:t xml:space="preserve"> adresseert</w:t>
      </w:r>
      <w:r w:rsidRPr="006E75E4" w:rsidR="005325F4">
        <w:rPr>
          <w:szCs w:val="18"/>
        </w:rPr>
        <w:t xml:space="preserve"> marktverstoring door overheidssteun uit derde landen niet. Aanbestedende diensten hoeven dergelijke staatsteun niet te onderzoeken en beschikken daarvoor </w:t>
      </w:r>
      <w:r w:rsidRPr="006E75E4">
        <w:rPr>
          <w:szCs w:val="18"/>
        </w:rPr>
        <w:t>vaak</w:t>
      </w:r>
      <w:r w:rsidRPr="006E75E4" w:rsidR="005325F4">
        <w:rPr>
          <w:szCs w:val="18"/>
        </w:rPr>
        <w:t xml:space="preserve"> niet over de juiste informatie en expertise. Bestaande instrumenten bieden onvoldoende basis om inschrijvers op deze grond uit te sluiten. Ook het internationale aanbestedingsinstrument IPI</w:t>
      </w:r>
      <w:r w:rsidR="005325F4">
        <w:rPr>
          <w:rStyle w:val="Voetnootmarkering"/>
          <w:szCs w:val="18"/>
        </w:rPr>
        <w:footnoteReference w:id="4"/>
      </w:r>
      <w:r w:rsidRPr="006E75E4" w:rsidR="005325F4">
        <w:rPr>
          <w:szCs w:val="18"/>
        </w:rPr>
        <w:t xml:space="preserve"> biedt volgens de Europese Commissie geen soelaas, omdat dit zich richt op toegang voor Europese ondernemingen tot markten voor overheidsopdrachten buiten de EU (wederkerigheid) en niet tot doel heeft om verstoringen van het gelijk speelveld op de interne</w:t>
      </w:r>
      <w:r w:rsidRPr="006E75E4" w:rsidR="005325F4">
        <w:rPr>
          <w:i/>
          <w:iCs/>
          <w:szCs w:val="18"/>
        </w:rPr>
        <w:t xml:space="preserve"> </w:t>
      </w:r>
      <w:r w:rsidRPr="006E75E4" w:rsidR="005325F4">
        <w:rPr>
          <w:szCs w:val="18"/>
        </w:rPr>
        <w:t>markt op te lossen.</w:t>
      </w:r>
      <w:r w:rsidR="005325F4">
        <w:rPr>
          <w:rStyle w:val="Voetnootmarkering"/>
          <w:szCs w:val="18"/>
        </w:rPr>
        <w:footnoteReference w:id="5"/>
      </w:r>
      <w:r w:rsidRPr="006E75E4" w:rsidR="005325F4">
        <w:rPr>
          <w:szCs w:val="18"/>
        </w:rPr>
        <w:t xml:space="preserve"> </w:t>
      </w:r>
    </w:p>
    <w:p w:rsidR="005325F4" w:rsidP="00F81BD8" w:rsidRDefault="005325F4" w14:paraId="115B7713" w14:textId="77777777">
      <w:pPr>
        <w:contextualSpacing/>
        <w:rPr>
          <w:szCs w:val="18"/>
        </w:rPr>
      </w:pPr>
    </w:p>
    <w:p w:rsidR="00B12EE1" w:rsidP="00F81BD8" w:rsidRDefault="007D41B1" w14:paraId="7CF3CA39" w14:textId="77777777">
      <w:pPr>
        <w:contextualSpacing/>
        <w:rPr>
          <w:szCs w:val="18"/>
        </w:rPr>
      </w:pPr>
      <w:r>
        <w:t xml:space="preserve">De Commissie concludeert dat </w:t>
      </w:r>
      <w:r w:rsidR="0001194B">
        <w:t xml:space="preserve">de </w:t>
      </w:r>
      <w:r>
        <w:t xml:space="preserve">bestaande instrumenten </w:t>
      </w:r>
      <w:r w:rsidRPr="005325F4">
        <w:t xml:space="preserve">niet altijd genoeg aangrijpingspunten bieden om </w:t>
      </w:r>
      <w:r w:rsidRPr="009C5ECD" w:rsidR="0001194B">
        <w:rPr>
          <w:szCs w:val="18"/>
        </w:rPr>
        <w:t>verstorende effecten van overheidsondersteuning uit derde landen op de interne markt kunnen bestrijden</w:t>
      </w:r>
      <w:r w:rsidR="00B12EE1">
        <w:rPr>
          <w:szCs w:val="18"/>
        </w:rPr>
        <w:t xml:space="preserve">. </w:t>
      </w:r>
      <w:r w:rsidR="007B4F84">
        <w:rPr>
          <w:szCs w:val="18"/>
        </w:rPr>
        <w:t>Om deze lacune te dichten, schetst de</w:t>
      </w:r>
      <w:r w:rsidRPr="00411112" w:rsidR="007B4F84">
        <w:rPr>
          <w:szCs w:val="18"/>
        </w:rPr>
        <w:t xml:space="preserve"> Commissie </w:t>
      </w:r>
      <w:r w:rsidR="007B4F84">
        <w:rPr>
          <w:szCs w:val="18"/>
        </w:rPr>
        <w:t>een</w:t>
      </w:r>
      <w:r w:rsidRPr="00411112" w:rsidR="007B4F84">
        <w:rPr>
          <w:szCs w:val="18"/>
        </w:rPr>
        <w:t xml:space="preserve"> </w:t>
      </w:r>
      <w:r w:rsidR="00845D3B">
        <w:rPr>
          <w:szCs w:val="18"/>
        </w:rPr>
        <w:t>drietal</w:t>
      </w:r>
      <w:r w:rsidR="00647AEA">
        <w:rPr>
          <w:szCs w:val="18"/>
        </w:rPr>
        <w:t xml:space="preserve"> mogelijke</w:t>
      </w:r>
      <w:r w:rsidRPr="00411112" w:rsidR="00845D3B">
        <w:rPr>
          <w:szCs w:val="18"/>
        </w:rPr>
        <w:t xml:space="preserve"> </w:t>
      </w:r>
      <w:r w:rsidR="0001194B">
        <w:rPr>
          <w:szCs w:val="18"/>
        </w:rPr>
        <w:t>instrumenten:</w:t>
      </w:r>
    </w:p>
    <w:p w:rsidR="001A7BA8" w:rsidP="00F81BD8" w:rsidRDefault="001A7BA8" w14:paraId="2FA1E0FF" w14:textId="77777777">
      <w:pPr>
        <w:contextualSpacing/>
        <w:rPr>
          <w:szCs w:val="18"/>
        </w:rPr>
      </w:pPr>
    </w:p>
    <w:p w:rsidR="007B4F84" w:rsidP="006F4DC5" w:rsidRDefault="006B3E07" w14:paraId="70416CE0" w14:textId="77777777">
      <w:pPr>
        <w:pStyle w:val="Lijstalinea"/>
        <w:numPr>
          <w:ilvl w:val="0"/>
          <w:numId w:val="3"/>
        </w:numPr>
        <w:rPr>
          <w:szCs w:val="18"/>
        </w:rPr>
      </w:pPr>
      <w:r>
        <w:rPr>
          <w:szCs w:val="18"/>
        </w:rPr>
        <w:t xml:space="preserve">Module </w:t>
      </w:r>
      <w:r w:rsidR="001F55FF">
        <w:rPr>
          <w:szCs w:val="18"/>
        </w:rPr>
        <w:t xml:space="preserve">1 </w:t>
      </w:r>
      <w:r w:rsidRPr="008A14DE" w:rsidR="007B4F84">
        <w:rPr>
          <w:szCs w:val="18"/>
        </w:rPr>
        <w:t xml:space="preserve">ziet op </w:t>
      </w:r>
      <w:r w:rsidR="007C480E">
        <w:rPr>
          <w:szCs w:val="18"/>
        </w:rPr>
        <w:t>verstoringen</w:t>
      </w:r>
      <w:r w:rsidR="00583EB0">
        <w:rPr>
          <w:szCs w:val="18"/>
        </w:rPr>
        <w:t xml:space="preserve"> veroorzaakt </w:t>
      </w:r>
      <w:r w:rsidR="00A31170">
        <w:rPr>
          <w:szCs w:val="18"/>
        </w:rPr>
        <w:t xml:space="preserve">door </w:t>
      </w:r>
      <w:r w:rsidRPr="00053A73" w:rsidR="0094015E">
        <w:rPr>
          <w:i/>
        </w:rPr>
        <w:t xml:space="preserve">subsidies </w:t>
      </w:r>
      <w:r w:rsidRPr="00053A73" w:rsidR="007B4F84">
        <w:rPr>
          <w:i/>
        </w:rPr>
        <w:t xml:space="preserve">van derde landen in </w:t>
      </w:r>
      <w:r w:rsidR="00FB49CC">
        <w:rPr>
          <w:i/>
        </w:rPr>
        <w:t>alle marktsituaties</w:t>
      </w:r>
      <w:r w:rsidRPr="00392688" w:rsidR="007B4F84">
        <w:rPr>
          <w:szCs w:val="18"/>
        </w:rPr>
        <w:t>. Als de Commissie</w:t>
      </w:r>
      <w:r w:rsidR="00845D3B">
        <w:rPr>
          <w:szCs w:val="18"/>
        </w:rPr>
        <w:t>,</w:t>
      </w:r>
      <w:r w:rsidR="007B4F84">
        <w:rPr>
          <w:szCs w:val="18"/>
        </w:rPr>
        <w:t xml:space="preserve"> of </w:t>
      </w:r>
      <w:r w:rsidR="00845D3B">
        <w:rPr>
          <w:szCs w:val="18"/>
        </w:rPr>
        <w:t>een daartoe aangewezen</w:t>
      </w:r>
      <w:r w:rsidR="007B4F84">
        <w:rPr>
          <w:szCs w:val="18"/>
        </w:rPr>
        <w:t xml:space="preserve"> nationale autoriteit</w:t>
      </w:r>
      <w:r w:rsidR="00845D3B">
        <w:rPr>
          <w:szCs w:val="18"/>
        </w:rPr>
        <w:t>,</w:t>
      </w:r>
      <w:r w:rsidRPr="00392688" w:rsidR="007B4F84">
        <w:rPr>
          <w:szCs w:val="18"/>
        </w:rPr>
        <w:t xml:space="preserve"> vermoedt dat een partij</w:t>
      </w:r>
      <w:r w:rsidR="00FB49CC">
        <w:rPr>
          <w:szCs w:val="18"/>
        </w:rPr>
        <w:t xml:space="preserve"> </w:t>
      </w:r>
      <w:r w:rsidR="00D760DD">
        <w:rPr>
          <w:szCs w:val="18"/>
        </w:rPr>
        <w:t xml:space="preserve">uit een derde land </w:t>
      </w:r>
      <w:r w:rsidR="00FB49CC">
        <w:rPr>
          <w:szCs w:val="18"/>
        </w:rPr>
        <w:t>actief op de interne markt</w:t>
      </w:r>
      <w:r w:rsidRPr="00392688" w:rsidR="007B4F84">
        <w:rPr>
          <w:szCs w:val="18"/>
        </w:rPr>
        <w:t xml:space="preserve"> voordeel geniet van een vorm van overheidssteun die </w:t>
      </w:r>
      <w:r w:rsidR="00FB49CC">
        <w:rPr>
          <w:szCs w:val="18"/>
        </w:rPr>
        <w:t>op de interne markt</w:t>
      </w:r>
      <w:r w:rsidRPr="00392688" w:rsidR="007B4F84">
        <w:rPr>
          <w:szCs w:val="18"/>
        </w:rPr>
        <w:t xml:space="preserve"> verboden is, kan </w:t>
      </w:r>
      <w:r w:rsidR="007B4F84">
        <w:rPr>
          <w:szCs w:val="18"/>
        </w:rPr>
        <w:t>een onderzoek worden</w:t>
      </w:r>
      <w:r w:rsidRPr="009523BD" w:rsidR="007B4F84">
        <w:rPr>
          <w:szCs w:val="18"/>
        </w:rPr>
        <w:t xml:space="preserve"> </w:t>
      </w:r>
      <w:r w:rsidR="007B4F84">
        <w:rPr>
          <w:szCs w:val="18"/>
        </w:rPr>
        <w:t>gestart</w:t>
      </w:r>
      <w:r w:rsidR="00F26CC2">
        <w:rPr>
          <w:szCs w:val="18"/>
        </w:rPr>
        <w:t xml:space="preserve"> </w:t>
      </w:r>
      <w:r w:rsidR="00FB49CC">
        <w:rPr>
          <w:szCs w:val="18"/>
        </w:rPr>
        <w:t>op basis waarvan corrigerende</w:t>
      </w:r>
      <w:r w:rsidR="00F26CC2">
        <w:rPr>
          <w:szCs w:val="18"/>
        </w:rPr>
        <w:t xml:space="preserve"> maatregelen worden genomen</w:t>
      </w:r>
      <w:r w:rsidR="007B4F84">
        <w:rPr>
          <w:szCs w:val="18"/>
        </w:rPr>
        <w:t>.</w:t>
      </w:r>
      <w:r w:rsidRPr="00392688" w:rsidR="007B4F84">
        <w:rPr>
          <w:szCs w:val="18"/>
        </w:rPr>
        <w:t xml:space="preserve"> </w:t>
      </w:r>
    </w:p>
    <w:p w:rsidRPr="008A14DE" w:rsidR="007B4F84" w:rsidP="00693FF3" w:rsidRDefault="001F55FF" w14:paraId="18FAD034" w14:textId="77777777">
      <w:pPr>
        <w:pStyle w:val="Lijstalinea"/>
        <w:numPr>
          <w:ilvl w:val="0"/>
          <w:numId w:val="3"/>
        </w:numPr>
        <w:rPr>
          <w:szCs w:val="18"/>
        </w:rPr>
      </w:pPr>
      <w:r>
        <w:rPr>
          <w:szCs w:val="18"/>
        </w:rPr>
        <w:t>Module 2</w:t>
      </w:r>
      <w:r w:rsidR="007B4F84">
        <w:rPr>
          <w:szCs w:val="18"/>
        </w:rPr>
        <w:t xml:space="preserve"> </w:t>
      </w:r>
      <w:r w:rsidRPr="00392688" w:rsidR="007B4F84">
        <w:rPr>
          <w:szCs w:val="18"/>
        </w:rPr>
        <w:t>richt z</w:t>
      </w:r>
      <w:r w:rsidRPr="008A14DE" w:rsidR="007B4F84">
        <w:rPr>
          <w:szCs w:val="18"/>
        </w:rPr>
        <w:t xml:space="preserve">ich specifiek op </w:t>
      </w:r>
      <w:r w:rsidR="007C480E">
        <w:rPr>
          <w:szCs w:val="18"/>
        </w:rPr>
        <w:t>verstoringen</w:t>
      </w:r>
      <w:r w:rsidR="00583EB0">
        <w:rPr>
          <w:szCs w:val="18"/>
        </w:rPr>
        <w:t xml:space="preserve"> veroorzaakt door </w:t>
      </w:r>
      <w:r w:rsidRPr="00053A73" w:rsidR="0094015E">
        <w:rPr>
          <w:i/>
        </w:rPr>
        <w:t xml:space="preserve">subsidies </w:t>
      </w:r>
      <w:r w:rsidRPr="00053A73" w:rsidR="007B4F84">
        <w:rPr>
          <w:i/>
        </w:rPr>
        <w:t>bij overnames</w:t>
      </w:r>
      <w:r w:rsidRPr="008A14DE" w:rsidR="007B4F84">
        <w:rPr>
          <w:szCs w:val="18"/>
        </w:rPr>
        <w:t>. Bedrijven</w:t>
      </w:r>
      <w:r w:rsidR="005643D7">
        <w:rPr>
          <w:szCs w:val="18"/>
        </w:rPr>
        <w:t xml:space="preserve"> </w:t>
      </w:r>
      <w:r w:rsidRPr="008A14DE" w:rsidR="007B4F84">
        <w:rPr>
          <w:szCs w:val="18"/>
        </w:rPr>
        <w:t xml:space="preserve">die </w:t>
      </w:r>
      <w:r w:rsidR="00C936E9">
        <w:rPr>
          <w:szCs w:val="18"/>
        </w:rPr>
        <w:t>overheidssteun</w:t>
      </w:r>
      <w:r w:rsidRPr="008A14DE" w:rsidR="007B4F84">
        <w:rPr>
          <w:szCs w:val="18"/>
        </w:rPr>
        <w:t xml:space="preserve"> genieten </w:t>
      </w:r>
      <w:r w:rsidR="007B4F84">
        <w:rPr>
          <w:szCs w:val="18"/>
        </w:rPr>
        <w:t>en een onderneming op de interne markt over willen nemen,</w:t>
      </w:r>
      <w:r w:rsidRPr="008A14DE" w:rsidR="007B4F84">
        <w:rPr>
          <w:szCs w:val="18"/>
        </w:rPr>
        <w:t xml:space="preserve"> </w:t>
      </w:r>
      <w:r>
        <w:rPr>
          <w:szCs w:val="18"/>
        </w:rPr>
        <w:t>moeten dat</w:t>
      </w:r>
      <w:r w:rsidR="007B4F84">
        <w:rPr>
          <w:szCs w:val="18"/>
        </w:rPr>
        <w:t xml:space="preserve"> melden</w:t>
      </w:r>
      <w:r w:rsidRPr="008A14DE" w:rsidR="007B4F84">
        <w:rPr>
          <w:szCs w:val="18"/>
        </w:rPr>
        <w:t xml:space="preserve"> zodat onderzocht kan worden of er sprake is van oneigenlijk</w:t>
      </w:r>
      <w:r w:rsidR="003E1C5E">
        <w:rPr>
          <w:szCs w:val="18"/>
        </w:rPr>
        <w:t>e</w:t>
      </w:r>
      <w:r w:rsidRPr="008A14DE" w:rsidR="007B4F84">
        <w:rPr>
          <w:szCs w:val="18"/>
        </w:rPr>
        <w:t xml:space="preserve"> </w:t>
      </w:r>
      <w:r w:rsidR="003E1C5E">
        <w:rPr>
          <w:szCs w:val="18"/>
        </w:rPr>
        <w:t xml:space="preserve">overheidssteun </w:t>
      </w:r>
      <w:r w:rsidR="00F26CC2">
        <w:rPr>
          <w:szCs w:val="18"/>
        </w:rPr>
        <w:t>en maatregelen kunnen worden opgelegd</w:t>
      </w:r>
      <w:r w:rsidRPr="008A14DE" w:rsidR="007B4F84">
        <w:rPr>
          <w:szCs w:val="18"/>
        </w:rPr>
        <w:t>.</w:t>
      </w:r>
      <w:r w:rsidRPr="005834D0" w:rsidR="007B4F84">
        <w:t xml:space="preserve"> </w:t>
      </w:r>
    </w:p>
    <w:p w:rsidR="001A7BA8" w:rsidP="00F81BD8" w:rsidRDefault="001E471B" w14:paraId="6912140F" w14:textId="77777777">
      <w:pPr>
        <w:pStyle w:val="Lijstalinea"/>
        <w:numPr>
          <w:ilvl w:val="0"/>
          <w:numId w:val="3"/>
        </w:numPr>
        <w:rPr>
          <w:szCs w:val="18"/>
        </w:rPr>
      </w:pPr>
      <w:r>
        <w:rPr>
          <w:szCs w:val="18"/>
        </w:rPr>
        <w:lastRenderedPageBreak/>
        <w:t>E</w:t>
      </w:r>
      <w:r w:rsidR="001F55FF">
        <w:rPr>
          <w:szCs w:val="18"/>
        </w:rPr>
        <w:t>en aanbestedingsinstrument dat</w:t>
      </w:r>
      <w:r w:rsidR="007B4F84">
        <w:rPr>
          <w:szCs w:val="18"/>
        </w:rPr>
        <w:t xml:space="preserve"> </w:t>
      </w:r>
      <w:r w:rsidRPr="008A14DE" w:rsidR="007B4F84">
        <w:rPr>
          <w:szCs w:val="18"/>
        </w:rPr>
        <w:t xml:space="preserve">voorziet in een </w:t>
      </w:r>
      <w:r w:rsidRPr="00053A73" w:rsidR="007B4F84">
        <w:rPr>
          <w:i/>
        </w:rPr>
        <w:t xml:space="preserve">meldplicht </w:t>
      </w:r>
      <w:r w:rsidRPr="008A14DE" w:rsidR="007B4F84">
        <w:rPr>
          <w:szCs w:val="18"/>
        </w:rPr>
        <w:t xml:space="preserve">voor </w:t>
      </w:r>
      <w:r w:rsidR="007B4F84">
        <w:rPr>
          <w:szCs w:val="18"/>
        </w:rPr>
        <w:t>ondernemingen</w:t>
      </w:r>
      <w:r w:rsidRPr="008A14DE" w:rsidR="007B4F84">
        <w:rPr>
          <w:szCs w:val="18"/>
        </w:rPr>
        <w:t xml:space="preserve"> </w:t>
      </w:r>
      <w:r w:rsidR="007B4F84">
        <w:rPr>
          <w:szCs w:val="18"/>
        </w:rPr>
        <w:t xml:space="preserve">die mogelijk </w:t>
      </w:r>
      <w:r w:rsidR="00A31170">
        <w:rPr>
          <w:szCs w:val="18"/>
        </w:rPr>
        <w:t xml:space="preserve">overheidsondersteuning </w:t>
      </w:r>
      <w:r w:rsidR="007B4F84">
        <w:rPr>
          <w:szCs w:val="18"/>
        </w:rPr>
        <w:t>uit een derde land genieten</w:t>
      </w:r>
      <w:r w:rsidRPr="008A14DE" w:rsidR="007B4F84">
        <w:rPr>
          <w:szCs w:val="18"/>
        </w:rPr>
        <w:t xml:space="preserve"> </w:t>
      </w:r>
      <w:r w:rsidR="007B4F84">
        <w:rPr>
          <w:szCs w:val="18"/>
        </w:rPr>
        <w:t xml:space="preserve">wanneer zij </w:t>
      </w:r>
      <w:r w:rsidRPr="008A14DE" w:rsidR="007B4F84">
        <w:rPr>
          <w:szCs w:val="18"/>
        </w:rPr>
        <w:t xml:space="preserve">op de interne markt </w:t>
      </w:r>
      <w:r w:rsidRPr="00053A73" w:rsidR="007B4F84">
        <w:rPr>
          <w:i/>
        </w:rPr>
        <w:t>inschrijven op een aanbesteding</w:t>
      </w:r>
      <w:r w:rsidRPr="008A14DE" w:rsidR="007B4F84">
        <w:rPr>
          <w:szCs w:val="18"/>
        </w:rPr>
        <w:t>.</w:t>
      </w:r>
    </w:p>
    <w:p w:rsidR="001A7BA8" w:rsidP="001A7BA8" w:rsidRDefault="001A7BA8" w14:paraId="759873FD" w14:textId="77777777">
      <w:pPr>
        <w:rPr>
          <w:szCs w:val="18"/>
        </w:rPr>
      </w:pPr>
    </w:p>
    <w:p w:rsidRPr="001A7BA8" w:rsidR="006B3E07" w:rsidP="001A7BA8" w:rsidRDefault="0094015E" w14:paraId="74A6AA5E" w14:textId="77777777">
      <w:pPr>
        <w:rPr>
          <w:szCs w:val="18"/>
        </w:rPr>
      </w:pPr>
      <w:r w:rsidRPr="001A7BA8">
        <w:rPr>
          <w:szCs w:val="18"/>
        </w:rPr>
        <w:t xml:space="preserve">De Commissie roept verder de vraag op </w:t>
      </w:r>
      <w:r w:rsidRPr="001A7BA8" w:rsidR="007B4F84">
        <w:rPr>
          <w:szCs w:val="18"/>
        </w:rPr>
        <w:t xml:space="preserve">of er aanvullende regulering nodig is als het gaat om toegang </w:t>
      </w:r>
      <w:r w:rsidRPr="001A7BA8" w:rsidR="004364C7">
        <w:rPr>
          <w:szCs w:val="18"/>
        </w:rPr>
        <w:t xml:space="preserve">tot EU-fondsen </w:t>
      </w:r>
      <w:r w:rsidRPr="001A7BA8" w:rsidR="007B4F84">
        <w:rPr>
          <w:szCs w:val="18"/>
        </w:rPr>
        <w:t>v</w:t>
      </w:r>
      <w:r w:rsidRPr="001A7BA8" w:rsidR="004364C7">
        <w:rPr>
          <w:szCs w:val="18"/>
        </w:rPr>
        <w:t>oor</w:t>
      </w:r>
      <w:r w:rsidRPr="001A7BA8" w:rsidR="007B4F84">
        <w:rPr>
          <w:szCs w:val="18"/>
        </w:rPr>
        <w:t xml:space="preserve"> bedrijven die </w:t>
      </w:r>
      <w:r w:rsidRPr="001A7BA8" w:rsidR="00583EB0">
        <w:rPr>
          <w:szCs w:val="18"/>
        </w:rPr>
        <w:t xml:space="preserve">overheidsondersteuning </w:t>
      </w:r>
      <w:r w:rsidRPr="001A7BA8" w:rsidR="007B4F84">
        <w:rPr>
          <w:szCs w:val="18"/>
        </w:rPr>
        <w:t xml:space="preserve">uit derde landen ontvangen. </w:t>
      </w:r>
      <w:r w:rsidRPr="001A7BA8" w:rsidR="0001194B">
        <w:rPr>
          <w:szCs w:val="18"/>
        </w:rPr>
        <w:t>Nederland</w:t>
      </w:r>
      <w:r w:rsidRPr="001A7BA8" w:rsidR="00EA4614">
        <w:rPr>
          <w:szCs w:val="18"/>
        </w:rPr>
        <w:t xml:space="preserve"> staat positief tegenover nader onderzoek </w:t>
      </w:r>
      <w:r w:rsidR="002D63FA">
        <w:rPr>
          <w:szCs w:val="18"/>
        </w:rPr>
        <w:t>op dit vlak</w:t>
      </w:r>
      <w:r w:rsidRPr="001A7BA8" w:rsidR="00EA4614">
        <w:rPr>
          <w:szCs w:val="18"/>
        </w:rPr>
        <w:t xml:space="preserve">. </w:t>
      </w:r>
      <w:r w:rsidR="00EA75EB">
        <w:rPr>
          <w:szCs w:val="18"/>
        </w:rPr>
        <w:t xml:space="preserve">Daarbij </w:t>
      </w:r>
      <w:r w:rsidR="002D63FA">
        <w:rPr>
          <w:szCs w:val="18"/>
        </w:rPr>
        <w:t>zou onderzocht moeten worden</w:t>
      </w:r>
      <w:r w:rsidRPr="00EA75EB" w:rsidR="00EA75EB">
        <w:rPr>
          <w:szCs w:val="18"/>
        </w:rPr>
        <w:t xml:space="preserve"> of het beperken van de toegang tot deze fondsen in de praktijk</w:t>
      </w:r>
      <w:r w:rsidR="00EA75EB">
        <w:rPr>
          <w:szCs w:val="18"/>
        </w:rPr>
        <w:t xml:space="preserve"> uitvoerbaar </w:t>
      </w:r>
      <w:r w:rsidR="002D63FA">
        <w:rPr>
          <w:szCs w:val="18"/>
        </w:rPr>
        <w:t>is</w:t>
      </w:r>
      <w:r w:rsidR="00EA75EB">
        <w:rPr>
          <w:szCs w:val="18"/>
        </w:rPr>
        <w:t xml:space="preserve"> en niet tot te hoge administratieve lasten zou leiden</w:t>
      </w:r>
      <w:r w:rsidRPr="00EA75EB" w:rsidR="00EA75EB">
        <w:rPr>
          <w:szCs w:val="18"/>
        </w:rPr>
        <w:t>. Het kabinet vindt het van belang dat de verschillende belangen goed worden onderzocht, wanneer de Europese Commissie vervolgstappen zou willen zetten in dit kader</w:t>
      </w:r>
      <w:r w:rsidR="00EA75EB">
        <w:rPr>
          <w:szCs w:val="18"/>
        </w:rPr>
        <w:t>.</w:t>
      </w:r>
    </w:p>
    <w:p w:rsidRPr="006B3E07" w:rsidR="009C5ECD" w:rsidP="00F81BD8" w:rsidRDefault="009C5ECD" w14:paraId="38E2C2EC" w14:textId="77777777">
      <w:pPr>
        <w:contextualSpacing/>
        <w:rPr>
          <w:szCs w:val="18"/>
        </w:rPr>
      </w:pPr>
    </w:p>
    <w:p w:rsidR="00053A73" w:rsidP="00F81BD8" w:rsidRDefault="007D41B1" w14:paraId="6E5CAB6D" w14:textId="5EE22369">
      <w:pPr>
        <w:contextualSpacing/>
        <w:rPr>
          <w:i/>
          <w:iCs/>
          <w:szCs w:val="18"/>
        </w:rPr>
      </w:pPr>
      <w:r w:rsidRPr="007D41B1">
        <w:rPr>
          <w:szCs w:val="18"/>
        </w:rPr>
        <w:t>De probleemanalyse van de Commissie komt sterk overeen met de kabinetsinzet voor het realiseren van een gelijk speelveld op de interne markt.</w:t>
      </w:r>
      <w:r w:rsidRPr="007D41B1">
        <w:rPr>
          <w:rStyle w:val="Voetnootmarkering"/>
          <w:szCs w:val="18"/>
        </w:rPr>
        <w:footnoteReference w:id="6"/>
      </w:r>
      <w:r w:rsidRPr="007D41B1">
        <w:rPr>
          <w:szCs w:val="18"/>
        </w:rPr>
        <w:t xml:space="preserve"> Het Nederlandse voorstel voor een </w:t>
      </w:r>
      <w:r w:rsidRPr="007D41B1">
        <w:rPr>
          <w:i/>
          <w:iCs/>
          <w:szCs w:val="18"/>
        </w:rPr>
        <w:t xml:space="preserve">level </w:t>
      </w:r>
      <w:proofErr w:type="spellStart"/>
      <w:r w:rsidRPr="007D41B1">
        <w:rPr>
          <w:i/>
          <w:iCs/>
          <w:szCs w:val="18"/>
        </w:rPr>
        <w:t>playing</w:t>
      </w:r>
      <w:proofErr w:type="spellEnd"/>
      <w:r w:rsidRPr="007D41B1">
        <w:rPr>
          <w:i/>
          <w:iCs/>
          <w:szCs w:val="18"/>
        </w:rPr>
        <w:t xml:space="preserve"> field instrument</w:t>
      </w:r>
      <w:r w:rsidRPr="007D41B1">
        <w:rPr>
          <w:szCs w:val="18"/>
        </w:rPr>
        <w:t xml:space="preserve"> is door Nederland als voorgestelde oplossingsrichting neergelegd. Dit witboek bouwt voort op </w:t>
      </w:r>
      <w:r w:rsidR="002D63FA">
        <w:rPr>
          <w:szCs w:val="18"/>
        </w:rPr>
        <w:t>het</w:t>
      </w:r>
      <w:r w:rsidRPr="007D41B1" w:rsidR="002D63FA">
        <w:rPr>
          <w:szCs w:val="18"/>
        </w:rPr>
        <w:t xml:space="preserve"> </w:t>
      </w:r>
      <w:r w:rsidRPr="007D41B1">
        <w:rPr>
          <w:szCs w:val="18"/>
        </w:rPr>
        <w:t>Nederlandse voorstel</w:t>
      </w:r>
      <w:r w:rsidR="002D63FA">
        <w:rPr>
          <w:szCs w:val="18"/>
        </w:rPr>
        <w:t xml:space="preserve">, dat in het witboek ook expliciet wordt genoemd. </w:t>
      </w:r>
      <w:r w:rsidRPr="007D41B1">
        <w:rPr>
          <w:szCs w:val="18"/>
        </w:rPr>
        <w:t xml:space="preserve">Net als Nederland </w:t>
      </w:r>
      <w:r w:rsidRPr="007D41B1" w:rsidR="002D63FA">
        <w:rPr>
          <w:szCs w:val="18"/>
        </w:rPr>
        <w:t>stelt de Commissie een uitgebreider en strenger toezicht voor op de interne markt</w:t>
      </w:r>
      <w:r w:rsidR="002D63FA">
        <w:rPr>
          <w:szCs w:val="18"/>
        </w:rPr>
        <w:t xml:space="preserve"> voor, omdat </w:t>
      </w:r>
      <w:r w:rsidRPr="007D41B1">
        <w:rPr>
          <w:szCs w:val="18"/>
        </w:rPr>
        <w:t>bedrijven</w:t>
      </w:r>
      <w:r w:rsidR="002D63FA">
        <w:rPr>
          <w:szCs w:val="18"/>
        </w:rPr>
        <w:t xml:space="preserve"> die </w:t>
      </w:r>
      <w:r w:rsidRPr="007D41B1">
        <w:rPr>
          <w:szCs w:val="18"/>
        </w:rPr>
        <w:t xml:space="preserve">actief </w:t>
      </w:r>
      <w:r w:rsidR="002D63FA">
        <w:rPr>
          <w:szCs w:val="18"/>
        </w:rPr>
        <w:t xml:space="preserve">zijn </w:t>
      </w:r>
      <w:r w:rsidRPr="007D41B1">
        <w:rPr>
          <w:szCs w:val="18"/>
        </w:rPr>
        <w:t>op de interne markt</w:t>
      </w:r>
      <w:r w:rsidR="002D63FA">
        <w:rPr>
          <w:szCs w:val="18"/>
        </w:rPr>
        <w:t xml:space="preserve"> en die </w:t>
      </w:r>
      <w:r w:rsidRPr="007D41B1">
        <w:rPr>
          <w:szCs w:val="18"/>
        </w:rPr>
        <w:t xml:space="preserve">door </w:t>
      </w:r>
      <w:r w:rsidR="002352E6">
        <w:rPr>
          <w:szCs w:val="18"/>
        </w:rPr>
        <w:t>overheidssteun</w:t>
      </w:r>
      <w:r w:rsidRPr="007D41B1" w:rsidR="002352E6">
        <w:rPr>
          <w:szCs w:val="18"/>
        </w:rPr>
        <w:t xml:space="preserve"> </w:t>
      </w:r>
      <w:r w:rsidRPr="007D41B1">
        <w:rPr>
          <w:szCs w:val="18"/>
        </w:rPr>
        <w:t>oneerlijk concurreren met EU-ondernemers</w:t>
      </w:r>
      <w:r w:rsidR="002D63FA">
        <w:rPr>
          <w:szCs w:val="18"/>
        </w:rPr>
        <w:t>,</w:t>
      </w:r>
      <w:r w:rsidRPr="007D41B1">
        <w:rPr>
          <w:szCs w:val="18"/>
        </w:rPr>
        <w:t xml:space="preserve"> een toenemend probleem vormen</w:t>
      </w:r>
      <w:r w:rsidR="002D63FA">
        <w:rPr>
          <w:szCs w:val="18"/>
        </w:rPr>
        <w:t>.</w:t>
      </w:r>
    </w:p>
    <w:p w:rsidR="00B12EE1" w:rsidP="00F81BD8" w:rsidRDefault="00B12EE1" w14:paraId="742970AD" w14:textId="77777777">
      <w:pPr>
        <w:contextualSpacing/>
        <w:rPr>
          <w:i/>
          <w:iCs/>
          <w:szCs w:val="18"/>
        </w:rPr>
      </w:pPr>
    </w:p>
    <w:p w:rsidRPr="007D41B1" w:rsidR="007B28B0" w:rsidP="00F81BD8" w:rsidRDefault="007B28B0" w14:paraId="74D49541" w14:textId="77777777">
      <w:pPr>
        <w:contextualSpacing/>
        <w:rPr>
          <w:i/>
          <w:iCs/>
          <w:szCs w:val="18"/>
        </w:rPr>
      </w:pPr>
    </w:p>
    <w:p w:rsidRPr="006B3E07" w:rsidR="007B4F84" w:rsidP="00F81BD8" w:rsidRDefault="006B3E07" w14:paraId="1A6EDAEC" w14:textId="77777777">
      <w:pPr>
        <w:contextualSpacing/>
        <w:rPr>
          <w:i/>
          <w:iCs/>
          <w:szCs w:val="18"/>
          <w:u w:val="single"/>
        </w:rPr>
      </w:pPr>
      <w:r>
        <w:rPr>
          <w:i/>
          <w:iCs/>
          <w:szCs w:val="18"/>
          <w:u w:val="single"/>
        </w:rPr>
        <w:t>1.</w:t>
      </w:r>
      <w:r w:rsidR="0001194B">
        <w:rPr>
          <w:i/>
          <w:iCs/>
          <w:szCs w:val="18"/>
          <w:u w:val="single"/>
        </w:rPr>
        <w:t xml:space="preserve"> </w:t>
      </w:r>
      <w:r w:rsidRPr="006B3E07">
        <w:rPr>
          <w:i/>
          <w:iCs/>
          <w:szCs w:val="18"/>
          <w:u w:val="single"/>
        </w:rPr>
        <w:t>Voorstel</w:t>
      </w:r>
      <w:r w:rsidR="00421559">
        <w:rPr>
          <w:i/>
          <w:iCs/>
          <w:szCs w:val="18"/>
          <w:u w:val="single"/>
        </w:rPr>
        <w:t xml:space="preserve">len voor </w:t>
      </w:r>
      <w:r w:rsidR="00AF01B1">
        <w:rPr>
          <w:i/>
          <w:iCs/>
          <w:szCs w:val="18"/>
          <w:u w:val="single"/>
        </w:rPr>
        <w:t xml:space="preserve">overheidssteun </w:t>
      </w:r>
      <w:r w:rsidR="00421559">
        <w:rPr>
          <w:i/>
          <w:iCs/>
          <w:szCs w:val="18"/>
          <w:u w:val="single"/>
        </w:rPr>
        <w:t>uit derde landen</w:t>
      </w:r>
      <w:r w:rsidR="007C480E">
        <w:rPr>
          <w:i/>
          <w:iCs/>
          <w:szCs w:val="18"/>
          <w:u w:val="single"/>
        </w:rPr>
        <w:t>,</w:t>
      </w:r>
      <w:r w:rsidR="00421559">
        <w:rPr>
          <w:i/>
          <w:iCs/>
          <w:szCs w:val="18"/>
          <w:u w:val="single"/>
        </w:rPr>
        <w:t xml:space="preserve"> en </w:t>
      </w:r>
      <w:r w:rsidR="00D84AAE">
        <w:rPr>
          <w:i/>
          <w:iCs/>
          <w:szCs w:val="18"/>
          <w:u w:val="single"/>
        </w:rPr>
        <w:t xml:space="preserve">specifiek </w:t>
      </w:r>
      <w:r w:rsidR="00421559">
        <w:rPr>
          <w:i/>
          <w:iCs/>
          <w:szCs w:val="18"/>
          <w:u w:val="single"/>
        </w:rPr>
        <w:t>bij overnames (</w:t>
      </w:r>
      <w:r w:rsidRPr="006B3E07">
        <w:rPr>
          <w:i/>
          <w:iCs/>
          <w:szCs w:val="18"/>
          <w:u w:val="single"/>
        </w:rPr>
        <w:t>module 1 en 2</w:t>
      </w:r>
      <w:r w:rsidR="00421559">
        <w:rPr>
          <w:i/>
          <w:iCs/>
          <w:szCs w:val="18"/>
          <w:u w:val="single"/>
        </w:rPr>
        <w:t>)</w:t>
      </w:r>
    </w:p>
    <w:p w:rsidR="00CA435E" w:rsidP="00F81BD8" w:rsidRDefault="00CA435E" w14:paraId="29D15066" w14:textId="77777777">
      <w:pPr>
        <w:contextualSpacing/>
        <w:rPr>
          <w:i/>
        </w:rPr>
      </w:pPr>
    </w:p>
    <w:p w:rsidRPr="00D628DD" w:rsidR="002732F2" w:rsidP="00F81BD8" w:rsidRDefault="00CA435E" w14:paraId="5E062987" w14:textId="77777777">
      <w:pPr>
        <w:contextualSpacing/>
        <w:rPr>
          <w:i/>
          <w:iCs/>
          <w:szCs w:val="18"/>
          <w:u w:val="single"/>
        </w:rPr>
      </w:pPr>
      <w:r w:rsidRPr="00D628DD">
        <w:rPr>
          <w:i/>
          <w:u w:val="single"/>
        </w:rPr>
        <w:t>1.1.</w:t>
      </w:r>
      <w:r w:rsidRPr="00D628DD">
        <w:rPr>
          <w:i/>
          <w:u w:val="single"/>
        </w:rPr>
        <w:tab/>
      </w:r>
      <w:r w:rsidRPr="00D628DD" w:rsidR="002732F2">
        <w:rPr>
          <w:i/>
          <w:u w:val="single"/>
        </w:rPr>
        <w:t>Module 1</w:t>
      </w:r>
    </w:p>
    <w:p w:rsidR="00D24092" w:rsidP="00F81BD8" w:rsidRDefault="002732F2" w14:paraId="2D73FD08" w14:textId="24F2C191">
      <w:pPr>
        <w:contextualSpacing/>
      </w:pPr>
      <w:r>
        <w:rPr>
          <w:szCs w:val="18"/>
        </w:rPr>
        <w:t>Deze module</w:t>
      </w:r>
      <w:r w:rsidR="0005252E">
        <w:rPr>
          <w:szCs w:val="18"/>
        </w:rPr>
        <w:t xml:space="preserve"> zou</w:t>
      </w:r>
      <w:r w:rsidR="006B3E07">
        <w:rPr>
          <w:szCs w:val="18"/>
        </w:rPr>
        <w:t xml:space="preserve"> inzetbaar zijn bij alle vormen van </w:t>
      </w:r>
      <w:r w:rsidR="00421559">
        <w:rPr>
          <w:szCs w:val="18"/>
        </w:rPr>
        <w:t xml:space="preserve">concurrentieverstoring </w:t>
      </w:r>
      <w:r w:rsidR="006B3E07">
        <w:t>door</w:t>
      </w:r>
      <w:r w:rsidR="00D24092">
        <w:t xml:space="preserve"> </w:t>
      </w:r>
      <w:r w:rsidR="006B3E07">
        <w:t>overheids</w:t>
      </w:r>
      <w:r w:rsidR="00D24092">
        <w:t>onder</w:t>
      </w:r>
      <w:r w:rsidR="006B3E07">
        <w:t>steun</w:t>
      </w:r>
      <w:r w:rsidR="00D24092">
        <w:t>ing</w:t>
      </w:r>
      <w:r w:rsidR="006B3E07">
        <w:t xml:space="preserve"> </w:t>
      </w:r>
      <w:r w:rsidR="00D24092">
        <w:t>van</w:t>
      </w:r>
      <w:r w:rsidR="00A31170">
        <w:t xml:space="preserve">uit een derde land </w:t>
      </w:r>
      <w:r w:rsidR="006B3E07">
        <w:t xml:space="preserve">waarbij de begunstigde partij gevestigd </w:t>
      </w:r>
      <w:r w:rsidR="00845D3B">
        <w:t xml:space="preserve">is in, </w:t>
      </w:r>
      <w:r w:rsidR="006B3E07">
        <w:t xml:space="preserve">of actief is </w:t>
      </w:r>
      <w:r w:rsidR="00845D3B">
        <w:t xml:space="preserve">op, </w:t>
      </w:r>
      <w:r w:rsidR="006B3E07">
        <w:t>de interne markt</w:t>
      </w:r>
      <w:r w:rsidR="00421559">
        <w:t xml:space="preserve">. </w:t>
      </w:r>
      <w:r w:rsidR="00CC3894">
        <w:t xml:space="preserve">De Commissie noemt twee mogelijkheden om de reikwijdte van module 1 te bepalen. De module zou </w:t>
      </w:r>
      <w:r w:rsidR="00D24092">
        <w:t xml:space="preserve">in ieder geval </w:t>
      </w:r>
      <w:r w:rsidR="00364F8F">
        <w:t>van toepassing worden op</w:t>
      </w:r>
      <w:r w:rsidR="00D24092">
        <w:t xml:space="preserve"> </w:t>
      </w:r>
      <w:r w:rsidR="00F13018">
        <w:t xml:space="preserve">ondernemingen uit derde landen </w:t>
      </w:r>
      <w:r w:rsidR="00D24092">
        <w:t xml:space="preserve">die </w:t>
      </w:r>
      <w:r w:rsidR="00F13018">
        <w:t>een dochteronderneming hebben gevestigd in de EU</w:t>
      </w:r>
      <w:r w:rsidR="00D24092">
        <w:t xml:space="preserve">. </w:t>
      </w:r>
      <w:r w:rsidR="00CC3894">
        <w:t xml:space="preserve">De reikwijdte kan uitgebreid worden door module 1 ook van toepassing te laten zijn op ondernemingen </w:t>
      </w:r>
      <w:r w:rsidR="00F13018">
        <w:t>uit derde landen die actief zijn op de interne markt van de EU door</w:t>
      </w:r>
      <w:r w:rsidR="00364F8F">
        <w:t>dat ze</w:t>
      </w:r>
      <w:r w:rsidR="00F13018">
        <w:t xml:space="preserve"> goederen of diensten </w:t>
      </w:r>
      <w:r w:rsidR="00364F8F">
        <w:t>exporteren naar</w:t>
      </w:r>
      <w:r w:rsidR="00F13018">
        <w:t xml:space="preserve"> de EU of investeringen verrichten in de EU</w:t>
      </w:r>
      <w:r w:rsidR="00364F8F">
        <w:t>.</w:t>
      </w:r>
    </w:p>
    <w:p w:rsidR="00D24092" w:rsidP="00F81BD8" w:rsidRDefault="00D24092" w14:paraId="55BEDF57" w14:textId="77777777">
      <w:pPr>
        <w:contextualSpacing/>
      </w:pPr>
    </w:p>
    <w:p w:rsidR="00364F8F" w:rsidP="00364F8F" w:rsidRDefault="00364F8F" w14:paraId="168AF8BB" w14:textId="77777777">
      <w:pPr>
        <w:contextualSpacing/>
      </w:pPr>
      <w:r>
        <w:t xml:space="preserve">Het huidige voorstel voorziet in een op elkaar afgestemde bevoegdheidsuitoefening door de Commissie en daartoe aangewezen nationale toezichthouders. Het samenwerkingsmodel tussen de Europese Commissie en nationale toezichthouders in het kader van het mededingingstoezicht (Verordening (EG) nr. 1/2003) wordt in dit kader als voorbeeld genoemd. </w:t>
      </w:r>
      <w:r w:rsidR="002B3076">
        <w:t xml:space="preserve">De procedure bij Module 1 zou bestaan uit twee stappen. </w:t>
      </w:r>
      <w:r>
        <w:t>Op basis van beschikbare informatie, bijvoorbeeld via signalen van marktpartijen, kan de Europese Commissie of een nationale toezichthouder op eigen initiatief een voorlopig onderzoek starten</w:t>
      </w:r>
      <w:r w:rsidR="002B3076">
        <w:t xml:space="preserve"> (eerste stap). In dat geval wordt beoordeeld</w:t>
      </w:r>
      <w:r>
        <w:t xml:space="preserve"> of sprake is van overheidsondersteuning </w:t>
      </w:r>
      <w:r w:rsidR="002B3076">
        <w:t xml:space="preserve">uit derde landen </w:t>
      </w:r>
      <w:r>
        <w:t xml:space="preserve">en of deze overheidsondersteuning de concurrentieverhoudingen op de interne markt mogelijk verstoort, of dat het onderzoek kan worden stopgezet. </w:t>
      </w:r>
    </w:p>
    <w:p w:rsidR="00C00010" w:rsidP="00F81BD8" w:rsidRDefault="00C00010" w14:paraId="6C74D587" w14:textId="77777777">
      <w:pPr>
        <w:contextualSpacing/>
      </w:pPr>
    </w:p>
    <w:p w:rsidRPr="009F2C3D" w:rsidR="00364F8F" w:rsidP="00364F8F" w:rsidRDefault="00364F8F" w14:paraId="593093B4" w14:textId="335E82A5">
      <w:pPr>
        <w:contextualSpacing/>
      </w:pPr>
      <w:r>
        <w:t>Wanneer de toezichthouder concludeert dat de concurrentieverhoudingen mogelijk worden verstoor</w:t>
      </w:r>
      <w:r w:rsidR="00972C57">
        <w:t>d</w:t>
      </w:r>
      <w:r>
        <w:t xml:space="preserve"> door de overheidssteun, wordt een diepgaand onderzoek gestart</w:t>
      </w:r>
      <w:r w:rsidR="002B3076">
        <w:t xml:space="preserve"> (tweede stap)</w:t>
      </w:r>
      <w:r>
        <w:t xml:space="preserve">. Indien de toezichthouder concludeert dat de overheidssteun inderdaad heeft geleid tot verstoring van de interne markt, kan de toezichthouder maatregelen opleggen aan de betreffende onderneming om deze verstoring op te heffen. Hierbij geldt dat de verstoring moet worden afgewogen tegen de mogelijke positieve bijdrage van de overheidssteun aan publieke belangen als het klimaatbeleid, publieke veiligheid, het creëren van banen en de digitale transformatie (de EU-belangentoets). Bij deze module is geen sprake van een notificatiemechanisme op basis waarvan een onderzoek wordt gestart. </w:t>
      </w:r>
      <w:r w:rsidR="009F2C3D">
        <w:t>Daarbij geld</w:t>
      </w:r>
      <w:r w:rsidR="002D63FA">
        <w:t>e</w:t>
      </w:r>
      <w:r w:rsidR="0034438F">
        <w:t>n</w:t>
      </w:r>
      <w:r w:rsidR="009F2C3D">
        <w:t xml:space="preserve"> voor buitenlandse subsidies dezelfde </w:t>
      </w:r>
      <w:r w:rsidR="009F2C3D">
        <w:rPr>
          <w:i/>
          <w:iCs/>
        </w:rPr>
        <w:t xml:space="preserve">de </w:t>
      </w:r>
      <w:proofErr w:type="spellStart"/>
      <w:r w:rsidR="009F2C3D">
        <w:rPr>
          <w:i/>
          <w:iCs/>
        </w:rPr>
        <w:t>minimis</w:t>
      </w:r>
      <w:proofErr w:type="spellEnd"/>
      <w:r w:rsidR="009F2C3D">
        <w:rPr>
          <w:i/>
          <w:iCs/>
        </w:rPr>
        <w:t xml:space="preserve"> </w:t>
      </w:r>
      <w:r w:rsidR="009F2C3D">
        <w:t xml:space="preserve">bedragen als voor </w:t>
      </w:r>
      <w:r w:rsidR="002B3076">
        <w:t>staatssteun binnen de EU</w:t>
      </w:r>
      <w:r w:rsidR="009F2C3D">
        <w:t xml:space="preserve">. </w:t>
      </w:r>
    </w:p>
    <w:p w:rsidR="006B3E07" w:rsidP="00F81BD8" w:rsidRDefault="006B3E07" w14:paraId="379F3D61" w14:textId="77777777">
      <w:pPr>
        <w:contextualSpacing/>
      </w:pPr>
    </w:p>
    <w:p w:rsidR="003163FE" w:rsidP="00F81BD8" w:rsidRDefault="006264F1" w14:paraId="730275AC" w14:textId="1AE3453E">
      <w:pPr>
        <w:contextualSpacing/>
      </w:pPr>
      <w:r>
        <w:lastRenderedPageBreak/>
        <w:t xml:space="preserve">Als eerste mogelijke maatregel </w:t>
      </w:r>
      <w:r w:rsidR="005E12A0">
        <w:t xml:space="preserve">om de onderzochte concurrentieverstoring op te heffen, </w:t>
      </w:r>
      <w:r w:rsidR="006B3E07">
        <w:t xml:space="preserve">noemt de Commissie het verplicht terugbetalen van de </w:t>
      </w:r>
      <w:r w:rsidR="00AF01B1">
        <w:t xml:space="preserve">overheidssteun </w:t>
      </w:r>
      <w:r w:rsidR="006B3E07">
        <w:t>aan het derde land – waarbij terecht wordt opgemerkt dat dit zelden een kansrijke maatregel is, omdat vaak niet kan worden vastgesteld of een subsidie daadwerkelijk en in zijn geheel wordt terugbetaald. Als meer kansrijke maatregelen noemt de Commissie verschillende structurele (</w:t>
      </w:r>
      <w:proofErr w:type="spellStart"/>
      <w:r w:rsidR="006B3E07">
        <w:t>gedrags</w:t>
      </w:r>
      <w:proofErr w:type="spellEnd"/>
      <w:r w:rsidR="006B3E07">
        <w:t xml:space="preserve">)maatregelen en herstelbetalingen, waarbij de uiteindelijk op te leggen maatregel afhangt van het type </w:t>
      </w:r>
      <w:r w:rsidR="00AF01B1">
        <w:t xml:space="preserve">overheidssteun </w:t>
      </w:r>
      <w:r w:rsidR="006B3E07">
        <w:t xml:space="preserve">en het effect op de interne markt. </w:t>
      </w:r>
      <w:r w:rsidR="00B839D5">
        <w:t>Hierbij kan gedacht worden aan het verplicht afstoten van bedrijfsonderdelen, compenserende betalingen aan de EU of lidstaten en het verbieden van bepaalde (toekomstige) investeringen of marktgedragingen.</w:t>
      </w:r>
      <w:r w:rsidR="009F2C3D">
        <w:t xml:space="preserve"> Dit is in lijn met de door Nederland voorgestelde handhavingsopties</w:t>
      </w:r>
      <w:r w:rsidR="002B3076">
        <w:t xml:space="preserve"> in het kader van het </w:t>
      </w:r>
      <w:r w:rsidRPr="001758A8" w:rsidR="002B3076">
        <w:rPr>
          <w:i/>
          <w:iCs/>
        </w:rPr>
        <w:t xml:space="preserve">level </w:t>
      </w:r>
      <w:proofErr w:type="spellStart"/>
      <w:r w:rsidRPr="001758A8" w:rsidR="002B3076">
        <w:rPr>
          <w:i/>
          <w:iCs/>
        </w:rPr>
        <w:t>playing</w:t>
      </w:r>
      <w:proofErr w:type="spellEnd"/>
      <w:r w:rsidRPr="001758A8" w:rsidR="002B3076">
        <w:rPr>
          <w:i/>
          <w:iCs/>
        </w:rPr>
        <w:t xml:space="preserve"> field instrument.</w:t>
      </w:r>
      <w:r w:rsidR="009F2C3D">
        <w:t xml:space="preserve"> </w:t>
      </w:r>
    </w:p>
    <w:p w:rsidR="006B3E07" w:rsidP="00F81BD8" w:rsidRDefault="006B3E07" w14:paraId="4069339B" w14:textId="77777777">
      <w:pPr>
        <w:contextualSpacing/>
      </w:pPr>
    </w:p>
    <w:p w:rsidRPr="00D628DD" w:rsidR="006B3E07" w:rsidP="00F81BD8" w:rsidRDefault="00CA435E" w14:paraId="1EED9F59" w14:textId="77777777">
      <w:pPr>
        <w:contextualSpacing/>
        <w:rPr>
          <w:szCs w:val="18"/>
          <w:u w:val="single"/>
        </w:rPr>
      </w:pPr>
      <w:r w:rsidRPr="00D628DD">
        <w:rPr>
          <w:i/>
          <w:iCs/>
          <w:u w:val="single"/>
        </w:rPr>
        <w:t>1.2.</w:t>
      </w:r>
      <w:r w:rsidRPr="00D628DD">
        <w:rPr>
          <w:i/>
          <w:iCs/>
          <w:u w:val="single"/>
        </w:rPr>
        <w:tab/>
      </w:r>
      <w:r w:rsidRPr="00D628DD" w:rsidR="006B3E07">
        <w:rPr>
          <w:i/>
          <w:iCs/>
          <w:u w:val="single"/>
        </w:rPr>
        <w:t>Module 2</w:t>
      </w:r>
    </w:p>
    <w:p w:rsidR="00AA1999" w:rsidP="00AA1999" w:rsidRDefault="00A4319D" w14:paraId="1D06CB3D" w14:textId="77FAD4BE">
      <w:pPr>
        <w:contextualSpacing/>
        <w:rPr>
          <w:szCs w:val="18"/>
        </w:rPr>
      </w:pPr>
      <w:r>
        <w:rPr>
          <w:noProof/>
        </w:rPr>
        <mc:AlternateContent>
          <mc:Choice Requires="wps">
            <w:drawing>
              <wp:anchor distT="45720" distB="45720" distL="114300" distR="114300" simplePos="0" relativeHeight="251659264" behindDoc="0" locked="0" layoutInCell="1" allowOverlap="1" wp14:editId="3C1109C9" wp14:anchorId="5D2B7676">
                <wp:simplePos x="0" y="0"/>
                <wp:positionH relativeFrom="margin">
                  <wp:posOffset>-4445</wp:posOffset>
                </wp:positionH>
                <wp:positionV relativeFrom="paragraph">
                  <wp:posOffset>1719580</wp:posOffset>
                </wp:positionV>
                <wp:extent cx="5848350" cy="17145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714500"/>
                        </a:xfrm>
                        <a:prstGeom prst="rect">
                          <a:avLst/>
                        </a:prstGeom>
                        <a:solidFill>
                          <a:srgbClr val="FFFFFF"/>
                        </a:solidFill>
                        <a:ln w="9525">
                          <a:solidFill>
                            <a:srgbClr val="000000"/>
                          </a:solidFill>
                          <a:miter lim="800000"/>
                          <a:headEnd/>
                          <a:tailEnd/>
                        </a:ln>
                      </wps:spPr>
                      <wps:txbx>
                        <w:txbxContent>
                          <w:p w:rsidRPr="0001194B" w:rsidR="00382485" w:rsidP="00382485" w:rsidRDefault="00382485" w14:paraId="376B5418" w14:textId="77777777">
                            <w:pPr>
                              <w:pStyle w:val="Tekstopmerking"/>
                              <w:rPr>
                                <w:b/>
                                <w:bCs/>
                                <w:sz w:val="16"/>
                                <w:szCs w:val="16"/>
                              </w:rPr>
                            </w:pPr>
                            <w:r w:rsidRPr="001A7BA8">
                              <w:rPr>
                                <w:b/>
                                <w:bCs/>
                                <w:sz w:val="16"/>
                                <w:szCs w:val="16"/>
                              </w:rPr>
                              <w:t>FDI-screeningsverordening</w:t>
                            </w:r>
                          </w:p>
                          <w:p w:rsidRPr="00A4319D" w:rsidR="00382485" w:rsidP="00A4319D" w:rsidRDefault="00382485" w14:paraId="2B85DD62" w14:textId="6F002008">
                            <w:pPr>
                              <w:pStyle w:val="Tekstopmerking"/>
                              <w:rPr>
                                <w:sz w:val="16"/>
                                <w:szCs w:val="16"/>
                              </w:rPr>
                            </w:pPr>
                            <w:r w:rsidRPr="0001194B">
                              <w:rPr>
                                <w:sz w:val="16"/>
                                <w:szCs w:val="16"/>
                              </w:rPr>
                              <w:t xml:space="preserve">De FDI-screeningsverordening faciliteert de samenwerking en informatiedeling voor het beoordelen van directe investeringen voor de risico’s op veiligheid </w:t>
                            </w:r>
                            <w:r>
                              <w:rPr>
                                <w:sz w:val="16"/>
                                <w:szCs w:val="16"/>
                              </w:rPr>
                              <w:t>en openbare orde</w:t>
                            </w:r>
                            <w:r w:rsidRPr="0001194B">
                              <w:rPr>
                                <w:sz w:val="16"/>
                                <w:szCs w:val="16"/>
                              </w:rPr>
                              <w:t>. De in het witboek voorgestelde instrumenten dienen een ander doel, namelijk het aanpakken van verstoringen van de mededinging die worden veroorzaakt door overheidssteun door een derde land</w:t>
                            </w:r>
                            <w:r>
                              <w:rPr>
                                <w:sz w:val="16"/>
                                <w:szCs w:val="16"/>
                              </w:rPr>
                              <w:t xml:space="preserve">. </w:t>
                            </w:r>
                            <w:r w:rsidRPr="0001194B">
                              <w:rPr>
                                <w:sz w:val="16"/>
                                <w:szCs w:val="16"/>
                              </w:rPr>
                              <w:t xml:space="preserve">Zoals de Commissie in het witboek opmerkt, kan er een </w:t>
                            </w:r>
                            <w:r w:rsidRPr="00A4319D">
                              <w:rPr>
                                <w:sz w:val="16"/>
                                <w:szCs w:val="16"/>
                              </w:rPr>
                              <w:t xml:space="preserve">procedurele overlap ontstaan tussen beide instrumenten wanneer een overname gefaciliteerd wordt door een buitenlandse subsidie, en dit eveneens aanleiding geeft tot bezorgdheid over veiligheid en openbare orde. Dit kan leiden tot parallelle procedures die onafhankelijk van elkaar kunnen bestaan, omdat ze verschillende doelen nastreven. </w:t>
                            </w:r>
                          </w:p>
                          <w:p w:rsidRPr="00A4319D" w:rsidR="00382485" w:rsidP="00A4319D" w:rsidRDefault="00382485" w14:paraId="498AC913" w14:textId="77777777">
                            <w:pPr>
                              <w:spacing w:line="240" w:lineRule="auto"/>
                              <w:rPr>
                                <w:sz w:val="16"/>
                                <w:szCs w:val="16"/>
                              </w:rPr>
                            </w:pPr>
                          </w:p>
                          <w:p w:rsidRPr="00A4319D" w:rsidR="00382485" w:rsidP="00A4319D" w:rsidRDefault="008914DB" w14:paraId="6C50BAE3" w14:textId="6E8B1C1E">
                            <w:pPr>
                              <w:spacing w:line="240" w:lineRule="auto"/>
                              <w:rPr>
                                <w:sz w:val="16"/>
                                <w:szCs w:val="16"/>
                              </w:rPr>
                            </w:pPr>
                            <w:r>
                              <w:rPr>
                                <w:sz w:val="16"/>
                                <w:szCs w:val="16"/>
                              </w:rPr>
                              <w:t xml:space="preserve">Nederland ziet graag meer verduidelijking over de relatie tussen de instrumenten in het witboek en de FDI-screeningsverordening. </w:t>
                            </w:r>
                            <w:r w:rsidRPr="00A4319D" w:rsidR="00382485">
                              <w:rPr>
                                <w:sz w:val="16"/>
                                <w:szCs w:val="16"/>
                              </w:rPr>
                              <w:t>Het is volgens Nederland van belang te benadrukken dat de Unie de essentiële staatsfuncties eerbiedigt, zoals de handhaving van de openbare orde en de bescherming van de nationale veiligheid. Met name de nationale veiligheid blijft de uitsluitende verantwoordelijkheid van elke lidstaat.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D2B7676">
                <v:stroke joinstyle="miter"/>
                <v:path gradientshapeok="t" o:connecttype="rect"/>
              </v:shapetype>
              <v:shape id="Text Box 2" style="position:absolute;margin-left:-.35pt;margin-top:135.4pt;width:460.5pt;height:1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">
                <v:textbox>
                  <w:txbxContent>
                    <w:p w:rsidRPr="0001194B" w:rsidR="00382485" w:rsidP="00382485" w:rsidRDefault="00382485" w14:paraId="376B5418" w14:textId="77777777">
                      <w:pPr>
                        <w:pStyle w:val="Tekstopmerking"/>
                        <w:rPr>
                          <w:b/>
                          <w:bCs/>
                          <w:sz w:val="16"/>
                          <w:szCs w:val="16"/>
                        </w:rPr>
                      </w:pPr>
                      <w:r w:rsidRPr="001A7BA8">
                        <w:rPr>
                          <w:b/>
                          <w:bCs/>
                          <w:sz w:val="16"/>
                          <w:szCs w:val="16"/>
                        </w:rPr>
                        <w:t>FDI-screeningsverordening</w:t>
                      </w:r>
                    </w:p>
                    <w:p w:rsidRPr="00A4319D" w:rsidR="00382485" w:rsidP="00A4319D" w:rsidRDefault="00382485" w14:paraId="2B85DD62" w14:textId="6F002008">
                      <w:pPr>
                        <w:pStyle w:val="Tekstopmerking"/>
                        <w:rPr>
                          <w:sz w:val="16"/>
                          <w:szCs w:val="16"/>
                        </w:rPr>
                      </w:pPr>
                      <w:r w:rsidRPr="0001194B">
                        <w:rPr>
                          <w:sz w:val="16"/>
                          <w:szCs w:val="16"/>
                        </w:rPr>
                        <w:t xml:space="preserve">De FDI-screeningsverordening faciliteert de samenwerking en informatiedeling voor het beoordelen van directe investeringen voor de risico’s op veiligheid </w:t>
                      </w:r>
                      <w:r>
                        <w:rPr>
                          <w:sz w:val="16"/>
                          <w:szCs w:val="16"/>
                        </w:rPr>
                        <w:t>en openbare orde</w:t>
                      </w:r>
                      <w:r w:rsidRPr="0001194B">
                        <w:rPr>
                          <w:sz w:val="16"/>
                          <w:szCs w:val="16"/>
                        </w:rPr>
                        <w:t>. De in het witboek voorgestelde instrumenten dienen een ander doel, namelijk het aanpakken van verstoringen van de mededinging die worden veroorzaakt door overheidssteun door een derde land</w:t>
                      </w:r>
                      <w:r>
                        <w:rPr>
                          <w:sz w:val="16"/>
                          <w:szCs w:val="16"/>
                        </w:rPr>
                        <w:t xml:space="preserve">. </w:t>
                      </w:r>
                      <w:r w:rsidRPr="0001194B">
                        <w:rPr>
                          <w:sz w:val="16"/>
                          <w:szCs w:val="16"/>
                        </w:rPr>
                        <w:t xml:space="preserve">Zoals de Commissie in het witboek opmerkt, kan er een </w:t>
                      </w:r>
                      <w:r w:rsidRPr="00A4319D">
                        <w:rPr>
                          <w:sz w:val="16"/>
                          <w:szCs w:val="16"/>
                        </w:rPr>
                        <w:t xml:space="preserve">procedurele overlap ontstaan tussen beide instrumenten wanneer een overname gefaciliteerd wordt door een buitenlandse subsidie, en dit eveneens aanleiding geeft tot bezorgdheid over veiligheid en openbare orde. Dit kan leiden tot parallelle procedures die onafhankelijk van elkaar kunnen bestaan, omdat ze verschillende doelen nastreven. </w:t>
                      </w:r>
                    </w:p>
                    <w:p w:rsidRPr="00A4319D" w:rsidR="00382485" w:rsidP="00A4319D" w:rsidRDefault="00382485" w14:paraId="498AC913" w14:textId="77777777">
                      <w:pPr>
                        <w:spacing w:line="240" w:lineRule="auto"/>
                        <w:rPr>
                          <w:sz w:val="16"/>
                          <w:szCs w:val="16"/>
                        </w:rPr>
                      </w:pPr>
                    </w:p>
                    <w:p w:rsidRPr="00A4319D" w:rsidR="00382485" w:rsidP="00A4319D" w:rsidRDefault="008914DB" w14:paraId="6C50BAE3" w14:textId="6E8B1C1E">
                      <w:pPr>
                        <w:spacing w:line="240" w:lineRule="auto"/>
                        <w:rPr>
                          <w:sz w:val="16"/>
                          <w:szCs w:val="16"/>
                        </w:rPr>
                      </w:pPr>
                      <w:r>
                        <w:rPr>
                          <w:sz w:val="16"/>
                          <w:szCs w:val="16"/>
                        </w:rPr>
                        <w:t xml:space="preserve">Nederland ziet graag meer verduidelijking over de relatie tussen de instrumenten in het witboek en de FDI-screeningsverordening. </w:t>
                      </w:r>
                      <w:r w:rsidRPr="00A4319D" w:rsidR="00382485">
                        <w:rPr>
                          <w:sz w:val="16"/>
                          <w:szCs w:val="16"/>
                        </w:rPr>
                        <w:t>Het is volgens Nederland van belang te benadrukken dat de Unie de essentiële staatsfuncties eerbiedigt, zoals de handhaving van de openbare orde en de bescherming van de nationale veiligheid. Met name de nationale veiligheid blijft de uitsluitende verantwoordelijkheid van elke lidstaat.</w:t>
                      </w:r>
                    </w:p>
                  </w:txbxContent>
                </v:textbox>
                <w10:wrap type="square" anchorx="margin"/>
              </v:shape>
            </w:pict>
          </mc:Fallback>
        </mc:AlternateContent>
      </w:r>
      <w:r w:rsidR="00364F8F">
        <w:rPr>
          <w:szCs w:val="18"/>
        </w:rPr>
        <w:t>De tweede module spitst zich toe op overheidssteun</w:t>
      </w:r>
      <w:r w:rsidRPr="009750A1" w:rsidR="00364F8F">
        <w:rPr>
          <w:szCs w:val="18"/>
        </w:rPr>
        <w:t xml:space="preserve"> bij</w:t>
      </w:r>
      <w:r w:rsidR="00364F8F">
        <w:rPr>
          <w:szCs w:val="18"/>
        </w:rPr>
        <w:t xml:space="preserve"> </w:t>
      </w:r>
      <w:r w:rsidRPr="009750A1" w:rsidR="00364F8F">
        <w:rPr>
          <w:szCs w:val="18"/>
        </w:rPr>
        <w:t>overnames</w:t>
      </w:r>
      <w:r w:rsidR="00364F8F">
        <w:rPr>
          <w:szCs w:val="18"/>
        </w:rPr>
        <w:t xml:space="preserve"> van (of verwerving van significante invloed in) een in de EU gevestigde onderneming. Het gaat hier om overheidsfinanciering uit een derde land waarbij </w:t>
      </w:r>
      <w:r w:rsidRPr="007C0DDD" w:rsidR="00364F8F">
        <w:rPr>
          <w:szCs w:val="18"/>
        </w:rPr>
        <w:t>er</w:t>
      </w:r>
      <w:r w:rsidR="00364F8F">
        <w:rPr>
          <w:szCs w:val="18"/>
        </w:rPr>
        <w:t xml:space="preserve"> ofwel </w:t>
      </w:r>
      <w:r w:rsidRPr="007C0DDD" w:rsidR="00364F8F">
        <w:rPr>
          <w:szCs w:val="18"/>
        </w:rPr>
        <w:t xml:space="preserve">een directe koppeling bestaat tussen de overheidsfinanciering en de voorgenomen overname, </w:t>
      </w:r>
      <w:r w:rsidR="00364F8F">
        <w:rPr>
          <w:szCs w:val="18"/>
        </w:rPr>
        <w:t>of de financiering wordt gebruikt om de positie van de</w:t>
      </w:r>
      <w:r w:rsidRPr="00710DF0" w:rsidR="00364F8F">
        <w:rPr>
          <w:szCs w:val="18"/>
        </w:rPr>
        <w:t xml:space="preserve"> begunstigde onderneming </w:t>
      </w:r>
      <w:r w:rsidR="00364F8F">
        <w:rPr>
          <w:szCs w:val="18"/>
        </w:rPr>
        <w:t xml:space="preserve">dusdanig te versterken dat deze een overname kan doen. </w:t>
      </w:r>
      <w:r w:rsidRPr="0001194B" w:rsidR="00364F8F">
        <w:rPr>
          <w:szCs w:val="18"/>
        </w:rPr>
        <w:t xml:space="preserve">Hierbij wordt in </w:t>
      </w:r>
      <w:r w:rsidR="006A00A7">
        <w:rPr>
          <w:szCs w:val="18"/>
        </w:rPr>
        <w:t>het witboek op dit moment</w:t>
      </w:r>
      <w:r w:rsidRPr="0001194B" w:rsidR="00364F8F">
        <w:rPr>
          <w:szCs w:val="18"/>
        </w:rPr>
        <w:t xml:space="preserve"> voorzien in een exclusieve </w:t>
      </w:r>
      <w:r w:rsidR="006A00A7">
        <w:rPr>
          <w:szCs w:val="18"/>
        </w:rPr>
        <w:t>taak</w:t>
      </w:r>
      <w:r w:rsidRPr="0001194B" w:rsidR="006A00A7">
        <w:rPr>
          <w:szCs w:val="18"/>
        </w:rPr>
        <w:t xml:space="preserve"> </w:t>
      </w:r>
      <w:r w:rsidRPr="0001194B" w:rsidR="00364F8F">
        <w:rPr>
          <w:szCs w:val="18"/>
        </w:rPr>
        <w:t xml:space="preserve">voor de Commissie. </w:t>
      </w:r>
      <w:r w:rsidR="00364F8F">
        <w:t>De Commissie presenteert enkele mogelijkheden om de reikwijdte van deze module te beperken</w:t>
      </w:r>
      <w:r w:rsidRPr="0001194B" w:rsidR="00364F8F">
        <w:rPr>
          <w:szCs w:val="18"/>
        </w:rPr>
        <w:t>. Zo kan worden gedacht aan een drempel die ziet op de omzet van de over te nemen onderneming</w:t>
      </w:r>
      <w:r w:rsidR="00364F8F">
        <w:rPr>
          <w:szCs w:val="18"/>
        </w:rPr>
        <w:t xml:space="preserve"> (vergelijkbaar met het concentratietoezicht)</w:t>
      </w:r>
      <w:r w:rsidRPr="0001194B" w:rsidR="00364F8F">
        <w:rPr>
          <w:szCs w:val="18"/>
        </w:rPr>
        <w:t>, of een drempel gekoppeld aan de omvang van de subsidie die wordt ingezet voor de overname.</w:t>
      </w:r>
    </w:p>
    <w:p w:rsidR="00364F8F" w:rsidP="00364F8F" w:rsidRDefault="00364F8F" w14:paraId="28AF9597" w14:textId="2A584319">
      <w:pPr>
        <w:contextualSpacing/>
        <w:rPr>
          <w:szCs w:val="18"/>
        </w:rPr>
      </w:pPr>
    </w:p>
    <w:p w:rsidR="00364F8F" w:rsidP="00364F8F" w:rsidRDefault="00364F8F" w14:paraId="730A7EB2" w14:textId="554FE75A">
      <w:pPr>
        <w:contextualSpacing/>
        <w:rPr>
          <w:szCs w:val="18"/>
        </w:rPr>
      </w:pPr>
      <w:r>
        <w:rPr>
          <w:szCs w:val="18"/>
        </w:rPr>
        <w:t xml:space="preserve">Anders dan bij de eerste module, is in het voorstel voor module 2 sprake van een ex-ante notificatieverplichting: investeringen en overnames op de interne markt zouden </w:t>
      </w:r>
      <w:r w:rsidR="00985DD9">
        <w:rPr>
          <w:szCs w:val="18"/>
        </w:rPr>
        <w:t xml:space="preserve">vooraf </w:t>
      </w:r>
      <w:r w:rsidR="00AF7249">
        <w:rPr>
          <w:szCs w:val="18"/>
        </w:rPr>
        <w:t xml:space="preserve">door de betreffende onderneming </w:t>
      </w:r>
      <w:r>
        <w:rPr>
          <w:szCs w:val="18"/>
        </w:rPr>
        <w:t>aan de toezichthouder gemeld moeten worden, zodat onderzocht kan worden of bij deze transacties sprake is van een verstorend concurrentievoordeel door overheidssteun. De Commissie geeft aan dat het een optie is om de notificatieverplichting te beperken tot overnames en investeringen van ondernemingen die overheidssteun uit derde landen genieten.</w:t>
      </w:r>
    </w:p>
    <w:p w:rsidR="006B3E07" w:rsidP="00F81BD8" w:rsidRDefault="006B3E07" w14:paraId="74AB5F62" w14:textId="77777777">
      <w:pPr>
        <w:contextualSpacing/>
        <w:rPr>
          <w:szCs w:val="18"/>
        </w:rPr>
      </w:pPr>
      <w:r>
        <w:t xml:space="preserve"> </w:t>
      </w:r>
    </w:p>
    <w:p w:rsidR="006B3E07" w:rsidP="00F81BD8" w:rsidRDefault="006B3E07" w14:paraId="6D772204" w14:textId="77777777">
      <w:pPr>
        <w:contextualSpacing/>
      </w:pPr>
      <w:r>
        <w:rPr>
          <w:szCs w:val="18"/>
        </w:rPr>
        <w:t xml:space="preserve">Vervolgens moet door de toezichthouder worden aangetoond dat de overname of investering inderdaad tot stand is gekomen </w:t>
      </w:r>
      <w:r w:rsidR="007A435F">
        <w:rPr>
          <w:szCs w:val="18"/>
        </w:rPr>
        <w:t xml:space="preserve">met </w:t>
      </w:r>
      <w:r>
        <w:rPr>
          <w:szCs w:val="18"/>
        </w:rPr>
        <w:t xml:space="preserve">overheidsfinanciering, en dat deze financiering de interne markt heeft verstoord. </w:t>
      </w:r>
      <w:r w:rsidR="00D87588">
        <w:t xml:space="preserve">Bij subsidies die direct en aanwijsbaar een overname of investering faciliteren wordt op voorhand verondersteld dat deze verstorend zijn. Dit zijn subsidies die direct gekoppeld zijn aan de overnametransactie. </w:t>
      </w:r>
      <w:r w:rsidR="00D87588">
        <w:rPr>
          <w:szCs w:val="18"/>
        </w:rPr>
        <w:t xml:space="preserve">Bij subsidies die </w:t>
      </w:r>
      <w:r w:rsidR="00D87588">
        <w:t xml:space="preserve">niet direct, maar wel </w:t>
      </w:r>
      <w:r w:rsidRPr="00C37766">
        <w:rPr>
          <w:i/>
          <w:iCs/>
        </w:rPr>
        <w:t>de facto</w:t>
      </w:r>
      <w:r>
        <w:t xml:space="preserve"> </w:t>
      </w:r>
      <w:r w:rsidR="00D87588">
        <w:t xml:space="preserve">de overname faciliteren zal de marktverstoring apart moeten worden vastgesteld. </w:t>
      </w:r>
    </w:p>
    <w:p w:rsidR="006B3E07" w:rsidP="00F81BD8" w:rsidRDefault="006B3E07" w14:paraId="0E60F78E" w14:textId="77777777">
      <w:pPr>
        <w:contextualSpacing/>
      </w:pPr>
    </w:p>
    <w:p w:rsidR="006B3E07" w:rsidP="00F81BD8" w:rsidRDefault="00D87588" w14:paraId="3905BF0E" w14:textId="77777777">
      <w:pPr>
        <w:contextualSpacing/>
      </w:pPr>
      <w:r>
        <w:t xml:space="preserve">De Commissie </w:t>
      </w:r>
      <w:r w:rsidR="006B3E07">
        <w:t xml:space="preserve">schetst </w:t>
      </w:r>
      <w:r>
        <w:t xml:space="preserve">voor deze subsidies </w:t>
      </w:r>
      <w:r w:rsidR="006B3E07">
        <w:t>een aantal factoren</w:t>
      </w:r>
      <w:r w:rsidR="00CA435E">
        <w:t xml:space="preserve"> die daarbij van belang zijn,</w:t>
      </w:r>
      <w:r w:rsidR="006B3E07">
        <w:t xml:space="preserve"> zoals</w:t>
      </w:r>
      <w:r w:rsidR="00CA435E">
        <w:t xml:space="preserve"> de</w:t>
      </w:r>
      <w:r w:rsidR="006B3E07">
        <w:t xml:space="preserve"> omvang van de subsidie, de situatie van de begunstigde onderneming, de situatie op de interne markt (deelmarkten)</w:t>
      </w:r>
      <w:r w:rsidR="00CA435E">
        <w:t xml:space="preserve"> en de </w:t>
      </w:r>
      <w:r w:rsidR="006B3E07">
        <w:t xml:space="preserve">omvang van aanwezigheid van de begunstigde onderneming op de interne markt. </w:t>
      </w:r>
      <w:bookmarkStart w:name="_Hlk46917870" w:id="2"/>
      <w:r w:rsidR="004A5975">
        <w:t>D</w:t>
      </w:r>
      <w:r w:rsidR="006B3E07">
        <w:t xml:space="preserve">e Commissie </w:t>
      </w:r>
      <w:r w:rsidR="004A5975">
        <w:t>noemt</w:t>
      </w:r>
      <w:r w:rsidR="006B3E07">
        <w:t xml:space="preserve"> ook de openheid van de markt van het land van herkomst van de begunstigde onderneming als potentiële factor</w:t>
      </w:r>
      <w:r w:rsidR="00CA435E">
        <w:t>.</w:t>
      </w:r>
      <w:bookmarkEnd w:id="2"/>
    </w:p>
    <w:p w:rsidR="006B3E07" w:rsidP="00F81BD8" w:rsidRDefault="006B3E07" w14:paraId="2C7F45F7" w14:textId="77777777">
      <w:pPr>
        <w:contextualSpacing/>
      </w:pPr>
    </w:p>
    <w:p w:rsidR="006B3E07" w:rsidP="00F81BD8" w:rsidRDefault="006B3E07" w14:paraId="29ABF251" w14:textId="33A64153">
      <w:pPr>
        <w:contextualSpacing/>
      </w:pPr>
      <w:r>
        <w:lastRenderedPageBreak/>
        <w:t xml:space="preserve">Evenals bij de eerste module, is bij module twee sprake van een getrapt onderzoek. Via een voorlopige beoordeling bekijkt de </w:t>
      </w:r>
      <w:r w:rsidR="00845D3B">
        <w:t xml:space="preserve">Commissie </w:t>
      </w:r>
      <w:r>
        <w:t xml:space="preserve">of er voldoende bewijs is dat de overnemende partij profiteert van overheidsfinanciering die de overname faciliteert. Als dit het geval is, kan een diepgaand onderzoek worden ingesteld. Wanneer hieruit blijkt dat de overname of investering inderdaad gefaciliteerd is door overheidsfinanciering en deze de interne markt verstoort, kunnen twee maatregelen worden opgelegd: het opleggen van </w:t>
      </w:r>
      <w:r w:rsidR="00CA435E">
        <w:t xml:space="preserve">toezeggingen </w:t>
      </w:r>
      <w:r>
        <w:t>van de overnemende partij om zo het verstorende effect van de subsidie te mitigeren, en in het uiterste geval het blokkeren van de overname of investering.</w:t>
      </w:r>
      <w:r w:rsidR="00CA435E">
        <w:t xml:space="preserve"> </w:t>
      </w:r>
      <w:r w:rsidR="00FC746F">
        <w:t>Evenals bij module 1</w:t>
      </w:r>
      <w:r w:rsidR="008D29BD">
        <w:t>, kan besloten worden</w:t>
      </w:r>
      <w:r w:rsidR="00FC746F">
        <w:t xml:space="preserve"> om</w:t>
      </w:r>
      <w:r w:rsidR="008D29BD">
        <w:t xml:space="preserve"> geen maatregelen op te leggen </w:t>
      </w:r>
      <w:r w:rsidR="00FC746F">
        <w:t>wanneer de verstoring niet opweegt tegen de positieve impact op EU-beleidsdoelen</w:t>
      </w:r>
      <w:r w:rsidR="008D29BD">
        <w:t xml:space="preserve">. </w:t>
      </w:r>
    </w:p>
    <w:p w:rsidR="00CA435E" w:rsidP="006F4DC5" w:rsidRDefault="00CA435E" w14:paraId="447BE23F" w14:textId="77777777">
      <w:pPr>
        <w:contextualSpacing/>
      </w:pPr>
    </w:p>
    <w:p w:rsidR="006F4DC5" w:rsidP="006F4DC5" w:rsidRDefault="006F4DC5" w14:paraId="5FA3560A" w14:textId="77777777">
      <w:pPr>
        <w:contextualSpacing/>
      </w:pPr>
      <w:r>
        <w:rPr>
          <w:i/>
          <w:iCs/>
          <w:u w:val="single"/>
        </w:rPr>
        <w:t>1.3.</w:t>
      </w:r>
      <w:r>
        <w:rPr>
          <w:i/>
          <w:iCs/>
          <w:u w:val="single"/>
        </w:rPr>
        <w:tab/>
        <w:t>Combinatie module 1 en 2</w:t>
      </w:r>
    </w:p>
    <w:p w:rsidR="006F4DC5" w:rsidP="006F4DC5" w:rsidRDefault="006F4DC5" w14:paraId="18289E98" w14:textId="77777777">
      <w:pPr>
        <w:contextualSpacing/>
      </w:pPr>
      <w:r>
        <w:t xml:space="preserve">De Commissie </w:t>
      </w:r>
      <w:r w:rsidR="00693FF3">
        <w:t>spreekt in het witboek haar voorkeur uit voor een combinatie van modules 1 en 2</w:t>
      </w:r>
      <w:bookmarkStart w:name="_Hlk46918894" w:id="3"/>
      <w:r w:rsidR="00D84AAE">
        <w:t xml:space="preserve">, in plaats van twee losstaande modules waarbinnen maatregelen kunnen worden opgelegd wanneer </w:t>
      </w:r>
      <w:r w:rsidR="00AF01B1">
        <w:t>overheidssteun</w:t>
      </w:r>
      <w:r w:rsidR="00D84AAE">
        <w:t xml:space="preserve"> uit derde landen de </w:t>
      </w:r>
      <w:r w:rsidR="00D2548A">
        <w:t>concurrentie op de interne markt</w:t>
      </w:r>
      <w:r w:rsidR="00D84AAE">
        <w:t xml:space="preserve"> verstoort</w:t>
      </w:r>
      <w:bookmarkEnd w:id="3"/>
      <w:r w:rsidR="00693FF3">
        <w:t>.</w:t>
      </w:r>
      <w:r w:rsidR="0086284F">
        <w:t xml:space="preserve"> Bij dit gecombineerde instrument zou de focus liggen op het detecteren van </w:t>
      </w:r>
      <w:r w:rsidR="00046393">
        <w:t xml:space="preserve">overnames </w:t>
      </w:r>
      <w:r w:rsidR="0086284F">
        <w:t xml:space="preserve">die de interne markt verstoren: voor </w:t>
      </w:r>
      <w:r w:rsidR="00046393">
        <w:t xml:space="preserve">overnames </w:t>
      </w:r>
      <w:r w:rsidR="0086284F">
        <w:t xml:space="preserve">die boven de drempels van module 2 uitkomen geldt een ex-ante notificatieplicht en deze worden door de Commissie onderzocht, terwijl </w:t>
      </w:r>
      <w:r w:rsidR="00046393">
        <w:t xml:space="preserve">overnames </w:t>
      </w:r>
      <w:r w:rsidR="0086284F">
        <w:t xml:space="preserve">met een lage transactiewaarde en overige vormen van concurrentieverstoring door subsidies uit derde landen achteraf onderzocht kunnen worden door de Commissie en de aangewezen toezichthouders van de lidstaten. </w:t>
      </w:r>
    </w:p>
    <w:p w:rsidR="006F4DC5" w:rsidP="00F81BD8" w:rsidRDefault="006F4DC5" w14:paraId="6958E257" w14:textId="77777777">
      <w:pPr>
        <w:contextualSpacing/>
      </w:pPr>
    </w:p>
    <w:p w:rsidRPr="00D628DD" w:rsidR="00CA435E" w:rsidP="00F81BD8" w:rsidRDefault="00CA435E" w14:paraId="11F01B7E" w14:textId="1CF73377">
      <w:pPr>
        <w:contextualSpacing/>
        <w:rPr>
          <w:i/>
          <w:iCs/>
          <w:u w:val="single"/>
        </w:rPr>
      </w:pPr>
      <w:r w:rsidRPr="00D628DD">
        <w:rPr>
          <w:i/>
          <w:iCs/>
          <w:u w:val="single"/>
        </w:rPr>
        <w:t>1.</w:t>
      </w:r>
      <w:r w:rsidR="00B12EE1">
        <w:rPr>
          <w:i/>
          <w:iCs/>
          <w:u w:val="single"/>
        </w:rPr>
        <w:t>4</w:t>
      </w:r>
      <w:r w:rsidR="00D950CE">
        <w:rPr>
          <w:i/>
          <w:iCs/>
          <w:u w:val="single"/>
        </w:rPr>
        <w:t>.</w:t>
      </w:r>
      <w:r w:rsidRPr="00D628DD">
        <w:rPr>
          <w:i/>
          <w:iCs/>
          <w:u w:val="single"/>
        </w:rPr>
        <w:tab/>
      </w:r>
      <w:r w:rsidR="007B42B0">
        <w:rPr>
          <w:i/>
          <w:iCs/>
          <w:u w:val="single"/>
        </w:rPr>
        <w:t>A</w:t>
      </w:r>
      <w:r w:rsidRPr="00D628DD" w:rsidR="00AC425D">
        <w:rPr>
          <w:i/>
          <w:iCs/>
          <w:u w:val="single"/>
        </w:rPr>
        <w:t>ppreciatie module 1 en 2</w:t>
      </w:r>
    </w:p>
    <w:p w:rsidR="00036BC1" w:rsidP="00F81BD8" w:rsidRDefault="00036BC1" w14:paraId="435B7C3A" w14:textId="77777777">
      <w:pPr>
        <w:contextualSpacing/>
        <w:rPr>
          <w:szCs w:val="18"/>
        </w:rPr>
      </w:pPr>
      <w:r>
        <w:t xml:space="preserve">Het kabinet is </w:t>
      </w:r>
      <w:r w:rsidR="00BC1807">
        <w:t xml:space="preserve">zeer </w:t>
      </w:r>
      <w:r>
        <w:t xml:space="preserve">positief over het initiatief van de Europese Commissie om een instrument te ontwikkelen </w:t>
      </w:r>
      <w:r w:rsidR="00D2548A">
        <w:t>waarmee</w:t>
      </w:r>
      <w:r>
        <w:t xml:space="preserve"> verstoringen veroorzaakt door subsidies van derde landen </w:t>
      </w:r>
      <w:r w:rsidR="00D2548A">
        <w:t>beter aangepakt kunnen worden</w:t>
      </w:r>
      <w:r>
        <w:t xml:space="preserve">, en kijkt uit naar een concreet wetgevingsvoorstel. In dat kader heeft het kabinet een aantal suggesties en vragen die in de verdere uitwerking aan de orde zouden moeten komen. </w:t>
      </w:r>
    </w:p>
    <w:p w:rsidR="00036BC1" w:rsidP="00F81BD8" w:rsidRDefault="00036BC1" w14:paraId="27B9938A" w14:textId="77777777">
      <w:pPr>
        <w:contextualSpacing/>
        <w:rPr>
          <w:szCs w:val="18"/>
        </w:rPr>
      </w:pPr>
    </w:p>
    <w:p w:rsidR="00BC1807" w:rsidP="00F81BD8" w:rsidRDefault="003E327E" w14:paraId="155DE024" w14:textId="16A15454">
      <w:pPr>
        <w:contextualSpacing/>
        <w:rPr>
          <w:szCs w:val="18"/>
        </w:rPr>
      </w:pPr>
      <w:r>
        <w:rPr>
          <w:szCs w:val="18"/>
        </w:rPr>
        <w:t>De voorgestelde module 1</w:t>
      </w:r>
      <w:r w:rsidR="00AC425D">
        <w:rPr>
          <w:szCs w:val="18"/>
        </w:rPr>
        <w:t xml:space="preserve"> vertoont veel parallellen met het Nederlandse </w:t>
      </w:r>
      <w:r w:rsidR="009015E1">
        <w:rPr>
          <w:szCs w:val="18"/>
        </w:rPr>
        <w:t>kabinets</w:t>
      </w:r>
      <w:r w:rsidR="00AC425D">
        <w:rPr>
          <w:szCs w:val="18"/>
        </w:rPr>
        <w:t xml:space="preserve">voorstel voor een </w:t>
      </w:r>
      <w:r w:rsidR="00AC425D">
        <w:rPr>
          <w:i/>
          <w:iCs/>
          <w:szCs w:val="18"/>
        </w:rPr>
        <w:t xml:space="preserve">level </w:t>
      </w:r>
      <w:proofErr w:type="spellStart"/>
      <w:r w:rsidR="00AC425D">
        <w:rPr>
          <w:i/>
          <w:iCs/>
          <w:szCs w:val="18"/>
        </w:rPr>
        <w:t>playing</w:t>
      </w:r>
      <w:proofErr w:type="spellEnd"/>
      <w:r w:rsidR="00AC425D">
        <w:rPr>
          <w:i/>
          <w:iCs/>
          <w:szCs w:val="18"/>
        </w:rPr>
        <w:t xml:space="preserve"> field </w:t>
      </w:r>
      <w:r w:rsidRPr="00D628DD" w:rsidR="00AC425D">
        <w:rPr>
          <w:i/>
          <w:iCs/>
          <w:color w:val="000000" w:themeColor="text1"/>
          <w:szCs w:val="18"/>
        </w:rPr>
        <w:t>instrument</w:t>
      </w:r>
      <w:r w:rsidR="00B12EE1">
        <w:rPr>
          <w:color w:val="000000" w:themeColor="text1"/>
          <w:szCs w:val="18"/>
        </w:rPr>
        <w:t xml:space="preserve">, </w:t>
      </w:r>
      <w:r w:rsidR="00961FFB">
        <w:rPr>
          <w:color w:val="000000" w:themeColor="text1"/>
          <w:szCs w:val="18"/>
        </w:rPr>
        <w:t>waar</w:t>
      </w:r>
      <w:r w:rsidR="00BC1807">
        <w:rPr>
          <w:color w:val="000000" w:themeColor="text1"/>
          <w:szCs w:val="18"/>
        </w:rPr>
        <w:t>bij</w:t>
      </w:r>
      <w:r w:rsidR="00961FFB">
        <w:rPr>
          <w:color w:val="000000" w:themeColor="text1"/>
          <w:szCs w:val="18"/>
        </w:rPr>
        <w:t xml:space="preserve"> </w:t>
      </w:r>
      <w:r w:rsidR="00D2548A">
        <w:rPr>
          <w:color w:val="000000" w:themeColor="text1"/>
          <w:szCs w:val="18"/>
        </w:rPr>
        <w:t>het kabinet de</w:t>
      </w:r>
      <w:r w:rsidR="00961FFB">
        <w:rPr>
          <w:color w:val="000000" w:themeColor="text1"/>
          <w:szCs w:val="18"/>
        </w:rPr>
        <w:t xml:space="preserve"> Commissie verzocht </w:t>
      </w:r>
      <w:r w:rsidR="00D2548A">
        <w:rPr>
          <w:color w:val="000000" w:themeColor="text1"/>
          <w:szCs w:val="18"/>
        </w:rPr>
        <w:t>om de</w:t>
      </w:r>
      <w:r w:rsidR="00961FFB">
        <w:rPr>
          <w:color w:val="000000" w:themeColor="text1"/>
          <w:szCs w:val="18"/>
        </w:rPr>
        <w:t xml:space="preserve"> </w:t>
      </w:r>
      <w:r w:rsidR="00961FFB">
        <w:rPr>
          <w:szCs w:val="18"/>
        </w:rPr>
        <w:t>voorgestelde oplossingsrichting onderdeel te laten uitmaken van toekomstige voorstellen op dit terrein</w:t>
      </w:r>
      <w:r w:rsidR="0001194B">
        <w:rPr>
          <w:color w:val="000000" w:themeColor="text1"/>
          <w:szCs w:val="18"/>
        </w:rPr>
        <w:t xml:space="preserve">. Nederland </w:t>
      </w:r>
      <w:r w:rsidRPr="00D628DD" w:rsidR="00AC425D">
        <w:rPr>
          <w:color w:val="000000" w:themeColor="text1"/>
          <w:szCs w:val="18"/>
        </w:rPr>
        <w:t>staat dan ook</w:t>
      </w:r>
      <w:r w:rsidR="00961FFB">
        <w:rPr>
          <w:color w:val="000000" w:themeColor="text1"/>
          <w:szCs w:val="18"/>
        </w:rPr>
        <w:t xml:space="preserve"> zeer</w:t>
      </w:r>
      <w:r w:rsidRPr="00D628DD" w:rsidR="00AC425D">
        <w:rPr>
          <w:color w:val="000000" w:themeColor="text1"/>
          <w:szCs w:val="18"/>
        </w:rPr>
        <w:t xml:space="preserve"> positief te</w:t>
      </w:r>
      <w:r w:rsidR="00AC425D">
        <w:rPr>
          <w:szCs w:val="18"/>
        </w:rPr>
        <w:t xml:space="preserve">genover </w:t>
      </w:r>
      <w:r w:rsidR="00961FFB">
        <w:rPr>
          <w:szCs w:val="18"/>
        </w:rPr>
        <w:t>de voorgestelde module 1</w:t>
      </w:r>
      <w:r w:rsidR="00BC1807">
        <w:rPr>
          <w:szCs w:val="18"/>
        </w:rPr>
        <w:t>, maar heeft nog wel enkele vragen en aandachtspunten bij de vormgeving en het toepassingsbereik</w:t>
      </w:r>
      <w:r w:rsidR="00BB397A">
        <w:rPr>
          <w:szCs w:val="18"/>
        </w:rPr>
        <w:t>.</w:t>
      </w:r>
      <w:r w:rsidR="00B12EE1">
        <w:rPr>
          <w:szCs w:val="18"/>
        </w:rPr>
        <w:t xml:space="preserve"> </w:t>
      </w:r>
    </w:p>
    <w:p w:rsidR="00BC1807" w:rsidP="00F81BD8" w:rsidRDefault="00BC1807" w14:paraId="4D6C71BC" w14:textId="77777777">
      <w:pPr>
        <w:contextualSpacing/>
        <w:rPr>
          <w:szCs w:val="18"/>
        </w:rPr>
      </w:pPr>
    </w:p>
    <w:p w:rsidR="00AC425D" w:rsidP="00F81BD8" w:rsidRDefault="00BC1807" w14:paraId="54541D07" w14:textId="2C972E2A">
      <w:pPr>
        <w:contextualSpacing/>
        <w:rPr>
          <w:szCs w:val="18"/>
        </w:rPr>
      </w:pPr>
      <w:r>
        <w:rPr>
          <w:szCs w:val="18"/>
        </w:rPr>
        <w:t xml:space="preserve">Zo zou </w:t>
      </w:r>
      <w:r w:rsidR="00B12EE1">
        <w:rPr>
          <w:szCs w:val="18"/>
        </w:rPr>
        <w:t>Nederland</w:t>
      </w:r>
      <w:r w:rsidR="00AC425D">
        <w:rPr>
          <w:szCs w:val="18"/>
        </w:rPr>
        <w:t xml:space="preserve"> graag zien dat in een definitief </w:t>
      </w:r>
      <w:r w:rsidR="00036BC1">
        <w:rPr>
          <w:szCs w:val="18"/>
        </w:rPr>
        <w:t>wetgevingsvoorstel</w:t>
      </w:r>
      <w:r w:rsidR="00AC425D">
        <w:rPr>
          <w:szCs w:val="18"/>
        </w:rPr>
        <w:t xml:space="preserve"> nadrukkelijk</w:t>
      </w:r>
      <w:r w:rsidR="00D2548A">
        <w:rPr>
          <w:szCs w:val="18"/>
        </w:rPr>
        <w:t>er</w:t>
      </w:r>
      <w:r w:rsidR="00AC425D">
        <w:rPr>
          <w:szCs w:val="18"/>
        </w:rPr>
        <w:t xml:space="preserve"> aandacht wordt besteed aan het feit dat overheidssteun niet altijd de vorm van subsidies hoeft aan te nemen</w:t>
      </w:r>
      <w:r w:rsidR="001634F8">
        <w:rPr>
          <w:szCs w:val="18"/>
        </w:rPr>
        <w:t xml:space="preserve"> of via indirecte kanalen bij ondernemingen terecht kan komen</w:t>
      </w:r>
      <w:r w:rsidR="00AF7249">
        <w:rPr>
          <w:szCs w:val="18"/>
        </w:rPr>
        <w:t>. Het</w:t>
      </w:r>
      <w:r w:rsidR="00AC425D">
        <w:rPr>
          <w:szCs w:val="18"/>
        </w:rPr>
        <w:t xml:space="preserve"> gelijke speelveld</w:t>
      </w:r>
      <w:r w:rsidR="00AF7249">
        <w:rPr>
          <w:szCs w:val="18"/>
        </w:rPr>
        <w:t xml:space="preserve"> kan</w:t>
      </w:r>
      <w:r w:rsidR="00AC425D">
        <w:rPr>
          <w:szCs w:val="18"/>
        </w:rPr>
        <w:t xml:space="preserve"> </w:t>
      </w:r>
      <w:r w:rsidR="009B414D">
        <w:rPr>
          <w:szCs w:val="18"/>
        </w:rPr>
        <w:t>bijvoorbeeld</w:t>
      </w:r>
      <w:r w:rsidR="00AC425D">
        <w:rPr>
          <w:szCs w:val="18"/>
        </w:rPr>
        <w:t xml:space="preserve"> ook worden verstoord door goedkopere of exclusieve toegang tot bepaalde grondstoffen of data. </w:t>
      </w:r>
      <w:r>
        <w:rPr>
          <w:szCs w:val="18"/>
        </w:rPr>
        <w:t xml:space="preserve">Daarnaast kan de concurrentie op de interne markt verstoord worden door bedrijven uit derde landen die een ongereguleerde machtspositie hebben op hun thuismarkt en daardoor overwinsten kunnen maken. </w:t>
      </w:r>
      <w:r w:rsidRPr="00F00679" w:rsidR="00F00679">
        <w:rPr>
          <w:szCs w:val="18"/>
        </w:rPr>
        <w:t xml:space="preserve">Nederland is voorstander van een breed </w:t>
      </w:r>
      <w:r w:rsidRPr="00030C97" w:rsidR="00F00679">
        <w:rPr>
          <w:szCs w:val="18"/>
          <w:lang w:eastAsia="en-US"/>
        </w:rPr>
        <w:t xml:space="preserve">toepassingsbereik waarbij instrumenten ook van toepassing zijn op ondernemingen uit derde landen </w:t>
      </w:r>
      <w:r w:rsidRPr="00F00679" w:rsidR="00F00679">
        <w:rPr>
          <w:szCs w:val="18"/>
          <w:lang w:eastAsia="en-US"/>
        </w:rPr>
        <w:t>die geen dochteronderneming in de EU hebben</w:t>
      </w:r>
      <w:r w:rsidRPr="00A24543" w:rsidR="00F00679">
        <w:rPr>
          <w:szCs w:val="18"/>
          <w:lang w:eastAsia="en-US"/>
        </w:rPr>
        <w:t xml:space="preserve">, maar wel </w:t>
      </w:r>
      <w:r w:rsidRPr="00A24543" w:rsidR="00F00679">
        <w:t>actief zijn op de interne markt van de EU</w:t>
      </w:r>
      <w:r w:rsidRPr="00F00679" w:rsidR="00F00679">
        <w:t>, bijvoorbeeld doordat ze goederen of diensten exporteren naar de EU.</w:t>
      </w:r>
    </w:p>
    <w:p w:rsidR="00AC425D" w:rsidP="00F81BD8" w:rsidRDefault="00AC425D" w14:paraId="39EA6651" w14:textId="77777777">
      <w:pPr>
        <w:contextualSpacing/>
        <w:rPr>
          <w:szCs w:val="18"/>
        </w:rPr>
      </w:pPr>
    </w:p>
    <w:p w:rsidR="0050155E" w:rsidP="00F81BD8" w:rsidRDefault="00036BC1" w14:paraId="706403EB" w14:textId="5DA5386F">
      <w:pPr>
        <w:contextualSpacing/>
        <w:rPr>
          <w:szCs w:val="18"/>
        </w:rPr>
      </w:pPr>
      <w:bookmarkStart w:name="_Hlk47626983" w:id="4"/>
      <w:r>
        <w:rPr>
          <w:szCs w:val="18"/>
        </w:rPr>
        <w:t>F</w:t>
      </w:r>
      <w:r w:rsidR="007B42B0">
        <w:rPr>
          <w:szCs w:val="18"/>
        </w:rPr>
        <w:t xml:space="preserve">inanciële ondersteuning buiten de interne markt </w:t>
      </w:r>
      <w:r>
        <w:rPr>
          <w:szCs w:val="18"/>
        </w:rPr>
        <w:t xml:space="preserve">is </w:t>
      </w:r>
      <w:r w:rsidR="007B42B0">
        <w:rPr>
          <w:szCs w:val="18"/>
        </w:rPr>
        <w:t xml:space="preserve">moeilijk detecteerbaar. </w:t>
      </w:r>
      <w:r w:rsidR="0050155E">
        <w:rPr>
          <w:szCs w:val="18"/>
        </w:rPr>
        <w:t xml:space="preserve">Ook kan het in de praktijk bijzonder lastig zijn voor </w:t>
      </w:r>
      <w:r>
        <w:rPr>
          <w:szCs w:val="18"/>
        </w:rPr>
        <w:t>een</w:t>
      </w:r>
      <w:r w:rsidR="0050155E">
        <w:rPr>
          <w:szCs w:val="18"/>
        </w:rPr>
        <w:t xml:space="preserve"> toezichthouder om aan te tonen dat overheidsfinanciering in een specifiek geval een verstorende werking op de interne markt heeft.</w:t>
      </w:r>
      <w:r>
        <w:rPr>
          <w:szCs w:val="18"/>
        </w:rPr>
        <w:t xml:space="preserve"> Nederland wijst in dat kader op de door het </w:t>
      </w:r>
      <w:r w:rsidR="008462DB">
        <w:rPr>
          <w:szCs w:val="18"/>
        </w:rPr>
        <w:t xml:space="preserve">kabinet </w:t>
      </w:r>
      <w:r w:rsidR="0050155E">
        <w:rPr>
          <w:szCs w:val="18"/>
        </w:rPr>
        <w:t xml:space="preserve">voorgestelde </w:t>
      </w:r>
      <w:r w:rsidRPr="007B4300" w:rsidR="0050155E">
        <w:rPr>
          <w:i/>
          <w:iCs/>
          <w:szCs w:val="18"/>
        </w:rPr>
        <w:t xml:space="preserve">level </w:t>
      </w:r>
      <w:proofErr w:type="spellStart"/>
      <w:r w:rsidRPr="007B4300" w:rsidR="0050155E">
        <w:rPr>
          <w:i/>
          <w:iCs/>
          <w:szCs w:val="18"/>
        </w:rPr>
        <w:t>playing</w:t>
      </w:r>
      <w:proofErr w:type="spellEnd"/>
      <w:r w:rsidRPr="007B4300" w:rsidR="0050155E">
        <w:rPr>
          <w:i/>
          <w:iCs/>
          <w:szCs w:val="18"/>
        </w:rPr>
        <w:t xml:space="preserve"> field instrument</w:t>
      </w:r>
      <w:r>
        <w:rPr>
          <w:szCs w:val="18"/>
        </w:rPr>
        <w:t xml:space="preserve">, waar wordt ingegaan op een andere indicatie dat een onderneming de </w:t>
      </w:r>
      <w:r w:rsidR="00D2548A">
        <w:rPr>
          <w:szCs w:val="18"/>
        </w:rPr>
        <w:t>concurrentie</w:t>
      </w:r>
      <w:r>
        <w:rPr>
          <w:szCs w:val="18"/>
        </w:rPr>
        <w:t xml:space="preserve"> op de interne markt verstoort met behulp van overheidssteun of overwinsten uit een ongereguleerde machtspositie in eigen land: marktgedrag</w:t>
      </w:r>
      <w:r w:rsidRPr="00220DA6" w:rsidR="008462DB">
        <w:rPr>
          <w:szCs w:val="18"/>
        </w:rPr>
        <w:t xml:space="preserve"> </w:t>
      </w:r>
      <w:r w:rsidR="008462DB">
        <w:rPr>
          <w:szCs w:val="18"/>
        </w:rPr>
        <w:t>dat</w:t>
      </w:r>
      <w:r w:rsidRPr="00220DA6" w:rsidR="008462DB">
        <w:rPr>
          <w:szCs w:val="18"/>
        </w:rPr>
        <w:t xml:space="preserve"> niet of slechts in beperkte mate overeenkomt met het gedrag van vergelijkbare ondernemingen die actief zijn op de Europese interne markt</w:t>
      </w:r>
      <w:r>
        <w:rPr>
          <w:szCs w:val="18"/>
        </w:rPr>
        <w:t>.</w:t>
      </w:r>
      <w:r w:rsidR="008462DB">
        <w:rPr>
          <w:szCs w:val="18"/>
        </w:rPr>
        <w:t xml:space="preserve"> </w:t>
      </w:r>
      <w:r w:rsidR="002737A8">
        <w:rPr>
          <w:szCs w:val="18"/>
        </w:rPr>
        <w:t xml:space="preserve">In dat kader zou het </w:t>
      </w:r>
      <w:r w:rsidR="006A00A7">
        <w:rPr>
          <w:szCs w:val="18"/>
        </w:rPr>
        <w:t>volgens Nederland</w:t>
      </w:r>
      <w:r w:rsidR="002737A8">
        <w:rPr>
          <w:szCs w:val="18"/>
        </w:rPr>
        <w:t xml:space="preserve"> voor de hand liggen om het toekomstige instrument te baseren op </w:t>
      </w:r>
      <w:r w:rsidR="007B28B0">
        <w:rPr>
          <w:szCs w:val="18"/>
        </w:rPr>
        <w:t xml:space="preserve">een interne markt rechtsgrondslag, </w:t>
      </w:r>
      <w:r w:rsidR="002737A8">
        <w:rPr>
          <w:szCs w:val="18"/>
        </w:rPr>
        <w:t xml:space="preserve">bijvoorbeeld artikel 114 </w:t>
      </w:r>
      <w:r w:rsidR="007B28B0">
        <w:rPr>
          <w:szCs w:val="18"/>
        </w:rPr>
        <w:t>VWEU</w:t>
      </w:r>
      <w:r w:rsidR="006A00A7">
        <w:rPr>
          <w:szCs w:val="18"/>
        </w:rPr>
        <w:t xml:space="preserve">, terwijl de Commissie een grondslag </w:t>
      </w:r>
      <w:r w:rsidR="009468FC">
        <w:rPr>
          <w:szCs w:val="18"/>
        </w:rPr>
        <w:t xml:space="preserve">voorstelt </w:t>
      </w:r>
      <w:r w:rsidR="006A00A7">
        <w:rPr>
          <w:szCs w:val="18"/>
        </w:rPr>
        <w:t>gebaseerd op de gemeenschappelijke handelspolitiek</w:t>
      </w:r>
      <w:r w:rsidR="007B28B0">
        <w:rPr>
          <w:szCs w:val="18"/>
        </w:rPr>
        <w:t>.</w:t>
      </w:r>
      <w:r w:rsidR="002737A8">
        <w:rPr>
          <w:szCs w:val="18"/>
        </w:rPr>
        <w:t xml:space="preserve"> </w:t>
      </w:r>
    </w:p>
    <w:bookmarkEnd w:id="4"/>
    <w:p w:rsidR="0050155E" w:rsidP="00F81BD8" w:rsidRDefault="0050155E" w14:paraId="47F74E0C" w14:textId="77777777">
      <w:pPr>
        <w:contextualSpacing/>
        <w:rPr>
          <w:szCs w:val="18"/>
        </w:rPr>
      </w:pPr>
    </w:p>
    <w:p w:rsidR="00F00679" w:rsidP="006F4DC5" w:rsidRDefault="00D2548A" w14:paraId="757A0FFA" w14:textId="662BA02C">
      <w:pPr>
        <w:contextualSpacing/>
      </w:pPr>
      <w:bookmarkStart w:name="_Hlk46315329" w:id="5"/>
      <w:r>
        <w:t xml:space="preserve">Daarnaast heeft </w:t>
      </w:r>
      <w:r w:rsidR="00FC746F">
        <w:t>Nederland</w:t>
      </w:r>
      <w:r w:rsidR="002575AF">
        <w:t xml:space="preserve"> </w:t>
      </w:r>
      <w:r w:rsidR="00790051">
        <w:t>vragen over de eventuele rol van nationale autoriteiten</w:t>
      </w:r>
      <w:r w:rsidR="002575AF">
        <w:t xml:space="preserve"> bij onderzoek naar </w:t>
      </w:r>
      <w:r w:rsidRPr="00B0160B" w:rsidR="002575AF">
        <w:t>overheidssteun uit derde landen</w:t>
      </w:r>
      <w:r w:rsidR="00F2794A">
        <w:t>.</w:t>
      </w:r>
      <w:r w:rsidRPr="00B0160B" w:rsidR="002575AF">
        <w:t xml:space="preserve"> </w:t>
      </w:r>
      <w:r w:rsidR="00790051">
        <w:t>N</w:t>
      </w:r>
      <w:r w:rsidRPr="00B0160B" w:rsidR="002575AF">
        <w:t xml:space="preserve">ationale toezichthouders </w:t>
      </w:r>
      <w:r w:rsidR="00790051">
        <w:t xml:space="preserve">hebben </w:t>
      </w:r>
      <w:r w:rsidRPr="00B0160B" w:rsidR="002575AF">
        <w:t xml:space="preserve">over het algemeen </w:t>
      </w:r>
      <w:r w:rsidRPr="00B0160B" w:rsidR="002575AF">
        <w:lastRenderedPageBreak/>
        <w:t>beperkte expertise op dit terrein</w:t>
      </w:r>
      <w:r w:rsidR="00790051">
        <w:t>.</w:t>
      </w:r>
      <w:r w:rsidRPr="00B0160B" w:rsidR="002575AF">
        <w:t xml:space="preserve"> </w:t>
      </w:r>
      <w:r w:rsidRPr="00B0160B" w:rsidR="00B0160B">
        <w:t>Ook kan bij decentralisatie politieke druk vanuit nationale overheden alsook derde landen ontstaan</w:t>
      </w:r>
      <w:r w:rsidR="009B414D">
        <w:t xml:space="preserve"> waardoor het gelijk speelveld binnen de interne markt verstoord wordt</w:t>
      </w:r>
      <w:r w:rsidR="00153F7E">
        <w:t>.</w:t>
      </w:r>
      <w:r w:rsidR="00BC1807">
        <w:t xml:space="preserve"> </w:t>
      </w:r>
      <w:r w:rsidR="00F00679">
        <w:t>Nederland is in dit stadium dan ook voorstander van een exclusieve rol</w:t>
      </w:r>
      <w:r w:rsidRPr="00F00679" w:rsidR="00F00679">
        <w:rPr>
          <w:szCs w:val="18"/>
          <w:lang w:eastAsia="en-US"/>
        </w:rPr>
        <w:t xml:space="preserve"> </w:t>
      </w:r>
      <w:r w:rsidR="00F00679">
        <w:rPr>
          <w:szCs w:val="18"/>
          <w:lang w:eastAsia="en-US"/>
        </w:rPr>
        <w:t xml:space="preserve">voor de </w:t>
      </w:r>
      <w:r w:rsidR="00A24543">
        <w:rPr>
          <w:szCs w:val="18"/>
          <w:lang w:eastAsia="en-US"/>
        </w:rPr>
        <w:t>Europese Commissie als toezichthouder</w:t>
      </w:r>
      <w:r w:rsidR="007B28B0">
        <w:rPr>
          <w:szCs w:val="18"/>
          <w:lang w:eastAsia="en-US"/>
        </w:rPr>
        <w:t xml:space="preserve">, zoals ze dat nu is binnen het </w:t>
      </w:r>
      <w:r w:rsidR="00E531A1">
        <w:rPr>
          <w:szCs w:val="18"/>
          <w:lang w:eastAsia="en-US"/>
        </w:rPr>
        <w:t>staatssteuntoezicht</w:t>
      </w:r>
      <w:r w:rsidR="007B28B0">
        <w:rPr>
          <w:szCs w:val="18"/>
          <w:lang w:eastAsia="en-US"/>
        </w:rPr>
        <w:t>.</w:t>
      </w:r>
      <w:r w:rsidR="00E531A1">
        <w:rPr>
          <w:szCs w:val="18"/>
          <w:lang w:eastAsia="en-US"/>
        </w:rPr>
        <w:t xml:space="preserve"> Hierbij moet wel sprake zijn van een systeem waarin voldoende </w:t>
      </w:r>
      <w:r w:rsidR="00741911">
        <w:rPr>
          <w:i/>
          <w:iCs/>
          <w:szCs w:val="18"/>
          <w:lang w:eastAsia="en-US"/>
        </w:rPr>
        <w:t xml:space="preserve">‘checks </w:t>
      </w:r>
      <w:proofErr w:type="spellStart"/>
      <w:r w:rsidR="00741911">
        <w:rPr>
          <w:i/>
          <w:iCs/>
          <w:szCs w:val="18"/>
          <w:lang w:eastAsia="en-US"/>
        </w:rPr>
        <w:t>and</w:t>
      </w:r>
      <w:proofErr w:type="spellEnd"/>
      <w:r w:rsidR="00741911">
        <w:rPr>
          <w:i/>
          <w:iCs/>
          <w:szCs w:val="18"/>
          <w:lang w:eastAsia="en-US"/>
        </w:rPr>
        <w:t xml:space="preserve"> </w:t>
      </w:r>
      <w:proofErr w:type="spellStart"/>
      <w:r w:rsidR="00741911">
        <w:rPr>
          <w:i/>
          <w:iCs/>
          <w:szCs w:val="18"/>
          <w:lang w:eastAsia="en-US"/>
        </w:rPr>
        <w:t>balances</w:t>
      </w:r>
      <w:proofErr w:type="spellEnd"/>
      <w:r w:rsidR="00741911">
        <w:rPr>
          <w:i/>
          <w:iCs/>
          <w:szCs w:val="18"/>
          <w:lang w:eastAsia="en-US"/>
        </w:rPr>
        <w:t xml:space="preserve">’ </w:t>
      </w:r>
      <w:r w:rsidR="00E531A1">
        <w:rPr>
          <w:szCs w:val="18"/>
          <w:lang w:eastAsia="en-US"/>
        </w:rPr>
        <w:t>bestaan en waarbij de administratieve lasten zoveel mogelijk beperkt worden.</w:t>
      </w:r>
    </w:p>
    <w:p w:rsidR="00F00679" w:rsidP="006F4DC5" w:rsidRDefault="00F00679" w14:paraId="66C3E00E" w14:textId="77777777">
      <w:pPr>
        <w:contextualSpacing/>
      </w:pPr>
    </w:p>
    <w:p w:rsidR="00AC425D" w:rsidP="006F4DC5" w:rsidRDefault="00A24543" w14:paraId="03776B35" w14:textId="77777777">
      <w:pPr>
        <w:contextualSpacing/>
      </w:pPr>
      <w:r>
        <w:t xml:space="preserve">Bij module 1 en 2 geldt bovendien dat </w:t>
      </w:r>
      <w:r w:rsidRPr="00B0160B" w:rsidR="007265CA">
        <w:t xml:space="preserve">onduidelijk </w:t>
      </w:r>
      <w:r>
        <w:t xml:space="preserve">is </w:t>
      </w:r>
      <w:r w:rsidRPr="00B0160B" w:rsidR="007265CA">
        <w:t>in welke mate de toezichthouder aan moet tonen of overheidsfinanciering marktverstorend werkt op de interne markt</w:t>
      </w:r>
      <w:r>
        <w:t>. Daarnaast</w:t>
      </w:r>
      <w:r w:rsidR="00EA0193">
        <w:t xml:space="preserve"> zou er bij een toekomstig wetsvoorstel aandacht moeten zijn voor de doorlooptijden van onderzoek onder de module(s)</w:t>
      </w:r>
      <w:r w:rsidRPr="00B0160B" w:rsidR="007265CA">
        <w:t xml:space="preserve">. Dit </w:t>
      </w:r>
      <w:r w:rsidR="00BC1807">
        <w:t>is</w:t>
      </w:r>
      <w:r w:rsidRPr="00B0160B" w:rsidR="009B414D">
        <w:t xml:space="preserve"> </w:t>
      </w:r>
      <w:r w:rsidRPr="00B0160B" w:rsidR="007265CA">
        <w:t>in belangrijke mate bepalen</w:t>
      </w:r>
      <w:r w:rsidR="00153F7E">
        <w:t>d</w:t>
      </w:r>
      <w:r w:rsidRPr="00B0160B" w:rsidR="007265CA">
        <w:t xml:space="preserve"> voor de effectiviteit</w:t>
      </w:r>
      <w:r w:rsidR="00BC1807">
        <w:t xml:space="preserve"> van een uiteindelijk instrument</w:t>
      </w:r>
      <w:r w:rsidR="00790051">
        <w:t>.</w:t>
      </w:r>
    </w:p>
    <w:p w:rsidR="00F00679" w:rsidP="006F4DC5" w:rsidRDefault="00F00679" w14:paraId="175875DF" w14:textId="77777777">
      <w:pPr>
        <w:contextualSpacing/>
      </w:pPr>
    </w:p>
    <w:bookmarkEnd w:id="5"/>
    <w:p w:rsidRPr="00B12EE1" w:rsidR="00AC425D" w:rsidP="00F81BD8" w:rsidRDefault="007265CA" w14:paraId="423783ED" w14:textId="2847A097">
      <w:pPr>
        <w:contextualSpacing/>
      </w:pPr>
      <w:r w:rsidRPr="00916CCC">
        <w:t xml:space="preserve">Wanneer na onderzoek geconcludeerd wordt dat een partij van buiten de interne markt voordeel geniet van een vorm van overheidssteun die </w:t>
      </w:r>
      <w:r w:rsidR="002352E6">
        <w:t>op de interne markt</w:t>
      </w:r>
      <w:r w:rsidRPr="00916CCC">
        <w:t xml:space="preserve">verboden is, kunnen maatregelen worden opgelegd. </w:t>
      </w:r>
      <w:r w:rsidRPr="0001194B">
        <w:t>Wat Nederland betreft moet zeker zijn dat maatregelen die kunnen worden opgelegd niet alleen effectief zijn om een vastgestelde verstoring van de concurrentie te herstellen, maar ook een zeker afschrikwekkend effect hebben zoals in het mededingingstoezicht. In dit kader wijst Nederland er op dat in het witboek niet wordt ingegaan op mogelijke maatregelen bij herhaalde schending van eerder opgelegde</w:t>
      </w:r>
      <w:r w:rsidRPr="00916CCC">
        <w:t xml:space="preserve"> maatregelen of toezeggingen.</w:t>
      </w:r>
      <w:r w:rsidR="00A4319D">
        <w:t xml:space="preserve"> Nederland zou graag meer duidelijkheid krijgen over de scope en reikwijdte van de maatregelen.</w:t>
      </w:r>
      <w:r w:rsidR="003947E6">
        <w:t xml:space="preserve"> </w:t>
      </w:r>
      <w:r w:rsidR="00BC1807">
        <w:t xml:space="preserve">Daarnaast steunt </w:t>
      </w:r>
      <w:r w:rsidRPr="00B12EE1" w:rsidR="00396AFF">
        <w:t xml:space="preserve">Nederland het </w:t>
      </w:r>
      <w:r w:rsidR="00BC1807">
        <w:t>uitvoeren</w:t>
      </w:r>
      <w:r w:rsidRPr="00B12EE1" w:rsidR="00396AFF">
        <w:t xml:space="preserve"> van een EU-belangen</w:t>
      </w:r>
      <w:bookmarkStart w:name="OLE_LINK1" w:id="6"/>
      <w:bookmarkStart w:name="OLE_LINK2" w:id="7"/>
      <w:r w:rsidRPr="00B12EE1" w:rsidR="00187213">
        <w:t>toets</w:t>
      </w:r>
      <w:r w:rsidRPr="00B12EE1" w:rsidR="00396AFF">
        <w:t xml:space="preserve"> </w:t>
      </w:r>
      <w:bookmarkEnd w:id="6"/>
      <w:bookmarkEnd w:id="7"/>
      <w:r w:rsidRPr="00B12EE1" w:rsidR="00396AFF">
        <w:t>onder module 1 en 2</w:t>
      </w:r>
      <w:r w:rsidRPr="00B12EE1" w:rsidR="0049561E">
        <w:t>, met een exclusieve bevoegdheid voor de Commissie om de toets uit te voeren.</w:t>
      </w:r>
      <w:r w:rsidR="001634F8">
        <w:t xml:space="preserve"> </w:t>
      </w:r>
      <w:r w:rsidR="00A4319D">
        <w:t>Daarbij</w:t>
      </w:r>
      <w:r w:rsidR="001634F8">
        <w:t xml:space="preserve"> dient in ogenschouw te worden gehouden dat het juist ook voor innovatie en duurzame technologieën van belang is dat er sprake is van een gelijk speelveld op de interne markt.</w:t>
      </w:r>
    </w:p>
    <w:p w:rsidRPr="00B12EE1" w:rsidR="00396AFF" w:rsidP="00F81BD8" w:rsidRDefault="00396AFF" w14:paraId="66CCF0BD" w14:textId="77777777">
      <w:pPr>
        <w:contextualSpacing/>
      </w:pPr>
    </w:p>
    <w:p w:rsidR="00E531A1" w:rsidP="00D2548A" w:rsidRDefault="0043664B" w14:paraId="5329C212" w14:textId="0AD1DA54">
      <w:pPr>
        <w:contextualSpacing/>
      </w:pPr>
      <w:r w:rsidRPr="00B12EE1">
        <w:t>Tot slot heeft Nederland enkele specifiek</w:t>
      </w:r>
      <w:r w:rsidRPr="00B12EE1" w:rsidR="003E6A8F">
        <w:t>e</w:t>
      </w:r>
      <w:r w:rsidR="003E6A8F">
        <w:t xml:space="preserve"> vragen en aandachtspunten bij </w:t>
      </w:r>
      <w:r>
        <w:t xml:space="preserve">module 2. </w:t>
      </w:r>
      <w:r w:rsidR="003E6A8F">
        <w:t>In het voorlopige voorstel voor deze module is sprake van relatief</w:t>
      </w:r>
      <w:r>
        <w:t xml:space="preserve"> hoge omzetdrempels. Dit beperkt de administratieve druk op de Commissie maar betekent dat investeringen en overnames in bijvoorbeeld innovatieve start- en </w:t>
      </w:r>
      <w:proofErr w:type="spellStart"/>
      <w:r>
        <w:t>scale</w:t>
      </w:r>
      <w:proofErr w:type="spellEnd"/>
      <w:r>
        <w:t xml:space="preserve">-ups slechts in </w:t>
      </w:r>
      <w:r w:rsidR="00D2548A">
        <w:t xml:space="preserve">zeer </w:t>
      </w:r>
      <w:r>
        <w:t xml:space="preserve">beperkte mate onder deze module zouden vallen. </w:t>
      </w:r>
      <w:r w:rsidR="00D2548A">
        <w:t xml:space="preserve">Ook is het de vraag of de notificatieverplichting niet resulteert in te hoge administratieve lasten bij zowel marktpartijen als de toezichthouder. </w:t>
      </w:r>
      <w:r w:rsidR="00376413">
        <w:t>Het is voor Nederland derhalve de vraag of de omzetdrempels en notificatieplicht bijdragen aan de effectiviteit van een dergelijk instrument.</w:t>
      </w:r>
      <w:r w:rsidR="00E531A1">
        <w:t xml:space="preserve"> De</w:t>
      </w:r>
      <w:r w:rsidR="00376413">
        <w:t xml:space="preserve"> </w:t>
      </w:r>
      <w:r w:rsidR="00E531A1">
        <w:t>Commissie zou dan op eigen initiatief onderzoeken kunnen starten naar individuele investeringen en overnames.</w:t>
      </w:r>
    </w:p>
    <w:p w:rsidR="00E531A1" w:rsidP="00D2548A" w:rsidRDefault="00E531A1" w14:paraId="1B3C380B" w14:textId="77777777">
      <w:pPr>
        <w:contextualSpacing/>
      </w:pPr>
    </w:p>
    <w:p w:rsidR="00D2548A" w:rsidP="00D2548A" w:rsidRDefault="00376413" w14:paraId="5F3C741A" w14:textId="52A9BBEB">
      <w:pPr>
        <w:contextualSpacing/>
      </w:pPr>
      <w:r>
        <w:t>Daarnaast</w:t>
      </w:r>
      <w:r w:rsidR="00D2548A">
        <w:t xml:space="preserve"> betekent het</w:t>
      </w:r>
      <w:r w:rsidRPr="00916CCC" w:rsidR="00D2548A">
        <w:t xml:space="preserve"> voorstel tot </w:t>
      </w:r>
      <w:r w:rsidR="00D2548A">
        <w:t xml:space="preserve">het </w:t>
      </w:r>
      <w:r w:rsidRPr="00916CCC" w:rsidR="00D2548A">
        <w:t>meenemen van de openheid van de markt van het land van herkomst van de begunstigde onderneming</w:t>
      </w:r>
      <w:r w:rsidR="00D2548A">
        <w:t xml:space="preserve"> in de beoordeling</w:t>
      </w:r>
      <w:r w:rsidRPr="00916CCC" w:rsidR="00D2548A">
        <w:t xml:space="preserve"> dat dit instrument gezien kan worden als </w:t>
      </w:r>
      <w:proofErr w:type="spellStart"/>
      <w:r w:rsidRPr="00916CCC" w:rsidR="00D2548A">
        <w:t>handelsdefensief</w:t>
      </w:r>
      <w:proofErr w:type="spellEnd"/>
      <w:r w:rsidRPr="00916CCC" w:rsidR="00D2548A">
        <w:t>. Het zou</w:t>
      </w:r>
      <w:r w:rsidR="00D2548A">
        <w:t xml:space="preserve"> volgens Nederland logischer</w:t>
      </w:r>
      <w:r w:rsidRPr="00916CCC" w:rsidR="00D2548A">
        <w:t xml:space="preserve"> zijn om </w:t>
      </w:r>
      <w:r w:rsidR="00D2548A">
        <w:t>eventuele kunstmatige</w:t>
      </w:r>
      <w:r w:rsidRPr="00916CCC" w:rsidR="00D2548A">
        <w:t xml:space="preserve"> voordelen op de </w:t>
      </w:r>
      <w:r w:rsidR="00D2548A">
        <w:t>thuis</w:t>
      </w:r>
      <w:r w:rsidRPr="00916CCC" w:rsidR="00D2548A">
        <w:t>markt die tot overwinsten leiden mee te nemen</w:t>
      </w:r>
      <w:r w:rsidR="00D2548A">
        <w:t xml:space="preserve"> in de beoordeling</w:t>
      </w:r>
      <w:r w:rsidRPr="00916CCC" w:rsidR="00D2548A">
        <w:t xml:space="preserve">, zoals in het </w:t>
      </w:r>
      <w:r w:rsidR="00D2548A">
        <w:t>kabinets</w:t>
      </w:r>
      <w:r w:rsidRPr="00916CCC" w:rsidR="00D2548A">
        <w:t xml:space="preserve">voorstel voor een </w:t>
      </w:r>
      <w:r w:rsidRPr="00B12EE1" w:rsidR="00D2548A">
        <w:rPr>
          <w:i/>
          <w:iCs/>
        </w:rPr>
        <w:t xml:space="preserve">level </w:t>
      </w:r>
      <w:proofErr w:type="spellStart"/>
      <w:r w:rsidRPr="00B12EE1" w:rsidR="00D2548A">
        <w:rPr>
          <w:i/>
          <w:iCs/>
        </w:rPr>
        <w:t>playing</w:t>
      </w:r>
      <w:proofErr w:type="spellEnd"/>
      <w:r w:rsidRPr="00B12EE1" w:rsidR="00D2548A">
        <w:rPr>
          <w:i/>
          <w:iCs/>
        </w:rPr>
        <w:t xml:space="preserve"> field instrument</w:t>
      </w:r>
      <w:r w:rsidR="00A4319D">
        <w:rPr>
          <w:i/>
          <w:iCs/>
        </w:rPr>
        <w:t>.</w:t>
      </w:r>
    </w:p>
    <w:p w:rsidR="007265CA" w:rsidP="00F81BD8" w:rsidRDefault="007265CA" w14:paraId="2D3EE370" w14:textId="77777777">
      <w:pPr>
        <w:contextualSpacing/>
      </w:pPr>
    </w:p>
    <w:p w:rsidR="00F912AC" w:rsidP="00F912AC" w:rsidRDefault="00F912AC" w14:paraId="60A7F8EE" w14:textId="77777777">
      <w:pPr>
        <w:contextualSpacing/>
      </w:pPr>
      <w:r>
        <w:t xml:space="preserve">De Commissie geeft in het witboek aan een voorkeur te hebben voor een combinatie van module 1 en 2 waarbij de daartoe aangewezen nationale autoriteiten een onderzoek kunnen starten (decentraal model). Nederland ziet de geschetste module 2 primair als een nadere uitwerking van module 1. Afhankelijk van de precieze uitwerking van module 1 kunnen onder deze module namelijk ook marktverstoringen onderzocht worden die ontstaan door </w:t>
      </w:r>
      <w:r>
        <w:rPr>
          <w:szCs w:val="18"/>
        </w:rPr>
        <w:t xml:space="preserve">overheidsfinanciering </w:t>
      </w:r>
      <w:r w:rsidRPr="009750A1">
        <w:rPr>
          <w:szCs w:val="18"/>
        </w:rPr>
        <w:t>bij overnames</w:t>
      </w:r>
      <w:r>
        <w:rPr>
          <w:szCs w:val="18"/>
        </w:rPr>
        <w:t xml:space="preserve"> of verwerving van significante invloed in een in de EU gevestigde onderneming</w:t>
      </w:r>
      <w:r>
        <w:t>.</w:t>
      </w:r>
    </w:p>
    <w:p w:rsidR="00F912AC" w:rsidP="00F81BD8" w:rsidRDefault="00F912AC" w14:paraId="2705B9F9" w14:textId="77777777">
      <w:pPr>
        <w:contextualSpacing/>
      </w:pPr>
    </w:p>
    <w:p w:rsidR="00F912AC" w:rsidP="00F81BD8" w:rsidRDefault="00F912AC" w14:paraId="21BC546F" w14:textId="77777777">
      <w:pPr>
        <w:contextualSpacing/>
      </w:pPr>
    </w:p>
    <w:p w:rsidR="00B90C62" w:rsidP="00F81BD8" w:rsidRDefault="00B90C62" w14:paraId="50FFEB08" w14:textId="77777777">
      <w:pPr>
        <w:contextualSpacing/>
        <w:rPr>
          <w:i/>
          <w:iCs/>
          <w:szCs w:val="18"/>
          <w:u w:val="single"/>
        </w:rPr>
      </w:pPr>
      <w:r>
        <w:rPr>
          <w:i/>
          <w:iCs/>
          <w:szCs w:val="18"/>
          <w:u w:val="single"/>
        </w:rPr>
        <w:t xml:space="preserve">2. </w:t>
      </w:r>
      <w:r w:rsidRPr="006B3E07" w:rsidR="006B3E07">
        <w:rPr>
          <w:i/>
          <w:iCs/>
          <w:szCs w:val="18"/>
          <w:u w:val="single"/>
        </w:rPr>
        <w:t xml:space="preserve">Voorstel </w:t>
      </w:r>
      <w:r w:rsidR="00CA435E">
        <w:rPr>
          <w:i/>
          <w:iCs/>
          <w:szCs w:val="18"/>
          <w:u w:val="single"/>
        </w:rPr>
        <w:t xml:space="preserve">voor een </w:t>
      </w:r>
      <w:r w:rsidRPr="006B3E07" w:rsidR="006B3E07">
        <w:rPr>
          <w:i/>
          <w:iCs/>
          <w:szCs w:val="18"/>
          <w:u w:val="single"/>
        </w:rPr>
        <w:t xml:space="preserve">aanbestedingsinstrument </w:t>
      </w:r>
    </w:p>
    <w:p w:rsidR="00D2548A" w:rsidP="00D2548A" w:rsidRDefault="00D2548A" w14:paraId="04E88167" w14:textId="77777777">
      <w:pPr>
        <w:contextualSpacing/>
        <w:rPr>
          <w:szCs w:val="18"/>
        </w:rPr>
      </w:pPr>
      <w:r>
        <w:rPr>
          <w:szCs w:val="18"/>
        </w:rPr>
        <w:t>Op basis van de eerder beschreven analyse constateert de Europese Commissie dat een aanvullend aanbestedingsinstrument nodig is. Daartoe doet de Europese Commissie een voorstel waarbij bedrijven (ongeacht hun herkomst)</w:t>
      </w:r>
      <w:r w:rsidRPr="00C83738">
        <w:rPr>
          <w:szCs w:val="18"/>
        </w:rPr>
        <w:t xml:space="preserve"> die </w:t>
      </w:r>
      <w:r>
        <w:rPr>
          <w:szCs w:val="18"/>
        </w:rPr>
        <w:t xml:space="preserve">inschrijven op </w:t>
      </w:r>
      <w:r w:rsidRPr="00C83738">
        <w:rPr>
          <w:szCs w:val="18"/>
        </w:rPr>
        <w:t>een aanbesteding</w:t>
      </w:r>
      <w:r>
        <w:rPr>
          <w:szCs w:val="18"/>
        </w:rPr>
        <w:t xml:space="preserve"> in bepaalde gevallen een notificatie moeten doen, als zij overheidssteun uit derde landen ontvangen hebben</w:t>
      </w:r>
      <w:r w:rsidRPr="00C83738">
        <w:rPr>
          <w:szCs w:val="18"/>
        </w:rPr>
        <w:t xml:space="preserve">. </w:t>
      </w:r>
      <w:r>
        <w:rPr>
          <w:szCs w:val="18"/>
        </w:rPr>
        <w:t>Dat moet ook als niet zijzelf, maar leden van een consortium waarin zij participeren, onderaannemers of leveranciers ontvangers van dergelijke overheidssteun waren.</w:t>
      </w:r>
      <w:r w:rsidRPr="00C83738">
        <w:rPr>
          <w:szCs w:val="18"/>
        </w:rPr>
        <w:t xml:space="preserve"> </w:t>
      </w:r>
      <w:r w:rsidRPr="00BA3269">
        <w:rPr>
          <w:szCs w:val="18"/>
        </w:rPr>
        <w:t>E</w:t>
      </w:r>
      <w:r w:rsidRPr="00552DEC">
        <w:rPr>
          <w:szCs w:val="18"/>
        </w:rPr>
        <w:t xml:space="preserve">en notificatie moet de informatie bevatten die nodig is om te beoordelen of de ondernemer profiteert van </w:t>
      </w:r>
      <w:r>
        <w:rPr>
          <w:szCs w:val="18"/>
        </w:rPr>
        <w:t xml:space="preserve">overheidssteun uit derde </w:t>
      </w:r>
      <w:r>
        <w:rPr>
          <w:szCs w:val="18"/>
        </w:rPr>
        <w:lastRenderedPageBreak/>
        <w:t>landen</w:t>
      </w:r>
      <w:r w:rsidRPr="007F03A4">
        <w:rPr>
          <w:szCs w:val="18"/>
        </w:rPr>
        <w:t xml:space="preserve"> die de </w:t>
      </w:r>
      <w:r w:rsidRPr="00BD3FE2">
        <w:rPr>
          <w:szCs w:val="18"/>
        </w:rPr>
        <w:t>aanbestedingsprocedure verstoort</w:t>
      </w:r>
      <w:r>
        <w:rPr>
          <w:szCs w:val="18"/>
        </w:rPr>
        <w:t>.</w:t>
      </w:r>
      <w:r w:rsidRPr="00552DEC">
        <w:rPr>
          <w:szCs w:val="18"/>
        </w:rPr>
        <w:t xml:space="preserve"> </w:t>
      </w:r>
      <w:r>
        <w:rPr>
          <w:szCs w:val="18"/>
        </w:rPr>
        <w:t>A</w:t>
      </w:r>
      <w:r w:rsidRPr="00552DEC">
        <w:rPr>
          <w:szCs w:val="18"/>
        </w:rPr>
        <w:t xml:space="preserve">ndere </w:t>
      </w:r>
      <w:r w:rsidRPr="007F03A4">
        <w:rPr>
          <w:szCs w:val="18"/>
        </w:rPr>
        <w:t xml:space="preserve">belanghebbenden </w:t>
      </w:r>
      <w:r>
        <w:rPr>
          <w:szCs w:val="18"/>
        </w:rPr>
        <w:t xml:space="preserve">kunnen </w:t>
      </w:r>
      <w:r w:rsidRPr="007F03A4">
        <w:rPr>
          <w:szCs w:val="18"/>
        </w:rPr>
        <w:t>gemotiveerd melden dat een notificatie ten onrechte ontbreekt.</w:t>
      </w:r>
    </w:p>
    <w:p w:rsidR="006B3E07" w:rsidP="00F81BD8" w:rsidRDefault="006B3E07" w14:paraId="66B90AAE" w14:textId="77777777">
      <w:pPr>
        <w:contextualSpacing/>
        <w:rPr>
          <w:szCs w:val="18"/>
        </w:rPr>
      </w:pPr>
    </w:p>
    <w:p w:rsidR="006B3E07" w:rsidP="00F81BD8" w:rsidRDefault="006B3E07" w14:paraId="63DBB33D" w14:textId="77777777">
      <w:pPr>
        <w:contextualSpacing/>
        <w:rPr>
          <w:szCs w:val="18"/>
        </w:rPr>
      </w:pPr>
      <w:r w:rsidRPr="00552DEC">
        <w:rPr>
          <w:szCs w:val="18"/>
        </w:rPr>
        <w:t xml:space="preserve">De aanbestedende dienst </w:t>
      </w:r>
      <w:r>
        <w:rPr>
          <w:szCs w:val="18"/>
        </w:rPr>
        <w:t>stuurt</w:t>
      </w:r>
      <w:r w:rsidRPr="00552DEC">
        <w:rPr>
          <w:szCs w:val="18"/>
        </w:rPr>
        <w:t xml:space="preserve"> de</w:t>
      </w:r>
      <w:r>
        <w:rPr>
          <w:szCs w:val="18"/>
        </w:rPr>
        <w:t xml:space="preserve"> ontvangen</w:t>
      </w:r>
      <w:r w:rsidRPr="00552DEC">
        <w:rPr>
          <w:szCs w:val="18"/>
        </w:rPr>
        <w:t xml:space="preserve"> notificaties en meldingen door naar de </w:t>
      </w:r>
      <w:r>
        <w:rPr>
          <w:szCs w:val="18"/>
        </w:rPr>
        <w:t>bevoegde autoriteit en publiceert deze</w:t>
      </w:r>
      <w:r w:rsidRPr="00552DEC">
        <w:rPr>
          <w:szCs w:val="18"/>
        </w:rPr>
        <w:t>.</w:t>
      </w:r>
      <w:r>
        <w:rPr>
          <w:szCs w:val="18"/>
        </w:rPr>
        <w:t xml:space="preserve"> </w:t>
      </w:r>
      <w:r w:rsidR="000923EC">
        <w:rPr>
          <w:szCs w:val="18"/>
        </w:rPr>
        <w:t>De Europese Commissie stelt voor dat d</w:t>
      </w:r>
      <w:r>
        <w:rPr>
          <w:szCs w:val="18"/>
        </w:rPr>
        <w:t xml:space="preserve">e bevoegde autoriteit voor dit instrument dezelfde </w:t>
      </w:r>
      <w:r w:rsidR="000923EC">
        <w:rPr>
          <w:szCs w:val="18"/>
        </w:rPr>
        <w:t xml:space="preserve">is </w:t>
      </w:r>
      <w:r>
        <w:rPr>
          <w:szCs w:val="18"/>
        </w:rPr>
        <w:t>als voor module 1, dat wil zeggen een nationale bevoegde autoriteit of de Europese Commissie. Indien de bevoegde autoriteit besluit een onderzoek te openen, bestaat dat uit twee fasen:</w:t>
      </w:r>
    </w:p>
    <w:p w:rsidR="0005252E" w:rsidP="006F4DC5" w:rsidRDefault="006B3E07" w14:paraId="7E7818ED" w14:textId="77777777">
      <w:pPr>
        <w:pStyle w:val="Lijstalinea"/>
        <w:numPr>
          <w:ilvl w:val="0"/>
          <w:numId w:val="10"/>
        </w:numPr>
        <w:rPr>
          <w:szCs w:val="18"/>
        </w:rPr>
      </w:pPr>
      <w:r w:rsidRPr="0005252E">
        <w:rPr>
          <w:szCs w:val="18"/>
        </w:rPr>
        <w:t>Voorlopige evaluatie</w:t>
      </w:r>
      <w:r w:rsidR="0005252E">
        <w:rPr>
          <w:szCs w:val="18"/>
        </w:rPr>
        <w:t>: d</w:t>
      </w:r>
      <w:r w:rsidRPr="0005252E">
        <w:rPr>
          <w:szCs w:val="18"/>
        </w:rPr>
        <w:t>e bevoegde autoriteit onderzoekt of een diepgaand onderzoek gerechtvaardigd is.</w:t>
      </w:r>
      <w:r w:rsidRPr="0005252E" w:rsidDel="002729D2">
        <w:rPr>
          <w:szCs w:val="18"/>
        </w:rPr>
        <w:t xml:space="preserve"> </w:t>
      </w:r>
      <w:r w:rsidRPr="0005252E">
        <w:rPr>
          <w:szCs w:val="18"/>
        </w:rPr>
        <w:t>Hierdoor wordt vertraging van de aanbestedingsprocedure zo veel mogelijk voorkomen.</w:t>
      </w:r>
    </w:p>
    <w:p w:rsidRPr="0005252E" w:rsidR="006B3E07" w:rsidP="006F4DC5" w:rsidRDefault="006B3E07" w14:paraId="60614045" w14:textId="77777777">
      <w:pPr>
        <w:pStyle w:val="Lijstalinea"/>
        <w:numPr>
          <w:ilvl w:val="0"/>
          <w:numId w:val="10"/>
        </w:numPr>
        <w:rPr>
          <w:szCs w:val="18"/>
        </w:rPr>
      </w:pPr>
      <w:r>
        <w:t>Diepgaand onderzoek</w:t>
      </w:r>
      <w:r w:rsidR="0005252E">
        <w:t>: t</w:t>
      </w:r>
      <w:r w:rsidRPr="0005252E">
        <w:rPr>
          <w:szCs w:val="18"/>
        </w:rPr>
        <w:t xml:space="preserve">ijdens het diepgaande onderzoek naar de betreffende inschrijver kan de aanbestedende dienst de beoordeling van de inschrijvingen gewoon doorzetten. Als op basis daarvan de winnaar een andere partij is dan degene die onderzocht wordt, kan </w:t>
      </w:r>
      <w:r w:rsidR="00F2794A">
        <w:rPr>
          <w:szCs w:val="18"/>
        </w:rPr>
        <w:t xml:space="preserve">de opdracht </w:t>
      </w:r>
      <w:r w:rsidRPr="0005252E">
        <w:rPr>
          <w:szCs w:val="18"/>
        </w:rPr>
        <w:t>gegund worden. Als de inschrijver die wordt onderzocht, wel als winnaar uit de bus lijkt te komen, moet de aanbestedende dienst de aanbestedingsprocedure aanhouden</w:t>
      </w:r>
      <w:r w:rsidR="006D7AC7">
        <w:rPr>
          <w:szCs w:val="18"/>
        </w:rPr>
        <w:t>,</w:t>
      </w:r>
      <w:r w:rsidRPr="0005252E">
        <w:rPr>
          <w:szCs w:val="18"/>
        </w:rPr>
        <w:t xml:space="preserve"> totdat onderzoek is afgerond. </w:t>
      </w:r>
    </w:p>
    <w:p w:rsidRPr="00D2548A" w:rsidR="00D2548A" w:rsidP="00D2548A" w:rsidRDefault="00D2548A" w14:paraId="0DEB80CB" w14:textId="77777777">
      <w:pPr>
        <w:rPr>
          <w:szCs w:val="18"/>
        </w:rPr>
      </w:pPr>
      <w:r w:rsidRPr="00D2548A">
        <w:rPr>
          <w:szCs w:val="18"/>
        </w:rPr>
        <w:t xml:space="preserve">Als de toezichthouder op basis van het onderzoek oordeelt dat inderdaad sprake is van marktverstorende overheidssteun uit derde landen, besluit de aanbestedende dienst of de overheidssteun de aanbesteding verstoort. Als dat het geval is, wordt de inschrijver uitgesloten. De aanbestedende dienst kan bovendien besluiten de inschrijver gedurende maximaal 3 jaar uit te sluiten van toekomstige aanbestedingsprocedures. </w:t>
      </w:r>
    </w:p>
    <w:p w:rsidRPr="00B12EE1" w:rsidR="009B2C64" w:rsidP="00F81BD8" w:rsidRDefault="009B2C64" w14:paraId="1EB8AA8A" w14:textId="77777777">
      <w:pPr>
        <w:contextualSpacing/>
        <w:rPr>
          <w:szCs w:val="18"/>
        </w:rPr>
      </w:pPr>
    </w:p>
    <w:p w:rsidRPr="00B12EE1" w:rsidR="00050447" w:rsidP="00050447" w:rsidRDefault="00B12EE1" w14:paraId="2D732BDA" w14:textId="77777777">
      <w:pPr>
        <w:contextualSpacing/>
        <w:rPr>
          <w:i/>
          <w:iCs/>
          <w:szCs w:val="18"/>
          <w:u w:val="single"/>
        </w:rPr>
      </w:pPr>
      <w:r w:rsidRPr="00B12EE1">
        <w:rPr>
          <w:i/>
          <w:iCs/>
          <w:szCs w:val="18"/>
          <w:u w:val="single"/>
        </w:rPr>
        <w:t>2.1.</w:t>
      </w:r>
      <w:r w:rsidRPr="00B12EE1" w:rsidR="00050447">
        <w:rPr>
          <w:i/>
          <w:iCs/>
          <w:szCs w:val="18"/>
          <w:u w:val="single"/>
        </w:rPr>
        <w:tab/>
        <w:t>Appreciatie voorstel aanbestedingsinstrument</w:t>
      </w:r>
    </w:p>
    <w:p w:rsidR="00D2548A" w:rsidP="00D2548A" w:rsidRDefault="00D2548A" w14:paraId="36661B1E" w14:textId="77777777">
      <w:pPr>
        <w:contextualSpacing/>
      </w:pPr>
      <w:r w:rsidRPr="00B12EE1">
        <w:t xml:space="preserve">Nederland deelt de analyse van de Europese Commissie van marktverstoring door </w:t>
      </w:r>
      <w:r>
        <w:t>overheidssteun uit derde landen</w:t>
      </w:r>
      <w:r w:rsidRPr="00B12EE1">
        <w:t xml:space="preserve"> bij aanbestedingen. </w:t>
      </w:r>
      <w:r>
        <w:t>De</w:t>
      </w:r>
      <w:r w:rsidR="00CE7A79">
        <w:t>r</w:t>
      </w:r>
      <w:r>
        <w:t>gelijke steun</w:t>
      </w:r>
      <w:r w:rsidRPr="00B12EE1">
        <w:t xml:space="preserve"> kan ertoe leiden dat inschrijvers aanbiedingen kunnen doen waarmee zij andere partijen oneerlijk beconcurreren. Het oneerlijke element kan tot uiting komen in de prijs, maar ook in de marktpositie van de ontvanger van de buitenlandse staatssteun. Als deze zijn kennis, ervaring of omvang heeft kunnen verwerven door</w:t>
      </w:r>
      <w:r>
        <w:t xml:space="preserve"> overheidssteun</w:t>
      </w:r>
      <w:r w:rsidRPr="00B12EE1">
        <w:t xml:space="preserve"> die</w:t>
      </w:r>
      <w:r>
        <w:t xml:space="preserve"> in strijd is met EU-kaders, levert dat immers oneerlijke concurrentie op, ook al rekent de inschrijver marktconforme prijzen. </w:t>
      </w:r>
    </w:p>
    <w:p w:rsidR="00D2548A" w:rsidP="00D2548A" w:rsidRDefault="00D2548A" w14:paraId="062B2E56" w14:textId="77777777">
      <w:pPr>
        <w:contextualSpacing/>
      </w:pPr>
    </w:p>
    <w:p w:rsidR="00D2548A" w:rsidP="00D2548A" w:rsidRDefault="00D2548A" w14:paraId="419D43F4" w14:textId="77777777">
      <w:r>
        <w:t xml:space="preserve">Instrumenten die marktverstoring in algemene zin aanpakken, werken uiteraard door in aanbestedingsprocedures die daarna plaatsvinden, maar hebben veelal een te lange doorlooptijd om geconstateerde marktverstoringen </w:t>
      </w:r>
      <w:r w:rsidRPr="00B12EE1">
        <w:rPr>
          <w:i/>
        </w:rPr>
        <w:t>tijdens</w:t>
      </w:r>
      <w:r>
        <w:t xml:space="preserve"> een aanbestedingsprocedure recht te zetten. De voorgestelde module 1 en dit aanbestedingsinstrument kunnen dan ook allebei bijdragen aan de aanpak van marktverstoring bij aanbestedingen.</w:t>
      </w:r>
      <w:r>
        <w:rPr>
          <w:rStyle w:val="Voetnootmarkering"/>
        </w:rPr>
        <w:footnoteReference w:id="7"/>
      </w:r>
      <w:r>
        <w:t xml:space="preserve"> Hierbij geldt wel dat het inzetten van module 1 tegen ondernemingen waarvan het vermoeden bestaat dat het ontvangers zijn van marktverstorende overheidssteun uit derde landen, potentieel kan doorwerken op meerdere aanbestedingen (wanneer de betreffende onderneming op meerdere aanbestedingen inschrijft) en het aanbestedingsinstrument alleen werkt op een specifieke inschrijving van de onderneming. Een gecoördineerde aanpak tussen module 1 en het aanbestedingsinstrument op dit terrein zou dan ook </w:t>
      </w:r>
      <w:r w:rsidR="00CE7A79">
        <w:t xml:space="preserve">wenselijk </w:t>
      </w:r>
      <w:r>
        <w:t xml:space="preserve">zijn, om te voorkomen dat meerdere individuele aanbestedende diensten te maken krijgen met de inzet van het aanbestedingsinstrument terwijl tegen de betreffende onderneming ook module 1 zou kunnen worden ingezet. </w:t>
      </w:r>
    </w:p>
    <w:p w:rsidR="00050447" w:rsidP="00050447" w:rsidRDefault="00050447" w14:paraId="4944AFA5" w14:textId="77777777"/>
    <w:p w:rsidRPr="00050447" w:rsidR="00050447" w:rsidP="00050447" w:rsidRDefault="00834446" w14:paraId="6B133C22" w14:textId="5DFBBFDD">
      <w:r>
        <w:t>H</w:t>
      </w:r>
      <w:r w:rsidR="008A0A4F">
        <w:t>et kabinet</w:t>
      </w:r>
      <w:r w:rsidR="00050447">
        <w:t xml:space="preserve"> is </w:t>
      </w:r>
      <w:r w:rsidR="00A03041">
        <w:t xml:space="preserve">positief over </w:t>
      </w:r>
      <w:r w:rsidR="00050447">
        <w:t xml:space="preserve">het initiatief van de Europese Commissie om een instrument te ontwikkelen dat </w:t>
      </w:r>
      <w:r w:rsidR="00E40498">
        <w:t>gedurende</w:t>
      </w:r>
      <w:r w:rsidR="00050447">
        <w:t xml:space="preserve"> een aanbestedingsprocedure ingezet kan worden en kijkt uit naar een concreet </w:t>
      </w:r>
      <w:r w:rsidR="00B9027D">
        <w:t>wetgevings</w:t>
      </w:r>
      <w:r w:rsidR="00050447">
        <w:t xml:space="preserve">voorstel. In dat kader </w:t>
      </w:r>
      <w:r w:rsidR="007D1E99">
        <w:t xml:space="preserve">ziet </w:t>
      </w:r>
      <w:r w:rsidR="008A0A4F">
        <w:t xml:space="preserve">het </w:t>
      </w:r>
      <w:r w:rsidR="009015E1">
        <w:t>kabinet</w:t>
      </w:r>
      <w:r>
        <w:t xml:space="preserve"> </w:t>
      </w:r>
      <w:r w:rsidR="00050447">
        <w:t xml:space="preserve">een aantal </w:t>
      </w:r>
      <w:r w:rsidR="007D1E99">
        <w:t xml:space="preserve">aandachtspunten bij </w:t>
      </w:r>
      <w:r w:rsidR="00050447">
        <w:t xml:space="preserve">de voorgestelde procedure en criteria, de verhouding tot andere instrumenten en de juridische aspecten die in de verdere uitwerking aan de orde zouden moeten komen. Met betrekking tot de voorgestelde procedure en criteria is het </w:t>
      </w:r>
      <w:r w:rsidRPr="00FC746F" w:rsidR="00050447">
        <w:t xml:space="preserve">voor </w:t>
      </w:r>
      <w:r w:rsidR="008A0A4F">
        <w:t xml:space="preserve">het kabinet </w:t>
      </w:r>
      <w:r w:rsidRPr="00FC746F" w:rsidR="00050447">
        <w:t>belangrijk</w:t>
      </w:r>
      <w:r w:rsidR="00050447">
        <w:t xml:space="preserve"> dat de criteria op basis waarvan de bevoegde autoriteit besluit een (diepgaand) onderzoek in te stellen, worden uitgewerkt. Daarbij ziet </w:t>
      </w:r>
      <w:r w:rsidR="008A0A4F">
        <w:t xml:space="preserve">het kabinet </w:t>
      </w:r>
      <w:r w:rsidR="00050447">
        <w:t xml:space="preserve">graag meer aandacht voor het risico dat de aanbestedingsprocedure vertraagd wordt terwijl de bevoegde autoriteit besluit geen diepgaand onderzoek in te stellen. Onderzocht kan worden of het beter is de twee stappen (te weten de </w:t>
      </w:r>
      <w:r w:rsidRPr="00050447" w:rsidR="00050447">
        <w:lastRenderedPageBreak/>
        <w:t xml:space="preserve">preliminaire en </w:t>
      </w:r>
      <w:r w:rsidR="001C3A43">
        <w:t>diepgaande</w:t>
      </w:r>
      <w:r w:rsidRPr="00050447" w:rsidR="00050447">
        <w:t xml:space="preserve"> beoordeling) te combineren en de aanbestedende dienst van begin af aan de gelegenheid te geven door te gaan met de beoordeling, mits er niet gegund wordt aan de onderzochte partij. Verder gaat het voorstel er vanuit dat de inschrijver zelf informatie verschaft over subsidie die deze ontvangt. Nu wordt er bij aanbestedingen al gewerkt met eigenverklaringen, </w:t>
      </w:r>
      <w:r w:rsidRPr="00FC746F" w:rsidR="00050447">
        <w:t xml:space="preserve">maar </w:t>
      </w:r>
      <w:r w:rsidR="009015E1">
        <w:t>het kabinet</w:t>
      </w:r>
      <w:r w:rsidRPr="00050447" w:rsidR="009015E1">
        <w:t xml:space="preserve"> </w:t>
      </w:r>
      <w:r w:rsidRPr="00FC746F" w:rsidR="00050447">
        <w:t>wijst</w:t>
      </w:r>
      <w:r w:rsidRPr="00050447" w:rsidR="00050447">
        <w:t xml:space="preserve"> er op dat de in de notificatie te verstrekken informatie lastig controleerbaar is voor zowel belanghebbenden als aanbestedende diensten. </w:t>
      </w:r>
      <w:r w:rsidRPr="00FC746F" w:rsidR="00050447">
        <w:t>Het</w:t>
      </w:r>
      <w:r w:rsidRPr="00050447" w:rsidR="00050447">
        <w:t xml:space="preserve"> is de vraag of de bevoegde autoriteiten hier wel voldoende inzicht in hebben. Tevens vraagt </w:t>
      </w:r>
      <w:r w:rsidR="008A0A4F">
        <w:t>het kabinet</w:t>
      </w:r>
      <w:r w:rsidRPr="00050447" w:rsidR="00050447">
        <w:t xml:space="preserve"> zich af aan de hand van welke criteria de aanbestedende dienst – met het resultaat van het onderzoek door de autoriteit in de hand – beoordeelt of er daadwerkelijk sprake is geweest van marktverstoring binnen de aanbestedingsprocedure</w:t>
      </w:r>
      <w:r w:rsidR="00050447">
        <w:t xml:space="preserve">, </w:t>
      </w:r>
      <w:r w:rsidRPr="00050447" w:rsidR="00050447">
        <w:t xml:space="preserve">en of de aanbestedende dienst dit redelijkerwijs kan beoordelen. </w:t>
      </w:r>
    </w:p>
    <w:p w:rsidRPr="00050447" w:rsidR="00050447" w:rsidP="00050447" w:rsidRDefault="00050447" w14:paraId="5BF6D378" w14:textId="77777777"/>
    <w:p w:rsidR="00050447" w:rsidP="00050447" w:rsidRDefault="00E71DAE" w14:paraId="271B8AD2" w14:textId="5F98D1C4">
      <w:r>
        <w:t>Het</w:t>
      </w:r>
      <w:r w:rsidRPr="00050447">
        <w:t xml:space="preserve"> </w:t>
      </w:r>
      <w:r w:rsidRPr="00050447" w:rsidR="00050447">
        <w:t xml:space="preserve">is belangrijk dat </w:t>
      </w:r>
      <w:r>
        <w:t>de Commissie</w:t>
      </w:r>
      <w:r w:rsidRPr="00050447" w:rsidR="00050447">
        <w:t xml:space="preserve"> verduidelijkt hoe het voorgestelde instrument zich verhoudt tot andere instrumenten, zoals de </w:t>
      </w:r>
      <w:r w:rsidRPr="00FC746F" w:rsidR="00050447">
        <w:t xml:space="preserve">toetsing van abnormaal lage inschrijvingen (artikel 69 van richtlijn 2014/24/EU) of een eventuele IPI-maatregel. </w:t>
      </w:r>
      <w:r w:rsidR="008A0A4F">
        <w:t>Het kabinet</w:t>
      </w:r>
      <w:r w:rsidRPr="00FC746F" w:rsidR="00050447">
        <w:t xml:space="preserve"> </w:t>
      </w:r>
      <w:r w:rsidRPr="005643D7" w:rsidR="00050447">
        <w:t xml:space="preserve">vraagt zich af of de Europese Commissie mogelijkheden ziet tot integratie van het aanbestedingsinstrument en het instrument van toetsing van abnormaal lage inschrijvingen. Ook ziet </w:t>
      </w:r>
      <w:r w:rsidR="009015E1">
        <w:t>het kabinet</w:t>
      </w:r>
      <w:r w:rsidRPr="00050447" w:rsidR="00050447">
        <w:t xml:space="preserve"> graag duidelijkheid over de mogelijke samenloop van dit aanbestedingsinstrument en het IPI in een lopende aanbesteding. </w:t>
      </w:r>
      <w:r w:rsidR="000166EA">
        <w:t xml:space="preserve">Door naast IPI nog een aanbestedingsinstrument te introduceren </w:t>
      </w:r>
      <w:r w:rsidR="00D80FC2">
        <w:t>d</w:t>
      </w:r>
      <w:r w:rsidR="00D950CE">
        <w:t>at</w:t>
      </w:r>
      <w:r w:rsidR="00D80FC2">
        <w:t xml:space="preserve"> gedurende </w:t>
      </w:r>
      <w:r w:rsidR="000166EA">
        <w:t>een aanbesteding</w:t>
      </w:r>
      <w:r w:rsidR="00D80FC2">
        <w:t>sprocedure kan worden ingezet</w:t>
      </w:r>
      <w:r w:rsidR="000166EA">
        <w:t>, zullen de administratieve lasten voor aanbestedende diensten en het bedrijfsleven verder toenemen</w:t>
      </w:r>
      <w:r w:rsidR="002F0B43">
        <w:t>.</w:t>
      </w:r>
    </w:p>
    <w:p w:rsidRPr="00050447" w:rsidR="00036BC1" w:rsidP="00050447" w:rsidRDefault="00036BC1" w14:paraId="66A9672A" w14:textId="77777777"/>
    <w:p w:rsidRPr="003226C8" w:rsidR="00050447" w:rsidP="00050447" w:rsidRDefault="00050447" w14:paraId="0BE79E09" w14:textId="442478F6">
      <w:r w:rsidRPr="00050447">
        <w:t xml:space="preserve">Tot slot merkt </w:t>
      </w:r>
      <w:r w:rsidR="009015E1">
        <w:t>het kabinet</w:t>
      </w:r>
      <w:r w:rsidRPr="00050447">
        <w:t xml:space="preserve"> in het kader van de juridische aspecten op dat onduidelijk is of met het voorgestelde instrument een nieuwe uitsluitingsgrond wordt geïntroduceerd en of deze facultatief van aard is. Indien de Commissie een nieuwe uitsluitingsgrond beoogt te introduceren</w:t>
      </w:r>
      <w:r>
        <w:t>, zal</w:t>
      </w:r>
      <w:r w:rsidRPr="003226C8">
        <w:t xml:space="preserve"> de aanbestedingsrichtlijn </w:t>
      </w:r>
      <w:r>
        <w:t>hier</w:t>
      </w:r>
      <w:r w:rsidRPr="003226C8">
        <w:t>op aangepast moeten worden</w:t>
      </w:r>
      <w:r w:rsidR="00B76845">
        <w:t>.</w:t>
      </w:r>
    </w:p>
    <w:p w:rsidRPr="003226C8" w:rsidR="008E5BB8" w:rsidP="00036BC1" w:rsidRDefault="008E5BB8" w14:paraId="4FA688B3" w14:textId="77777777">
      <w:pPr>
        <w:contextualSpacing/>
      </w:pPr>
    </w:p>
    <w:sectPr w:rsidRPr="003226C8" w:rsidR="008E5BB8">
      <w:headerReference w:type="default" r:id="rId8"/>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2D645" w14:textId="77777777" w:rsidR="006E16A5" w:rsidRDefault="006E16A5">
      <w:pPr>
        <w:spacing w:line="240" w:lineRule="auto"/>
      </w:pPr>
      <w:r>
        <w:separator/>
      </w:r>
    </w:p>
  </w:endnote>
  <w:endnote w:type="continuationSeparator" w:id="0">
    <w:p w14:paraId="64331332" w14:textId="77777777" w:rsidR="006E16A5" w:rsidRDefault="006E16A5">
      <w:pPr>
        <w:spacing w:line="240" w:lineRule="auto"/>
      </w:pPr>
      <w:r>
        <w:continuationSeparator/>
      </w:r>
    </w:p>
  </w:endnote>
  <w:endnote w:type="continuationNotice" w:id="1">
    <w:p w14:paraId="04A79AC8" w14:textId="77777777" w:rsidR="006E16A5" w:rsidRDefault="006E16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22A83" w14:textId="77777777" w:rsidR="00E80A40" w:rsidRDefault="00E80A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F9E24" w14:textId="77777777" w:rsidR="006E16A5" w:rsidRDefault="006E16A5">
      <w:pPr>
        <w:spacing w:line="240" w:lineRule="auto"/>
      </w:pPr>
      <w:r>
        <w:separator/>
      </w:r>
    </w:p>
  </w:footnote>
  <w:footnote w:type="continuationSeparator" w:id="0">
    <w:p w14:paraId="1EA47AE7" w14:textId="77777777" w:rsidR="006E16A5" w:rsidRDefault="006E16A5">
      <w:pPr>
        <w:spacing w:line="240" w:lineRule="auto"/>
      </w:pPr>
      <w:r>
        <w:continuationSeparator/>
      </w:r>
    </w:p>
  </w:footnote>
  <w:footnote w:type="continuationNotice" w:id="1">
    <w:p w14:paraId="082B8177" w14:textId="77777777" w:rsidR="006E16A5" w:rsidRDefault="006E16A5">
      <w:pPr>
        <w:spacing w:line="240" w:lineRule="auto"/>
      </w:pPr>
    </w:p>
  </w:footnote>
  <w:footnote w:id="2">
    <w:p w14:paraId="11B0112D" w14:textId="77777777" w:rsidR="00061501" w:rsidRDefault="00061501">
      <w:pPr>
        <w:pStyle w:val="Voetnoottekst"/>
      </w:pPr>
      <w:r>
        <w:rPr>
          <w:rStyle w:val="Voetnootmarkering"/>
        </w:rPr>
        <w:footnoteRef/>
      </w:r>
      <w:r>
        <w:t xml:space="preserve"> Verdrag inzake subsidies en compenserende maatregelen.</w:t>
      </w:r>
    </w:p>
  </w:footnote>
  <w:footnote w:id="3">
    <w:p w14:paraId="2A8F9E00" w14:textId="77777777" w:rsidR="00061501" w:rsidRDefault="00061501">
      <w:pPr>
        <w:pStyle w:val="Voetnoottekst"/>
      </w:pPr>
      <w:r>
        <w:rPr>
          <w:rStyle w:val="Voetnootmarkering"/>
        </w:rPr>
        <w:footnoteRef/>
      </w:r>
      <w:r>
        <w:t xml:space="preserve"> Het </w:t>
      </w:r>
      <w:proofErr w:type="spellStart"/>
      <w:r w:rsidRPr="004E2FDD">
        <w:rPr>
          <w:szCs w:val="18"/>
        </w:rPr>
        <w:t>handelsdefensieve</w:t>
      </w:r>
      <w:proofErr w:type="spellEnd"/>
      <w:r w:rsidRPr="004E2FDD">
        <w:rPr>
          <w:szCs w:val="18"/>
        </w:rPr>
        <w:t xml:space="preserve"> instrumentarium is toegespitst op de invoer van goederen en niet op diensten, investeringen en het handelen van in de EU gevestigde dochterondernemingen van moedermaatschappijen uit derde landen.</w:t>
      </w:r>
    </w:p>
  </w:footnote>
  <w:footnote w:id="4">
    <w:p w14:paraId="62AD37BF" w14:textId="77777777" w:rsidR="00061501" w:rsidRDefault="00061501">
      <w:pPr>
        <w:pStyle w:val="Voetnoottekst"/>
      </w:pPr>
      <w:r>
        <w:rPr>
          <w:rStyle w:val="Voetnootmarkering"/>
        </w:rPr>
        <w:footnoteRef/>
      </w:r>
      <w:r>
        <w:t xml:space="preserve"> </w:t>
      </w:r>
      <w:r>
        <w:rPr>
          <w:szCs w:val="18"/>
        </w:rPr>
        <w:t>Zie Kamerstuk 35207, nr. 33 voor de kabinetspositie.</w:t>
      </w:r>
    </w:p>
  </w:footnote>
  <w:footnote w:id="5">
    <w:p w14:paraId="2A407ABF" w14:textId="77777777" w:rsidR="00061501" w:rsidRPr="00746B11" w:rsidRDefault="00061501" w:rsidP="005325F4">
      <w:pPr>
        <w:pStyle w:val="Voetnoottekst"/>
      </w:pPr>
      <w:r>
        <w:rPr>
          <w:rStyle w:val="Voetnootmarkering"/>
        </w:rPr>
        <w:footnoteRef/>
      </w:r>
      <w:r>
        <w:t xml:space="preserve"> In het geval het instrument wordt toegepast tegen een bepaald derde land, werkt het instrument wel door op aanbestedingen op de Europese markt voor overheidsopdrachten en draagt het IPI daarmee wel bij aan een gelijker speelveld op de interne markt. </w:t>
      </w:r>
    </w:p>
  </w:footnote>
  <w:footnote w:id="6">
    <w:p w14:paraId="06B1BB7F" w14:textId="77777777" w:rsidR="00061501" w:rsidRPr="0098633E" w:rsidRDefault="00061501" w:rsidP="007D41B1">
      <w:pPr>
        <w:pStyle w:val="Voetnoottekst"/>
      </w:pPr>
      <w:r>
        <w:rPr>
          <w:rStyle w:val="Voetnootmarkering"/>
        </w:rPr>
        <w:footnoteRef/>
      </w:r>
      <w:r>
        <w:t xml:space="preserve"> Kamerstukken II, 2019/2020, </w:t>
      </w:r>
      <w:r w:rsidRPr="00421559">
        <w:t>21501-30, nr. 470</w:t>
      </w:r>
      <w:r>
        <w:t>.</w:t>
      </w:r>
    </w:p>
  </w:footnote>
  <w:footnote w:id="7">
    <w:p w14:paraId="6B729CE6" w14:textId="77777777" w:rsidR="00061501" w:rsidRPr="00834446" w:rsidRDefault="00061501" w:rsidP="00D2548A">
      <w:pPr>
        <w:pStyle w:val="Voetnoottekst"/>
      </w:pPr>
      <w:r>
        <w:rPr>
          <w:rStyle w:val="Voetnootmarkering"/>
        </w:rPr>
        <w:footnoteRef/>
      </w:r>
      <w:r>
        <w:t xml:space="preserve"> </w:t>
      </w:r>
      <w:r w:rsidRPr="00B12EE1">
        <w:t xml:space="preserve">Module 2 werkt niet </w:t>
      </w:r>
      <w:r>
        <w:t xml:space="preserve">zozeer </w:t>
      </w:r>
      <w:r w:rsidRPr="00B12EE1">
        <w:t>door op a</w:t>
      </w:r>
      <w:r>
        <w:t xml:space="preserve">anbestedingen, omdat dit de specifieke situatie van een overname of investering betreft.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39EC7" w14:textId="77777777" w:rsidR="00E80A40" w:rsidRDefault="00E80A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5CB2"/>
    <w:multiLevelType w:val="hybridMultilevel"/>
    <w:tmpl w:val="CB9EE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882660"/>
    <w:multiLevelType w:val="hybridMultilevel"/>
    <w:tmpl w:val="B52259F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40C4013"/>
    <w:multiLevelType w:val="hybridMultilevel"/>
    <w:tmpl w:val="730858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3E789D"/>
    <w:multiLevelType w:val="hybridMultilevel"/>
    <w:tmpl w:val="F16698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245E2C"/>
    <w:multiLevelType w:val="hybridMultilevel"/>
    <w:tmpl w:val="6A3A9BEC"/>
    <w:lvl w:ilvl="0" w:tplc="B22823F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556D08"/>
    <w:multiLevelType w:val="hybridMultilevel"/>
    <w:tmpl w:val="5894A4E2"/>
    <w:lvl w:ilvl="0" w:tplc="25F80D2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416439"/>
    <w:multiLevelType w:val="hybridMultilevel"/>
    <w:tmpl w:val="264EF64C"/>
    <w:lvl w:ilvl="0" w:tplc="759A043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246129"/>
    <w:multiLevelType w:val="hybridMultilevel"/>
    <w:tmpl w:val="39B8C7B4"/>
    <w:lvl w:ilvl="0" w:tplc="19BE1294">
      <w:start w:val="1"/>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01672F"/>
    <w:multiLevelType w:val="multilevel"/>
    <w:tmpl w:val="75F00A2C"/>
    <w:lvl w:ilvl="0">
      <w:start w:val="2"/>
      <w:numFmt w:val="decimal"/>
      <w:lvlText w:val="%1."/>
      <w:lvlJc w:val="left"/>
      <w:pPr>
        <w:ind w:left="540" w:hanging="540"/>
      </w:pPr>
      <w:rPr>
        <w:rFonts w:hint="default"/>
        <w:i w:val="0"/>
        <w:u w:val="none"/>
      </w:rPr>
    </w:lvl>
    <w:lvl w:ilvl="1">
      <w:start w:val="2"/>
      <w:numFmt w:val="decimal"/>
      <w:lvlText w:val="%1.%2."/>
      <w:lvlJc w:val="left"/>
      <w:pPr>
        <w:ind w:left="720" w:hanging="72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1080" w:hanging="108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440" w:hanging="1440"/>
      </w:pPr>
      <w:rPr>
        <w:rFonts w:hint="default"/>
        <w:i w:val="0"/>
        <w:u w:val="none"/>
      </w:rPr>
    </w:lvl>
    <w:lvl w:ilvl="6">
      <w:start w:val="1"/>
      <w:numFmt w:val="decimal"/>
      <w:lvlText w:val="%1.%2.%3.%4.%5.%6.%7."/>
      <w:lvlJc w:val="left"/>
      <w:pPr>
        <w:ind w:left="1800" w:hanging="1800"/>
      </w:pPr>
      <w:rPr>
        <w:rFonts w:hint="default"/>
        <w:i w:val="0"/>
        <w:u w:val="none"/>
      </w:rPr>
    </w:lvl>
    <w:lvl w:ilvl="7">
      <w:start w:val="1"/>
      <w:numFmt w:val="decimal"/>
      <w:lvlText w:val="%1.%2.%3.%4.%5.%6.%7.%8."/>
      <w:lvlJc w:val="left"/>
      <w:pPr>
        <w:ind w:left="1800" w:hanging="1800"/>
      </w:pPr>
      <w:rPr>
        <w:rFonts w:hint="default"/>
        <w:i w:val="0"/>
        <w:u w:val="none"/>
      </w:rPr>
    </w:lvl>
    <w:lvl w:ilvl="8">
      <w:start w:val="1"/>
      <w:numFmt w:val="decimal"/>
      <w:lvlText w:val="%1.%2.%3.%4.%5.%6.%7.%8.%9."/>
      <w:lvlJc w:val="left"/>
      <w:pPr>
        <w:ind w:left="2160" w:hanging="2160"/>
      </w:pPr>
      <w:rPr>
        <w:rFonts w:hint="default"/>
        <w:i w:val="0"/>
        <w:u w:val="none"/>
      </w:rPr>
    </w:lvl>
  </w:abstractNum>
  <w:abstractNum w:abstractNumId="9" w15:restartNumberingAfterBreak="0">
    <w:nsid w:val="320774D3"/>
    <w:multiLevelType w:val="hybridMultilevel"/>
    <w:tmpl w:val="211CAE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71224E"/>
    <w:multiLevelType w:val="multilevel"/>
    <w:tmpl w:val="A7448D34"/>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26909A6"/>
    <w:multiLevelType w:val="hybridMultilevel"/>
    <w:tmpl w:val="F46218A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6618668F"/>
    <w:multiLevelType w:val="hybridMultilevel"/>
    <w:tmpl w:val="91BC7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E032987"/>
    <w:multiLevelType w:val="multilevel"/>
    <w:tmpl w:val="C34A840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E8371BF"/>
    <w:multiLevelType w:val="hybridMultilevel"/>
    <w:tmpl w:val="0582B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995A06"/>
    <w:multiLevelType w:val="hybridMultilevel"/>
    <w:tmpl w:val="814EF620"/>
    <w:lvl w:ilvl="0" w:tplc="F52C3E9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1C5723B"/>
    <w:multiLevelType w:val="hybridMultilevel"/>
    <w:tmpl w:val="3678E7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2172DE8"/>
    <w:multiLevelType w:val="hybridMultilevel"/>
    <w:tmpl w:val="7B2CAEC6"/>
    <w:lvl w:ilvl="0" w:tplc="0413000B">
      <w:start w:val="1"/>
      <w:numFmt w:val="bullet"/>
      <w:lvlText w:val=""/>
      <w:lvlJc w:val="left"/>
      <w:pPr>
        <w:ind w:left="1440" w:hanging="360"/>
      </w:pPr>
      <w:rPr>
        <w:rFonts w:ascii="Wingdings" w:hAnsi="Wingdings"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18" w15:restartNumberingAfterBreak="0">
    <w:nsid w:val="75162A00"/>
    <w:multiLevelType w:val="hybridMultilevel"/>
    <w:tmpl w:val="EC7872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6"/>
  </w:num>
  <w:num w:numId="3">
    <w:abstractNumId w:val="1"/>
  </w:num>
  <w:num w:numId="4">
    <w:abstractNumId w:val="9"/>
  </w:num>
  <w:num w:numId="5">
    <w:abstractNumId w:val="0"/>
  </w:num>
  <w:num w:numId="6">
    <w:abstractNumId w:val="18"/>
  </w:num>
  <w:num w:numId="7">
    <w:abstractNumId w:val="13"/>
  </w:num>
  <w:num w:numId="8">
    <w:abstractNumId w:val="10"/>
  </w:num>
  <w:num w:numId="9">
    <w:abstractNumId w:val="8"/>
  </w:num>
  <w:num w:numId="10">
    <w:abstractNumId w:val="14"/>
  </w:num>
  <w:num w:numId="11">
    <w:abstractNumId w:val="5"/>
  </w:num>
  <w:num w:numId="12">
    <w:abstractNumId w:val="7"/>
  </w:num>
  <w:num w:numId="13">
    <w:abstractNumId w:val="6"/>
  </w:num>
  <w:num w:numId="14">
    <w:abstractNumId w:val="15"/>
  </w:num>
  <w:num w:numId="15">
    <w:abstractNumId w:val="12"/>
  </w:num>
  <w:num w:numId="16">
    <w:abstractNumId w:val="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F7549E9-0FC0-408C-8189-405E0424EE39}"/>
    <w:docVar w:name="dgnword-eventsink" w:val="692134624"/>
    <w:docVar w:name="dgnword-lastRevisionsView" w:val="0"/>
  </w:docVars>
  <w:rsids>
    <w:rsidRoot w:val="007B4F84"/>
    <w:rsid w:val="000016D2"/>
    <w:rsid w:val="00006B21"/>
    <w:rsid w:val="00007E0E"/>
    <w:rsid w:val="0001194B"/>
    <w:rsid w:val="00015969"/>
    <w:rsid w:val="000166EA"/>
    <w:rsid w:val="00016FC7"/>
    <w:rsid w:val="000225F0"/>
    <w:rsid w:val="0003059D"/>
    <w:rsid w:val="00030C97"/>
    <w:rsid w:val="00036BC1"/>
    <w:rsid w:val="00036E33"/>
    <w:rsid w:val="0004523E"/>
    <w:rsid w:val="00046393"/>
    <w:rsid w:val="00050447"/>
    <w:rsid w:val="0005056B"/>
    <w:rsid w:val="0005252E"/>
    <w:rsid w:val="00053A73"/>
    <w:rsid w:val="00057A20"/>
    <w:rsid w:val="00061501"/>
    <w:rsid w:val="0006711A"/>
    <w:rsid w:val="0007394D"/>
    <w:rsid w:val="0007574B"/>
    <w:rsid w:val="00075AB5"/>
    <w:rsid w:val="00083782"/>
    <w:rsid w:val="000923EC"/>
    <w:rsid w:val="00093552"/>
    <w:rsid w:val="000A2206"/>
    <w:rsid w:val="000C64AA"/>
    <w:rsid w:val="000C7945"/>
    <w:rsid w:val="000E3A91"/>
    <w:rsid w:val="000E780D"/>
    <w:rsid w:val="000F688A"/>
    <w:rsid w:val="00113054"/>
    <w:rsid w:val="00124790"/>
    <w:rsid w:val="00133FCB"/>
    <w:rsid w:val="00147511"/>
    <w:rsid w:val="00153F7E"/>
    <w:rsid w:val="001634F8"/>
    <w:rsid w:val="001758A8"/>
    <w:rsid w:val="00184EA6"/>
    <w:rsid w:val="0018552F"/>
    <w:rsid w:val="00187213"/>
    <w:rsid w:val="00187ED0"/>
    <w:rsid w:val="001A2257"/>
    <w:rsid w:val="001A7BA8"/>
    <w:rsid w:val="001B0794"/>
    <w:rsid w:val="001B56C0"/>
    <w:rsid w:val="001C3A43"/>
    <w:rsid w:val="001C59BE"/>
    <w:rsid w:val="001D3DB8"/>
    <w:rsid w:val="001D7222"/>
    <w:rsid w:val="001E1175"/>
    <w:rsid w:val="001E2C6D"/>
    <w:rsid w:val="001E471B"/>
    <w:rsid w:val="001F55FF"/>
    <w:rsid w:val="0021258E"/>
    <w:rsid w:val="00216BC0"/>
    <w:rsid w:val="002339C6"/>
    <w:rsid w:val="002352E6"/>
    <w:rsid w:val="002566EF"/>
    <w:rsid w:val="00256CE8"/>
    <w:rsid w:val="002575AF"/>
    <w:rsid w:val="0026354C"/>
    <w:rsid w:val="00264E5A"/>
    <w:rsid w:val="002732F2"/>
    <w:rsid w:val="002737A8"/>
    <w:rsid w:val="002759E8"/>
    <w:rsid w:val="0027735A"/>
    <w:rsid w:val="00280440"/>
    <w:rsid w:val="00280BCF"/>
    <w:rsid w:val="00283BB5"/>
    <w:rsid w:val="002954E9"/>
    <w:rsid w:val="002B011B"/>
    <w:rsid w:val="002B0B0E"/>
    <w:rsid w:val="002B3076"/>
    <w:rsid w:val="002B4080"/>
    <w:rsid w:val="002B4143"/>
    <w:rsid w:val="002D63FA"/>
    <w:rsid w:val="002E6268"/>
    <w:rsid w:val="002F0B43"/>
    <w:rsid w:val="002F1781"/>
    <w:rsid w:val="00301D2D"/>
    <w:rsid w:val="00302FB3"/>
    <w:rsid w:val="003163FE"/>
    <w:rsid w:val="003226C8"/>
    <w:rsid w:val="0032280E"/>
    <w:rsid w:val="00322DD8"/>
    <w:rsid w:val="00323B35"/>
    <w:rsid w:val="00327EF7"/>
    <w:rsid w:val="00335E65"/>
    <w:rsid w:val="00342532"/>
    <w:rsid w:val="0034438F"/>
    <w:rsid w:val="00347669"/>
    <w:rsid w:val="003548D6"/>
    <w:rsid w:val="00360EB2"/>
    <w:rsid w:val="00364F8F"/>
    <w:rsid w:val="0037078E"/>
    <w:rsid w:val="00371AAE"/>
    <w:rsid w:val="00376413"/>
    <w:rsid w:val="00382276"/>
    <w:rsid w:val="00382485"/>
    <w:rsid w:val="00386D35"/>
    <w:rsid w:val="00387FAC"/>
    <w:rsid w:val="003947E6"/>
    <w:rsid w:val="00396AFF"/>
    <w:rsid w:val="003A1A00"/>
    <w:rsid w:val="003A1D13"/>
    <w:rsid w:val="003A21E4"/>
    <w:rsid w:val="003B0B57"/>
    <w:rsid w:val="003C49C4"/>
    <w:rsid w:val="003D3116"/>
    <w:rsid w:val="003D3776"/>
    <w:rsid w:val="003D4286"/>
    <w:rsid w:val="003E1C5E"/>
    <w:rsid w:val="003E327E"/>
    <w:rsid w:val="003E524E"/>
    <w:rsid w:val="003E6A8F"/>
    <w:rsid w:val="003F3A95"/>
    <w:rsid w:val="003F6910"/>
    <w:rsid w:val="00403F65"/>
    <w:rsid w:val="004069B2"/>
    <w:rsid w:val="004101E6"/>
    <w:rsid w:val="004144E7"/>
    <w:rsid w:val="00421559"/>
    <w:rsid w:val="00433785"/>
    <w:rsid w:val="00434FBE"/>
    <w:rsid w:val="004364C7"/>
    <w:rsid w:val="0043664B"/>
    <w:rsid w:val="00453104"/>
    <w:rsid w:val="004572B8"/>
    <w:rsid w:val="004831C1"/>
    <w:rsid w:val="0049561E"/>
    <w:rsid w:val="004A09AE"/>
    <w:rsid w:val="004A5975"/>
    <w:rsid w:val="004B1EB4"/>
    <w:rsid w:val="004B46CF"/>
    <w:rsid w:val="004D3786"/>
    <w:rsid w:val="004D5AD9"/>
    <w:rsid w:val="004E0734"/>
    <w:rsid w:val="004E2FDD"/>
    <w:rsid w:val="004F0DC2"/>
    <w:rsid w:val="004F2274"/>
    <w:rsid w:val="004F39BC"/>
    <w:rsid w:val="004F7335"/>
    <w:rsid w:val="0050155E"/>
    <w:rsid w:val="00505C71"/>
    <w:rsid w:val="005325F4"/>
    <w:rsid w:val="005643D7"/>
    <w:rsid w:val="00583EB0"/>
    <w:rsid w:val="00597CA5"/>
    <w:rsid w:val="005A2DF3"/>
    <w:rsid w:val="005A6F4C"/>
    <w:rsid w:val="005B1CFC"/>
    <w:rsid w:val="005C1C1B"/>
    <w:rsid w:val="005D0F0C"/>
    <w:rsid w:val="005D1499"/>
    <w:rsid w:val="005D36BA"/>
    <w:rsid w:val="005D37E9"/>
    <w:rsid w:val="005D7D16"/>
    <w:rsid w:val="005E03A0"/>
    <w:rsid w:val="005E089A"/>
    <w:rsid w:val="005E12A0"/>
    <w:rsid w:val="0060749A"/>
    <w:rsid w:val="00610544"/>
    <w:rsid w:val="00611937"/>
    <w:rsid w:val="00623509"/>
    <w:rsid w:val="006264F1"/>
    <w:rsid w:val="00627F4A"/>
    <w:rsid w:val="00631A8E"/>
    <w:rsid w:val="00631F46"/>
    <w:rsid w:val="00633A88"/>
    <w:rsid w:val="00646182"/>
    <w:rsid w:val="00647AEA"/>
    <w:rsid w:val="00650370"/>
    <w:rsid w:val="00651DA9"/>
    <w:rsid w:val="00654005"/>
    <w:rsid w:val="0066356E"/>
    <w:rsid w:val="00693FF3"/>
    <w:rsid w:val="006A00A7"/>
    <w:rsid w:val="006B3E07"/>
    <w:rsid w:val="006B63FE"/>
    <w:rsid w:val="006B6A5D"/>
    <w:rsid w:val="006C49EF"/>
    <w:rsid w:val="006D7AC7"/>
    <w:rsid w:val="006E16A5"/>
    <w:rsid w:val="006E5874"/>
    <w:rsid w:val="006E75E4"/>
    <w:rsid w:val="006F172E"/>
    <w:rsid w:val="006F39C0"/>
    <w:rsid w:val="006F4DC5"/>
    <w:rsid w:val="007010CA"/>
    <w:rsid w:val="007161EA"/>
    <w:rsid w:val="007265CA"/>
    <w:rsid w:val="007347E5"/>
    <w:rsid w:val="0073628E"/>
    <w:rsid w:val="00736ED7"/>
    <w:rsid w:val="00741911"/>
    <w:rsid w:val="00746B11"/>
    <w:rsid w:val="00747C1A"/>
    <w:rsid w:val="00754491"/>
    <w:rsid w:val="00762540"/>
    <w:rsid w:val="00763149"/>
    <w:rsid w:val="00764475"/>
    <w:rsid w:val="00767506"/>
    <w:rsid w:val="007679B6"/>
    <w:rsid w:val="00771DCC"/>
    <w:rsid w:val="007855BF"/>
    <w:rsid w:val="00786B59"/>
    <w:rsid w:val="00790051"/>
    <w:rsid w:val="007973EB"/>
    <w:rsid w:val="007A13C2"/>
    <w:rsid w:val="007A435F"/>
    <w:rsid w:val="007A4AF1"/>
    <w:rsid w:val="007B28B0"/>
    <w:rsid w:val="007B36C4"/>
    <w:rsid w:val="007B42B0"/>
    <w:rsid w:val="007B4506"/>
    <w:rsid w:val="007B4F84"/>
    <w:rsid w:val="007B6F66"/>
    <w:rsid w:val="007C480E"/>
    <w:rsid w:val="007D1E99"/>
    <w:rsid w:val="007D41B1"/>
    <w:rsid w:val="007E1EBE"/>
    <w:rsid w:val="007F6888"/>
    <w:rsid w:val="0080703F"/>
    <w:rsid w:val="00813DA2"/>
    <w:rsid w:val="008233B9"/>
    <w:rsid w:val="00827CC0"/>
    <w:rsid w:val="00831200"/>
    <w:rsid w:val="00832B1B"/>
    <w:rsid w:val="00834446"/>
    <w:rsid w:val="00837F26"/>
    <w:rsid w:val="00845D3B"/>
    <w:rsid w:val="008462DB"/>
    <w:rsid w:val="008508C5"/>
    <w:rsid w:val="00860DDC"/>
    <w:rsid w:val="0086284F"/>
    <w:rsid w:val="00864B77"/>
    <w:rsid w:val="00867D5B"/>
    <w:rsid w:val="00872A8C"/>
    <w:rsid w:val="00881B6F"/>
    <w:rsid w:val="008914DB"/>
    <w:rsid w:val="008A0A4F"/>
    <w:rsid w:val="008B1352"/>
    <w:rsid w:val="008B2B43"/>
    <w:rsid w:val="008D29BD"/>
    <w:rsid w:val="008E40E7"/>
    <w:rsid w:val="008E5BB8"/>
    <w:rsid w:val="008F1256"/>
    <w:rsid w:val="009015E1"/>
    <w:rsid w:val="00916CCC"/>
    <w:rsid w:val="0094015E"/>
    <w:rsid w:val="009468FC"/>
    <w:rsid w:val="00961FFB"/>
    <w:rsid w:val="00964280"/>
    <w:rsid w:val="00972C57"/>
    <w:rsid w:val="00975341"/>
    <w:rsid w:val="00985DD9"/>
    <w:rsid w:val="009952D5"/>
    <w:rsid w:val="009B2C64"/>
    <w:rsid w:val="009B414D"/>
    <w:rsid w:val="009B5D50"/>
    <w:rsid w:val="009C130D"/>
    <w:rsid w:val="009C5ECD"/>
    <w:rsid w:val="009D61BD"/>
    <w:rsid w:val="009E0774"/>
    <w:rsid w:val="009F2C3D"/>
    <w:rsid w:val="00A03041"/>
    <w:rsid w:val="00A07AFD"/>
    <w:rsid w:val="00A13400"/>
    <w:rsid w:val="00A23E2C"/>
    <w:rsid w:val="00A24543"/>
    <w:rsid w:val="00A31170"/>
    <w:rsid w:val="00A31F4A"/>
    <w:rsid w:val="00A35CBF"/>
    <w:rsid w:val="00A37ED2"/>
    <w:rsid w:val="00A4319D"/>
    <w:rsid w:val="00A44674"/>
    <w:rsid w:val="00A539FE"/>
    <w:rsid w:val="00A6485E"/>
    <w:rsid w:val="00A70C25"/>
    <w:rsid w:val="00A8141A"/>
    <w:rsid w:val="00A93BE1"/>
    <w:rsid w:val="00A97505"/>
    <w:rsid w:val="00AA1999"/>
    <w:rsid w:val="00AB64A8"/>
    <w:rsid w:val="00AB7F33"/>
    <w:rsid w:val="00AC425D"/>
    <w:rsid w:val="00AC5511"/>
    <w:rsid w:val="00AC6D8D"/>
    <w:rsid w:val="00AD6C15"/>
    <w:rsid w:val="00AE2CAC"/>
    <w:rsid w:val="00AF01B1"/>
    <w:rsid w:val="00AF2BBD"/>
    <w:rsid w:val="00AF7249"/>
    <w:rsid w:val="00B0160B"/>
    <w:rsid w:val="00B12EE1"/>
    <w:rsid w:val="00B201AD"/>
    <w:rsid w:val="00B22100"/>
    <w:rsid w:val="00B36CD4"/>
    <w:rsid w:val="00B43250"/>
    <w:rsid w:val="00B5161A"/>
    <w:rsid w:val="00B63377"/>
    <w:rsid w:val="00B74931"/>
    <w:rsid w:val="00B75C1A"/>
    <w:rsid w:val="00B76845"/>
    <w:rsid w:val="00B800E7"/>
    <w:rsid w:val="00B839D5"/>
    <w:rsid w:val="00B861DB"/>
    <w:rsid w:val="00B9027D"/>
    <w:rsid w:val="00B90C62"/>
    <w:rsid w:val="00B9388B"/>
    <w:rsid w:val="00BA3ED1"/>
    <w:rsid w:val="00BA6148"/>
    <w:rsid w:val="00BB19F3"/>
    <w:rsid w:val="00BB397A"/>
    <w:rsid w:val="00BC1807"/>
    <w:rsid w:val="00BD0F40"/>
    <w:rsid w:val="00BD6DAC"/>
    <w:rsid w:val="00BE1166"/>
    <w:rsid w:val="00BE683A"/>
    <w:rsid w:val="00BF7D2D"/>
    <w:rsid w:val="00C00010"/>
    <w:rsid w:val="00C01821"/>
    <w:rsid w:val="00C0597E"/>
    <w:rsid w:val="00C06AF2"/>
    <w:rsid w:val="00C15D33"/>
    <w:rsid w:val="00C22025"/>
    <w:rsid w:val="00C25483"/>
    <w:rsid w:val="00C33F54"/>
    <w:rsid w:val="00C432B8"/>
    <w:rsid w:val="00C52DE2"/>
    <w:rsid w:val="00C57329"/>
    <w:rsid w:val="00C90620"/>
    <w:rsid w:val="00C90D5B"/>
    <w:rsid w:val="00C918C3"/>
    <w:rsid w:val="00C936E9"/>
    <w:rsid w:val="00C974DC"/>
    <w:rsid w:val="00CA300E"/>
    <w:rsid w:val="00CA435E"/>
    <w:rsid w:val="00CB1BBB"/>
    <w:rsid w:val="00CC3894"/>
    <w:rsid w:val="00CC581D"/>
    <w:rsid w:val="00CE7A79"/>
    <w:rsid w:val="00CF2297"/>
    <w:rsid w:val="00CF2950"/>
    <w:rsid w:val="00D06CF9"/>
    <w:rsid w:val="00D130AB"/>
    <w:rsid w:val="00D2146E"/>
    <w:rsid w:val="00D228DD"/>
    <w:rsid w:val="00D24092"/>
    <w:rsid w:val="00D2548A"/>
    <w:rsid w:val="00D47456"/>
    <w:rsid w:val="00D628DD"/>
    <w:rsid w:val="00D7283C"/>
    <w:rsid w:val="00D760DD"/>
    <w:rsid w:val="00D80FC2"/>
    <w:rsid w:val="00D84AAE"/>
    <w:rsid w:val="00D87588"/>
    <w:rsid w:val="00D90340"/>
    <w:rsid w:val="00D950CE"/>
    <w:rsid w:val="00DA3298"/>
    <w:rsid w:val="00DB0B09"/>
    <w:rsid w:val="00DD5341"/>
    <w:rsid w:val="00DE330E"/>
    <w:rsid w:val="00DF1D09"/>
    <w:rsid w:val="00DF283B"/>
    <w:rsid w:val="00E12656"/>
    <w:rsid w:val="00E178ED"/>
    <w:rsid w:val="00E27978"/>
    <w:rsid w:val="00E37B8A"/>
    <w:rsid w:val="00E40498"/>
    <w:rsid w:val="00E531A1"/>
    <w:rsid w:val="00E71DAE"/>
    <w:rsid w:val="00E80A40"/>
    <w:rsid w:val="00E84AEA"/>
    <w:rsid w:val="00E92BC8"/>
    <w:rsid w:val="00EA0193"/>
    <w:rsid w:val="00EA0B48"/>
    <w:rsid w:val="00EA4614"/>
    <w:rsid w:val="00EA75EB"/>
    <w:rsid w:val="00EA770E"/>
    <w:rsid w:val="00EB0B4A"/>
    <w:rsid w:val="00EB61F0"/>
    <w:rsid w:val="00EC0C9F"/>
    <w:rsid w:val="00EC3C1E"/>
    <w:rsid w:val="00EC5C5A"/>
    <w:rsid w:val="00EC7009"/>
    <w:rsid w:val="00ED7C11"/>
    <w:rsid w:val="00EE5D9B"/>
    <w:rsid w:val="00EE6587"/>
    <w:rsid w:val="00EF1E43"/>
    <w:rsid w:val="00EF211A"/>
    <w:rsid w:val="00F00679"/>
    <w:rsid w:val="00F12DAF"/>
    <w:rsid w:val="00F13018"/>
    <w:rsid w:val="00F14686"/>
    <w:rsid w:val="00F20991"/>
    <w:rsid w:val="00F26CC2"/>
    <w:rsid w:val="00F27356"/>
    <w:rsid w:val="00F2794A"/>
    <w:rsid w:val="00F30DD4"/>
    <w:rsid w:val="00F6133B"/>
    <w:rsid w:val="00F70AEA"/>
    <w:rsid w:val="00F76656"/>
    <w:rsid w:val="00F81BD8"/>
    <w:rsid w:val="00F849EE"/>
    <w:rsid w:val="00F912AC"/>
    <w:rsid w:val="00F92DBE"/>
    <w:rsid w:val="00F9769B"/>
    <w:rsid w:val="00FA6127"/>
    <w:rsid w:val="00FB1CA8"/>
    <w:rsid w:val="00FB2013"/>
    <w:rsid w:val="00FB49CC"/>
    <w:rsid w:val="00FC0E3B"/>
    <w:rsid w:val="00FC5187"/>
    <w:rsid w:val="00FC6EB2"/>
    <w:rsid w:val="00FC746F"/>
    <w:rsid w:val="00FC75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E0451"/>
  <w15:chartTrackingRefBased/>
  <w15:docId w15:val="{A2C78A25-02CF-41B9-B629-CF60376E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7B4F84"/>
    <w:pPr>
      <w:spacing w:after="0" w:line="240" w:lineRule="atLeast"/>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B2C64"/>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7B4F84"/>
    <w:rPr>
      <w:rFonts w:ascii="Segoe UI" w:eastAsia="Times New Roman" w:hAnsi="Segoe UI" w:cs="Segoe UI"/>
      <w:sz w:val="18"/>
      <w:szCs w:val="18"/>
      <w:lang w:eastAsia="nl-NL"/>
    </w:rPr>
  </w:style>
  <w:style w:type="paragraph" w:styleId="Voetnoottekst">
    <w:name w:val="footnote text"/>
    <w:basedOn w:val="Standaard"/>
    <w:link w:val="VoetnoottekstChar"/>
    <w:unhideWhenUsed/>
    <w:rsid w:val="007B4F84"/>
    <w:pPr>
      <w:spacing w:line="180" w:lineRule="atLeast"/>
    </w:pPr>
    <w:rPr>
      <w:sz w:val="13"/>
      <w:szCs w:val="20"/>
    </w:rPr>
  </w:style>
  <w:style w:type="character" w:customStyle="1" w:styleId="VoetnoottekstChar">
    <w:name w:val="Voetnoottekst Char"/>
    <w:basedOn w:val="Standaardalinea-lettertype"/>
    <w:link w:val="Voetnoottekst"/>
    <w:rsid w:val="007B4F84"/>
    <w:rPr>
      <w:rFonts w:ascii="Verdana" w:eastAsia="Times New Roman" w:hAnsi="Verdana" w:cs="Times New Roman"/>
      <w:sz w:val="13"/>
      <w:szCs w:val="20"/>
      <w:lang w:eastAsia="nl-NL"/>
    </w:rPr>
  </w:style>
  <w:style w:type="paragraph" w:styleId="Lijstalinea">
    <w:name w:val="List Paragraph"/>
    <w:basedOn w:val="Standaard"/>
    <w:uiPriority w:val="34"/>
    <w:qFormat/>
    <w:rsid w:val="007B4F84"/>
    <w:pPr>
      <w:ind w:left="720"/>
      <w:contextualSpacing/>
    </w:pPr>
  </w:style>
  <w:style w:type="character" w:styleId="Voetnootmarkering">
    <w:name w:val="footnote reference"/>
    <w:basedOn w:val="Standaardalinea-lettertype"/>
    <w:semiHidden/>
    <w:unhideWhenUsed/>
    <w:rsid w:val="007B4F84"/>
    <w:rPr>
      <w:vertAlign w:val="superscript"/>
    </w:rPr>
  </w:style>
  <w:style w:type="character" w:styleId="Verwijzingopmerking">
    <w:name w:val="annotation reference"/>
    <w:basedOn w:val="Standaardalinea-lettertype"/>
    <w:semiHidden/>
    <w:unhideWhenUsed/>
    <w:rsid w:val="007B4F84"/>
    <w:rPr>
      <w:sz w:val="16"/>
      <w:szCs w:val="16"/>
    </w:rPr>
  </w:style>
  <w:style w:type="paragraph" w:styleId="Tekstopmerking">
    <w:name w:val="annotation text"/>
    <w:basedOn w:val="Standaard"/>
    <w:link w:val="TekstopmerkingChar"/>
    <w:unhideWhenUsed/>
    <w:rsid w:val="007B4F84"/>
    <w:pPr>
      <w:spacing w:line="240" w:lineRule="auto"/>
    </w:pPr>
    <w:rPr>
      <w:sz w:val="20"/>
      <w:szCs w:val="20"/>
    </w:rPr>
  </w:style>
  <w:style w:type="character" w:customStyle="1" w:styleId="TekstopmerkingChar">
    <w:name w:val="Tekst opmerking Char"/>
    <w:basedOn w:val="Standaardalinea-lettertype"/>
    <w:link w:val="Tekstopmerking"/>
    <w:rsid w:val="007B4F84"/>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56CE8"/>
    <w:rPr>
      <w:b/>
      <w:bCs/>
    </w:rPr>
  </w:style>
  <w:style w:type="character" w:customStyle="1" w:styleId="OnderwerpvanopmerkingChar">
    <w:name w:val="Onderwerp van opmerking Char"/>
    <w:basedOn w:val="TekstopmerkingChar"/>
    <w:link w:val="Onderwerpvanopmerking"/>
    <w:uiPriority w:val="99"/>
    <w:semiHidden/>
    <w:rsid w:val="00256CE8"/>
    <w:rPr>
      <w:rFonts w:ascii="Verdana" w:eastAsia="Times New Roman" w:hAnsi="Verdana" w:cs="Times New Roman"/>
      <w:b/>
      <w:bCs/>
      <w:sz w:val="20"/>
      <w:szCs w:val="20"/>
      <w:lang w:eastAsia="nl-NL"/>
    </w:rPr>
  </w:style>
  <w:style w:type="paragraph" w:styleId="Koptekst">
    <w:name w:val="header"/>
    <w:basedOn w:val="Standaard"/>
    <w:link w:val="KoptekstChar"/>
    <w:uiPriority w:val="99"/>
    <w:unhideWhenUsed/>
    <w:rsid w:val="009B2C64"/>
    <w:pPr>
      <w:tabs>
        <w:tab w:val="center" w:pos="4703"/>
        <w:tab w:val="right" w:pos="9406"/>
      </w:tabs>
      <w:spacing w:line="240" w:lineRule="auto"/>
    </w:pPr>
  </w:style>
  <w:style w:type="character" w:customStyle="1" w:styleId="KoptekstChar">
    <w:name w:val="Koptekst Char"/>
    <w:basedOn w:val="Standaardalinea-lettertype"/>
    <w:link w:val="Koptekst"/>
    <w:uiPriority w:val="99"/>
    <w:rsid w:val="009B2C64"/>
    <w:rPr>
      <w:rFonts w:ascii="Verdana" w:eastAsia="Times New Roman" w:hAnsi="Verdana" w:cs="Times New Roman"/>
      <w:sz w:val="18"/>
      <w:szCs w:val="24"/>
      <w:lang w:eastAsia="nl-NL"/>
    </w:rPr>
  </w:style>
  <w:style w:type="paragraph" w:styleId="Voettekst">
    <w:name w:val="footer"/>
    <w:basedOn w:val="Standaard"/>
    <w:link w:val="VoettekstChar"/>
    <w:uiPriority w:val="99"/>
    <w:unhideWhenUsed/>
    <w:rsid w:val="009B2C64"/>
    <w:pPr>
      <w:tabs>
        <w:tab w:val="center" w:pos="4703"/>
        <w:tab w:val="right" w:pos="9406"/>
      </w:tabs>
      <w:spacing w:line="240" w:lineRule="auto"/>
    </w:pPr>
  </w:style>
  <w:style w:type="character" w:customStyle="1" w:styleId="VoettekstChar">
    <w:name w:val="Voettekst Char"/>
    <w:basedOn w:val="Standaardalinea-lettertype"/>
    <w:link w:val="Voettekst"/>
    <w:uiPriority w:val="99"/>
    <w:rsid w:val="009B2C64"/>
    <w:rPr>
      <w:rFonts w:ascii="Verdana" w:eastAsia="Times New Roman" w:hAnsi="Verdana" w:cs="Times New Roman"/>
      <w:sz w:val="18"/>
      <w:szCs w:val="24"/>
      <w:lang w:eastAsia="nl-NL"/>
    </w:rPr>
  </w:style>
  <w:style w:type="paragraph" w:styleId="Revisie">
    <w:name w:val="Revision"/>
    <w:hidden/>
    <w:uiPriority w:val="99"/>
    <w:semiHidden/>
    <w:rsid w:val="00693FF3"/>
    <w:pPr>
      <w:spacing w:after="0" w:line="240" w:lineRule="auto"/>
    </w:pPr>
    <w:rPr>
      <w:rFonts w:ascii="Verdana" w:eastAsia="Times New Roman"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822667">
      <w:bodyDiv w:val="1"/>
      <w:marLeft w:val="0"/>
      <w:marRight w:val="0"/>
      <w:marTop w:val="0"/>
      <w:marBottom w:val="0"/>
      <w:divBdr>
        <w:top w:val="none" w:sz="0" w:space="0" w:color="auto"/>
        <w:left w:val="none" w:sz="0" w:space="0" w:color="auto"/>
        <w:bottom w:val="none" w:sz="0" w:space="0" w:color="auto"/>
        <w:right w:val="none" w:sz="0" w:space="0" w:color="auto"/>
      </w:divBdr>
    </w:div>
    <w:div w:id="851144595">
      <w:bodyDiv w:val="1"/>
      <w:marLeft w:val="0"/>
      <w:marRight w:val="0"/>
      <w:marTop w:val="0"/>
      <w:marBottom w:val="0"/>
      <w:divBdr>
        <w:top w:val="none" w:sz="0" w:space="0" w:color="auto"/>
        <w:left w:val="none" w:sz="0" w:space="0" w:color="auto"/>
        <w:bottom w:val="none" w:sz="0" w:space="0" w:color="auto"/>
        <w:right w:val="none" w:sz="0" w:space="0" w:color="auto"/>
      </w:divBdr>
    </w:div>
    <w:div w:id="1024359133">
      <w:bodyDiv w:val="1"/>
      <w:marLeft w:val="0"/>
      <w:marRight w:val="0"/>
      <w:marTop w:val="0"/>
      <w:marBottom w:val="0"/>
      <w:divBdr>
        <w:top w:val="none" w:sz="0" w:space="0" w:color="auto"/>
        <w:left w:val="none" w:sz="0" w:space="0" w:color="auto"/>
        <w:bottom w:val="none" w:sz="0" w:space="0" w:color="auto"/>
        <w:right w:val="none" w:sz="0" w:space="0" w:color="auto"/>
      </w:divBdr>
    </w:div>
    <w:div w:id="1218858659">
      <w:bodyDiv w:val="1"/>
      <w:marLeft w:val="0"/>
      <w:marRight w:val="0"/>
      <w:marTop w:val="0"/>
      <w:marBottom w:val="0"/>
      <w:divBdr>
        <w:top w:val="none" w:sz="0" w:space="0" w:color="auto"/>
        <w:left w:val="none" w:sz="0" w:space="0" w:color="auto"/>
        <w:bottom w:val="none" w:sz="0" w:space="0" w:color="auto"/>
        <w:right w:val="none" w:sz="0" w:space="0" w:color="auto"/>
      </w:divBdr>
    </w:div>
    <w:div w:id="1297447512">
      <w:bodyDiv w:val="1"/>
      <w:marLeft w:val="0"/>
      <w:marRight w:val="0"/>
      <w:marTop w:val="0"/>
      <w:marBottom w:val="0"/>
      <w:divBdr>
        <w:top w:val="none" w:sz="0" w:space="0" w:color="auto"/>
        <w:left w:val="none" w:sz="0" w:space="0" w:color="auto"/>
        <w:bottom w:val="none" w:sz="0" w:space="0" w:color="auto"/>
        <w:right w:val="none" w:sz="0" w:space="0" w:color="auto"/>
      </w:divBdr>
    </w:div>
    <w:div w:id="1712728321">
      <w:bodyDiv w:val="1"/>
      <w:marLeft w:val="0"/>
      <w:marRight w:val="0"/>
      <w:marTop w:val="0"/>
      <w:marBottom w:val="0"/>
      <w:divBdr>
        <w:top w:val="none" w:sz="0" w:space="0" w:color="auto"/>
        <w:left w:val="none" w:sz="0" w:space="0" w:color="auto"/>
        <w:bottom w:val="none" w:sz="0" w:space="0" w:color="auto"/>
        <w:right w:val="none" w:sz="0" w:space="0" w:color="auto"/>
      </w:divBdr>
    </w:div>
    <w:div w:id="211513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4073</ap:Words>
  <ap:Characters>22404</ap:Characters>
  <ap:DocSecurity>0</ap:DocSecurity>
  <ap:Lines>186</ap:Lines>
  <ap:Paragraphs>52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26425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2020-07-24T10:31:00.0000000Z</lastPrinted>
  <dcterms:created xsi:type="dcterms:W3CDTF">2020-08-14T12:11:00.0000000Z</dcterms:created>
  <dcterms:modified xsi:type="dcterms:W3CDTF">2020-08-14T12:11:00.0000000Z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0x010100CB1A963C0A39CE4A96CECE0C5F9486DD</vt:lpwstr>
  </property>
</Properties>
</file>