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1FC0" w:rsidR="002518C3" w:rsidP="002518C3" w:rsidRDefault="002518C3" w14:paraId="340807C8" w14:textId="60CC11C8">
      <w:pPr>
        <w:rPr>
          <w:rFonts w:ascii="Verdana" w:hAnsi="Verdana" w:cs="Segoe UI"/>
          <w:b/>
          <w:sz w:val="18"/>
          <w:szCs w:val="18"/>
        </w:rPr>
      </w:pPr>
      <w:bookmarkStart w:name="_GoBack" w:id="0"/>
      <w:bookmarkEnd w:id="0"/>
      <w:r w:rsidRPr="00671FC0">
        <w:rPr>
          <w:rFonts w:ascii="Verdana" w:hAnsi="Verdana" w:cs="Segoe UI"/>
          <w:b/>
          <w:sz w:val="18"/>
          <w:szCs w:val="18"/>
        </w:rPr>
        <w:t xml:space="preserve">VERSLAG </w:t>
      </w:r>
      <w:r w:rsidR="00E42AC5">
        <w:rPr>
          <w:rFonts w:ascii="Verdana" w:hAnsi="Verdana" w:cs="Segoe UI"/>
          <w:b/>
          <w:sz w:val="18"/>
          <w:szCs w:val="18"/>
        </w:rPr>
        <w:t>BUITENGEWONE</w:t>
      </w:r>
      <w:r>
        <w:rPr>
          <w:rFonts w:ascii="Verdana" w:hAnsi="Verdana" w:cs="Segoe UI"/>
          <w:b/>
          <w:sz w:val="18"/>
          <w:szCs w:val="18"/>
        </w:rPr>
        <w:t xml:space="preserve"> EUROPESE RAAD VAN 17 </w:t>
      </w:r>
      <w:r w:rsidR="00FA7BD2">
        <w:rPr>
          <w:rFonts w:ascii="Verdana" w:hAnsi="Verdana" w:cs="Segoe UI"/>
          <w:b/>
          <w:sz w:val="18"/>
          <w:szCs w:val="18"/>
        </w:rPr>
        <w:t>TOT</w:t>
      </w:r>
      <w:r>
        <w:rPr>
          <w:rFonts w:ascii="Verdana" w:hAnsi="Verdana" w:cs="Segoe UI"/>
          <w:b/>
          <w:sz w:val="18"/>
          <w:szCs w:val="18"/>
        </w:rPr>
        <w:t xml:space="preserve"> </w:t>
      </w:r>
      <w:r w:rsidR="00DB77CE">
        <w:rPr>
          <w:rFonts w:ascii="Verdana" w:hAnsi="Verdana" w:cs="Segoe UI"/>
          <w:b/>
          <w:sz w:val="18"/>
          <w:szCs w:val="18"/>
        </w:rPr>
        <w:t xml:space="preserve">EN MET </w:t>
      </w:r>
      <w:r w:rsidR="00FA7BD2">
        <w:rPr>
          <w:rFonts w:ascii="Verdana" w:hAnsi="Verdana" w:cs="Segoe UI"/>
          <w:b/>
          <w:sz w:val="18"/>
          <w:szCs w:val="18"/>
        </w:rPr>
        <w:t>21</w:t>
      </w:r>
      <w:r>
        <w:rPr>
          <w:rFonts w:ascii="Verdana" w:hAnsi="Verdana" w:cs="Segoe UI"/>
          <w:b/>
          <w:sz w:val="18"/>
          <w:szCs w:val="18"/>
        </w:rPr>
        <w:t xml:space="preserve"> JULI</w:t>
      </w:r>
    </w:p>
    <w:p w:rsidR="002518C3" w:rsidP="002518C3" w:rsidRDefault="00BB0631" w14:paraId="331F4CB6" w14:textId="5D3A0CDE">
      <w:pPr>
        <w:spacing w:after="0"/>
        <w:jc w:val="both"/>
        <w:rPr>
          <w:rFonts w:ascii="Verdana" w:hAnsi="Verdana"/>
          <w:sz w:val="18"/>
          <w:szCs w:val="18"/>
        </w:rPr>
      </w:pPr>
      <w:r>
        <w:rPr>
          <w:rFonts w:ascii="Verdana" w:hAnsi="Verdana"/>
          <w:sz w:val="18"/>
          <w:szCs w:val="18"/>
        </w:rPr>
        <w:t xml:space="preserve">Van </w:t>
      </w:r>
      <w:r w:rsidR="002518C3">
        <w:rPr>
          <w:rFonts w:ascii="Verdana" w:hAnsi="Verdana"/>
          <w:sz w:val="18"/>
          <w:szCs w:val="18"/>
        </w:rPr>
        <w:t xml:space="preserve">vrijdag 17 </w:t>
      </w:r>
      <w:r>
        <w:rPr>
          <w:rFonts w:ascii="Verdana" w:hAnsi="Verdana"/>
          <w:sz w:val="18"/>
          <w:szCs w:val="18"/>
        </w:rPr>
        <w:t xml:space="preserve">tot </w:t>
      </w:r>
      <w:r w:rsidR="00A57D02">
        <w:rPr>
          <w:rFonts w:ascii="Verdana" w:hAnsi="Verdana"/>
          <w:sz w:val="18"/>
          <w:szCs w:val="18"/>
        </w:rPr>
        <w:t>en met</w:t>
      </w:r>
      <w:r>
        <w:rPr>
          <w:rFonts w:ascii="Verdana" w:hAnsi="Verdana"/>
          <w:sz w:val="18"/>
          <w:szCs w:val="18"/>
        </w:rPr>
        <w:t xml:space="preserve"> dinsdagochtend 21 </w:t>
      </w:r>
      <w:r w:rsidR="002518C3">
        <w:rPr>
          <w:rFonts w:ascii="Verdana" w:hAnsi="Verdana"/>
          <w:sz w:val="18"/>
          <w:szCs w:val="18"/>
        </w:rPr>
        <w:t xml:space="preserve">juli 2020 vond een </w:t>
      </w:r>
      <w:r w:rsidR="007851B5">
        <w:rPr>
          <w:rFonts w:ascii="Verdana" w:hAnsi="Verdana"/>
          <w:sz w:val="18"/>
          <w:szCs w:val="18"/>
        </w:rPr>
        <w:t>buitengewone</w:t>
      </w:r>
      <w:r w:rsidR="002518C3">
        <w:rPr>
          <w:rFonts w:ascii="Verdana" w:hAnsi="Verdana"/>
          <w:sz w:val="18"/>
          <w:szCs w:val="18"/>
        </w:rPr>
        <w:t xml:space="preserve"> Europese Raad (ER) plaats in Brussel. De minister-president nam deel aan deze vergadering. </w:t>
      </w:r>
    </w:p>
    <w:p w:rsidRPr="002518C3" w:rsidR="00091C8D" w:rsidP="002518C3" w:rsidRDefault="00091C8D" w14:paraId="52CEBFC7" w14:textId="77777777">
      <w:pPr>
        <w:spacing w:after="0"/>
        <w:jc w:val="both"/>
        <w:rPr>
          <w:rFonts w:ascii="Verdana" w:hAnsi="Verdana"/>
          <w:sz w:val="18"/>
          <w:szCs w:val="18"/>
        </w:rPr>
      </w:pPr>
    </w:p>
    <w:p w:rsidR="00BB0631" w:rsidP="002518C3" w:rsidRDefault="002518C3" w14:paraId="69B788EE" w14:textId="77777777">
      <w:pPr>
        <w:spacing w:after="0"/>
        <w:jc w:val="both"/>
        <w:rPr>
          <w:rFonts w:ascii="Verdana" w:hAnsi="Verdana"/>
          <w:i/>
          <w:sz w:val="18"/>
          <w:szCs w:val="18"/>
        </w:rPr>
      </w:pPr>
      <w:r>
        <w:rPr>
          <w:rFonts w:ascii="Verdana" w:hAnsi="Verdana"/>
          <w:i/>
          <w:sz w:val="18"/>
          <w:szCs w:val="18"/>
        </w:rPr>
        <w:t>Meerjarig Financieel Kader/herstelstrategie</w:t>
      </w:r>
    </w:p>
    <w:p w:rsidR="00BB0631" w:rsidP="002518C3" w:rsidRDefault="00BB0631" w14:paraId="775C65AC" w14:textId="77777777">
      <w:pPr>
        <w:spacing w:after="0"/>
        <w:jc w:val="both"/>
        <w:rPr>
          <w:rFonts w:ascii="Verdana" w:hAnsi="Verdana"/>
          <w:i/>
          <w:sz w:val="18"/>
          <w:szCs w:val="18"/>
        </w:rPr>
      </w:pPr>
    </w:p>
    <w:p w:rsidRPr="00581EC0" w:rsidR="00BB0631" w:rsidP="00BB0631" w:rsidRDefault="00BB0631" w14:paraId="04F5B183" w14:textId="13FB9CDD">
      <w:pPr>
        <w:jc w:val="both"/>
        <w:rPr>
          <w:rFonts w:ascii="Verdana" w:hAnsi="Verdana" w:eastAsia="Calibri" w:cs="Times New Roman"/>
          <w:sz w:val="18"/>
          <w:szCs w:val="18"/>
          <w:u w:val="single"/>
        </w:rPr>
      </w:pPr>
      <w:r w:rsidRPr="00581EC0">
        <w:rPr>
          <w:rFonts w:ascii="Verdana" w:hAnsi="Verdana" w:eastAsia="Calibri" w:cs="Times New Roman"/>
          <w:sz w:val="18"/>
          <w:szCs w:val="18"/>
          <w:u w:val="single"/>
        </w:rPr>
        <w:t>Samenvatting uitkomst</w:t>
      </w:r>
    </w:p>
    <w:p w:rsidRPr="00BB0631" w:rsidR="00BB0631" w:rsidP="00BB0631" w:rsidRDefault="00BB0631" w14:paraId="60A79986" w14:textId="5BD49B54">
      <w:pPr>
        <w:jc w:val="both"/>
        <w:rPr>
          <w:rFonts w:ascii="Verdana" w:hAnsi="Verdana" w:eastAsia="Calibri" w:cs="Times New Roman"/>
          <w:sz w:val="18"/>
          <w:szCs w:val="18"/>
        </w:rPr>
      </w:pPr>
      <w:r w:rsidRPr="00BB0631">
        <w:rPr>
          <w:rFonts w:ascii="Verdana" w:hAnsi="Verdana" w:eastAsia="Calibri" w:cs="Times New Roman"/>
          <w:sz w:val="18"/>
          <w:szCs w:val="18"/>
        </w:rPr>
        <w:t>Op 21 juli jl. bereikte de Europese Raad na vier dagen onderhandelen overeenstemming over het Meerjarig Financieel Kader voor de periode 2021-27 (MFK</w:t>
      </w:r>
      <w:r w:rsidR="006016EF">
        <w:rPr>
          <w:rFonts w:ascii="Verdana" w:hAnsi="Verdana" w:eastAsia="Calibri" w:cs="Times New Roman"/>
          <w:sz w:val="18"/>
          <w:szCs w:val="18"/>
        </w:rPr>
        <w:t>),</w:t>
      </w:r>
      <w:r w:rsidRPr="00BB0631">
        <w:rPr>
          <w:rFonts w:ascii="Verdana" w:hAnsi="Verdana" w:eastAsia="Calibri" w:cs="Times New Roman"/>
          <w:sz w:val="18"/>
          <w:szCs w:val="18"/>
        </w:rPr>
        <w:t xml:space="preserve"> het herstelinstr</w:t>
      </w:r>
      <w:r w:rsidR="00A83E8F">
        <w:rPr>
          <w:rFonts w:ascii="Verdana" w:hAnsi="Verdana" w:eastAsia="Calibri" w:cs="Times New Roman"/>
          <w:sz w:val="18"/>
          <w:szCs w:val="18"/>
        </w:rPr>
        <w:t>ument in reactie op de COVID-19-</w:t>
      </w:r>
      <w:r w:rsidRPr="00BB0631">
        <w:rPr>
          <w:rFonts w:ascii="Verdana" w:hAnsi="Verdana" w:eastAsia="Calibri" w:cs="Times New Roman"/>
          <w:sz w:val="18"/>
          <w:szCs w:val="18"/>
        </w:rPr>
        <w:t>crisis (</w:t>
      </w:r>
      <w:r w:rsidRPr="00BB0631">
        <w:rPr>
          <w:rFonts w:ascii="Verdana" w:hAnsi="Verdana" w:eastAsia="Calibri" w:cs="Times New Roman"/>
          <w:i/>
          <w:sz w:val="18"/>
          <w:szCs w:val="18"/>
        </w:rPr>
        <w:t>Next Generation EU</w:t>
      </w:r>
      <w:r w:rsidRPr="00BB0631">
        <w:rPr>
          <w:rFonts w:ascii="Verdana" w:hAnsi="Verdana" w:eastAsia="Calibri" w:cs="Times New Roman"/>
          <w:sz w:val="18"/>
          <w:szCs w:val="18"/>
        </w:rPr>
        <w:t>)</w:t>
      </w:r>
      <w:r w:rsidR="006016EF">
        <w:rPr>
          <w:rFonts w:ascii="Verdana" w:hAnsi="Verdana" w:eastAsia="Calibri" w:cs="Times New Roman"/>
          <w:sz w:val="18"/>
          <w:szCs w:val="18"/>
        </w:rPr>
        <w:t xml:space="preserve"> en de financiering daarvan via een nieuw Eigenmiddelenbesluit (EMB)</w:t>
      </w:r>
      <w:r w:rsidRPr="00BB0631">
        <w:rPr>
          <w:rFonts w:ascii="Verdana" w:hAnsi="Verdana" w:eastAsia="Calibri" w:cs="Times New Roman"/>
          <w:sz w:val="18"/>
          <w:szCs w:val="18"/>
        </w:rPr>
        <w:t>. Het akkoord</w:t>
      </w:r>
      <w:r w:rsidR="00CC4C99">
        <w:rPr>
          <w:rStyle w:val="FootnoteReference"/>
          <w:rFonts w:ascii="Verdana" w:hAnsi="Verdana" w:eastAsia="Calibri" w:cs="Times New Roman"/>
          <w:sz w:val="18"/>
          <w:szCs w:val="18"/>
        </w:rPr>
        <w:footnoteReference w:id="2"/>
      </w:r>
      <w:r w:rsidR="00DB4111">
        <w:rPr>
          <w:rFonts w:ascii="Verdana" w:hAnsi="Verdana" w:eastAsia="Calibri" w:cs="Times New Roman"/>
          <w:sz w:val="18"/>
          <w:szCs w:val="18"/>
        </w:rPr>
        <w:t xml:space="preserve"> </w:t>
      </w:r>
      <w:r w:rsidRPr="00BB0631">
        <w:rPr>
          <w:rFonts w:ascii="Verdana" w:hAnsi="Verdana" w:eastAsia="Calibri" w:cs="Times New Roman"/>
          <w:sz w:val="18"/>
          <w:szCs w:val="18"/>
        </w:rPr>
        <w:t xml:space="preserve">omvat een MFK met een uitgavenplafond van </w:t>
      </w:r>
      <w:r w:rsidRPr="00581EC0">
        <w:rPr>
          <w:rFonts w:ascii="Verdana" w:hAnsi="Verdana" w:eastAsia="Calibri" w:cs="Times New Roman"/>
          <w:sz w:val="18"/>
          <w:szCs w:val="18"/>
        </w:rPr>
        <w:t xml:space="preserve">1.074 </w:t>
      </w:r>
      <w:r w:rsidR="005C156B">
        <w:rPr>
          <w:rFonts w:ascii="Verdana" w:hAnsi="Verdana" w:eastAsia="Calibri" w:cs="Times New Roman"/>
          <w:sz w:val="18"/>
          <w:szCs w:val="18"/>
        </w:rPr>
        <w:t>miljard</w:t>
      </w:r>
      <w:r w:rsidRPr="00BB0631">
        <w:rPr>
          <w:rFonts w:ascii="Verdana" w:hAnsi="Verdana" w:eastAsia="Calibri" w:cs="Times New Roman"/>
          <w:sz w:val="18"/>
          <w:szCs w:val="18"/>
        </w:rPr>
        <w:t xml:space="preserve"> euro in vastleggingen en </w:t>
      </w:r>
      <w:r w:rsidRPr="00581EC0">
        <w:rPr>
          <w:rFonts w:ascii="Verdana" w:hAnsi="Verdana" w:eastAsia="Calibri" w:cs="Times New Roman"/>
          <w:sz w:val="18"/>
          <w:szCs w:val="18"/>
        </w:rPr>
        <w:t xml:space="preserve">1.061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in betalingen (</w:t>
      </w:r>
      <w:r w:rsidRPr="00581EC0" w:rsidR="00581EC0">
        <w:rPr>
          <w:rFonts w:ascii="Verdana" w:hAnsi="Verdana" w:eastAsia="Calibri" w:cs="Times New Roman"/>
          <w:sz w:val="18"/>
          <w:szCs w:val="18"/>
        </w:rPr>
        <w:t xml:space="preserve">tenzij anders is aangegeven worden bedragen in deze brief uitgedrukt </w:t>
      </w:r>
      <w:r w:rsidRPr="00BB0631">
        <w:rPr>
          <w:rFonts w:ascii="Verdana" w:hAnsi="Verdana" w:eastAsia="Calibri" w:cs="Times New Roman"/>
          <w:sz w:val="18"/>
          <w:szCs w:val="18"/>
        </w:rPr>
        <w:t xml:space="preserve">in prijzen </w:t>
      </w:r>
      <w:r w:rsidR="006016EF">
        <w:rPr>
          <w:rFonts w:ascii="Verdana" w:hAnsi="Verdana" w:eastAsia="Calibri" w:cs="Times New Roman"/>
          <w:sz w:val="18"/>
          <w:szCs w:val="18"/>
        </w:rPr>
        <w:t xml:space="preserve">van het jaar </w:t>
      </w:r>
      <w:r w:rsidRPr="00BB0631">
        <w:rPr>
          <w:rFonts w:ascii="Verdana" w:hAnsi="Verdana" w:eastAsia="Calibri" w:cs="Times New Roman"/>
          <w:sz w:val="18"/>
          <w:szCs w:val="18"/>
        </w:rPr>
        <w:t xml:space="preserve">2018). </w:t>
      </w:r>
    </w:p>
    <w:p w:rsidRPr="00BB0631" w:rsidR="00BB0631" w:rsidP="00581EC0" w:rsidRDefault="00912E76" w14:paraId="18B98698" w14:textId="1FD5F9C7">
      <w:pPr>
        <w:jc w:val="both"/>
        <w:rPr>
          <w:rFonts w:ascii="Verdana" w:hAnsi="Verdana" w:eastAsia="Calibri" w:cs="Times New Roman"/>
          <w:sz w:val="18"/>
          <w:szCs w:val="18"/>
        </w:rPr>
      </w:pPr>
      <w:r>
        <w:rPr>
          <w:rFonts w:ascii="Verdana" w:hAnsi="Verdana" w:eastAsia="Calibri" w:cs="Times New Roman"/>
          <w:sz w:val="18"/>
          <w:szCs w:val="18"/>
        </w:rPr>
        <w:t xml:space="preserve">Ten opzichte van het vorige MFK komt er inhoudelijk een </w:t>
      </w:r>
      <w:r w:rsidRPr="00BB0631" w:rsidR="00BB0631">
        <w:rPr>
          <w:rFonts w:ascii="Verdana" w:hAnsi="Verdana" w:eastAsia="Calibri" w:cs="Times New Roman"/>
          <w:sz w:val="18"/>
          <w:szCs w:val="18"/>
        </w:rPr>
        <w:t>sterkere nadruk op onderzoek en innovatie, klimaat</w:t>
      </w:r>
      <w:r w:rsidRPr="00581EC0" w:rsidR="00581EC0">
        <w:rPr>
          <w:rFonts w:ascii="Verdana" w:hAnsi="Verdana" w:eastAsia="Calibri" w:cs="Times New Roman"/>
          <w:sz w:val="18"/>
          <w:szCs w:val="18"/>
        </w:rPr>
        <w:t xml:space="preserve">, </w:t>
      </w:r>
      <w:r w:rsidRPr="00BB0631" w:rsidR="00BB0631">
        <w:rPr>
          <w:rFonts w:ascii="Verdana" w:hAnsi="Verdana" w:eastAsia="Calibri" w:cs="Times New Roman"/>
          <w:sz w:val="18"/>
          <w:szCs w:val="18"/>
        </w:rPr>
        <w:t xml:space="preserve">vergroening, migratie en veiligheid. </w:t>
      </w:r>
      <w:r w:rsidRPr="00581EC0" w:rsidR="00581EC0">
        <w:rPr>
          <w:rFonts w:ascii="Verdana" w:hAnsi="Verdana" w:eastAsia="Calibri" w:cs="Times New Roman"/>
          <w:sz w:val="18"/>
          <w:szCs w:val="18"/>
        </w:rPr>
        <w:t xml:space="preserve">Bovendien is afgesproken dat er een </w:t>
      </w:r>
      <w:r w:rsidR="00636763">
        <w:rPr>
          <w:rFonts w:ascii="Verdana" w:hAnsi="Verdana" w:eastAsia="Calibri" w:cs="Times New Roman"/>
          <w:sz w:val="18"/>
          <w:szCs w:val="18"/>
        </w:rPr>
        <w:t>stelsel</w:t>
      </w:r>
      <w:r w:rsidRPr="00581EC0" w:rsidDel="00BA45F2" w:rsidR="00581EC0">
        <w:rPr>
          <w:rFonts w:ascii="Verdana" w:hAnsi="Verdana" w:eastAsia="Calibri" w:cs="Times New Roman"/>
          <w:sz w:val="18"/>
          <w:szCs w:val="18"/>
        </w:rPr>
        <w:t xml:space="preserve"> </w:t>
      </w:r>
      <w:r w:rsidR="00BA45F2">
        <w:rPr>
          <w:rFonts w:ascii="Verdana" w:hAnsi="Verdana" w:eastAsia="Calibri" w:cs="Times New Roman"/>
          <w:sz w:val="18"/>
          <w:szCs w:val="18"/>
        </w:rPr>
        <w:t>wordt geïntroduceerd</w:t>
      </w:r>
      <w:r w:rsidRPr="00581EC0" w:rsidR="00581EC0">
        <w:rPr>
          <w:rFonts w:ascii="Verdana" w:hAnsi="Verdana" w:eastAsia="Calibri" w:cs="Times New Roman"/>
          <w:sz w:val="18"/>
          <w:szCs w:val="18"/>
        </w:rPr>
        <w:t xml:space="preserve"> dat een koppeling legt tussen de </w:t>
      </w:r>
      <w:r w:rsidR="006127F6">
        <w:rPr>
          <w:rFonts w:ascii="Verdana" w:hAnsi="Verdana" w:eastAsia="Calibri" w:cs="Times New Roman"/>
          <w:sz w:val="18"/>
          <w:szCs w:val="18"/>
        </w:rPr>
        <w:t>ontvangst</w:t>
      </w:r>
      <w:r w:rsidRPr="00581EC0" w:rsidR="006127F6">
        <w:rPr>
          <w:rFonts w:ascii="Verdana" w:hAnsi="Verdana" w:eastAsia="Calibri" w:cs="Times New Roman"/>
          <w:sz w:val="18"/>
          <w:szCs w:val="18"/>
        </w:rPr>
        <w:t xml:space="preserve"> </w:t>
      </w:r>
      <w:r w:rsidRPr="00581EC0" w:rsidR="00581EC0">
        <w:rPr>
          <w:rFonts w:ascii="Verdana" w:hAnsi="Verdana" w:eastAsia="Calibri" w:cs="Times New Roman"/>
          <w:sz w:val="18"/>
          <w:szCs w:val="18"/>
        </w:rPr>
        <w:t xml:space="preserve">van EU-middelen en de naleving van de waarden van de Unie, waaronder respect voor de </w:t>
      </w:r>
      <w:r w:rsidR="006127F6">
        <w:rPr>
          <w:rFonts w:ascii="Verdana" w:hAnsi="Verdana" w:eastAsia="Calibri" w:cs="Times New Roman"/>
          <w:sz w:val="18"/>
          <w:szCs w:val="18"/>
        </w:rPr>
        <w:t>beginselen ten aanzien van</w:t>
      </w:r>
      <w:r w:rsidRPr="00581EC0" w:rsidR="00581EC0">
        <w:rPr>
          <w:rFonts w:ascii="Verdana" w:hAnsi="Verdana" w:eastAsia="Calibri" w:cs="Times New Roman"/>
          <w:sz w:val="18"/>
          <w:szCs w:val="18"/>
        </w:rPr>
        <w:t xml:space="preserve"> rechtsstat</w:t>
      </w:r>
      <w:r w:rsidR="006127F6">
        <w:rPr>
          <w:rFonts w:ascii="Verdana" w:hAnsi="Verdana" w:eastAsia="Calibri" w:cs="Times New Roman"/>
          <w:sz w:val="18"/>
          <w:szCs w:val="18"/>
        </w:rPr>
        <w:t>elijkheid</w:t>
      </w:r>
      <w:r w:rsidRPr="00581EC0" w:rsidR="00581EC0">
        <w:rPr>
          <w:rFonts w:ascii="Verdana" w:hAnsi="Verdana" w:eastAsia="Calibri" w:cs="Times New Roman"/>
          <w:sz w:val="18"/>
          <w:szCs w:val="18"/>
        </w:rPr>
        <w:t xml:space="preserve">. </w:t>
      </w:r>
      <w:r w:rsidR="00FB004A">
        <w:rPr>
          <w:rFonts w:ascii="Verdana" w:hAnsi="Verdana" w:eastAsia="Calibri" w:cs="Times New Roman"/>
          <w:sz w:val="18"/>
          <w:szCs w:val="18"/>
        </w:rPr>
        <w:t xml:space="preserve">Nederland heeft zich hier samen met een aantal andere gelijkgezinde lidstaten </w:t>
      </w:r>
      <w:r w:rsidR="00034F2D">
        <w:rPr>
          <w:rFonts w:ascii="Verdana" w:hAnsi="Verdana" w:eastAsia="Calibri" w:cs="Times New Roman"/>
          <w:sz w:val="18"/>
          <w:szCs w:val="18"/>
        </w:rPr>
        <w:t xml:space="preserve">met succes </w:t>
      </w:r>
      <w:r w:rsidR="00FB004A">
        <w:rPr>
          <w:rFonts w:ascii="Verdana" w:hAnsi="Verdana" w:eastAsia="Calibri" w:cs="Times New Roman"/>
          <w:sz w:val="18"/>
          <w:szCs w:val="18"/>
        </w:rPr>
        <w:t xml:space="preserve">sterk voor gemaakt. </w:t>
      </w:r>
      <w:r w:rsidRPr="00581EC0" w:rsidR="00581EC0">
        <w:rPr>
          <w:rFonts w:ascii="Verdana" w:hAnsi="Verdana" w:eastAsia="Calibri" w:cs="Times New Roman"/>
          <w:sz w:val="18"/>
          <w:szCs w:val="18"/>
        </w:rPr>
        <w:t>In</w:t>
      </w:r>
      <w:r w:rsidR="003C179F">
        <w:rPr>
          <w:rFonts w:ascii="Verdana" w:hAnsi="Verdana" w:eastAsia="Calibri" w:cs="Times New Roman"/>
          <w:sz w:val="18"/>
          <w:szCs w:val="18"/>
        </w:rPr>
        <w:t xml:space="preserve"> </w:t>
      </w:r>
      <w:r w:rsidRPr="00581EC0" w:rsidR="00581EC0">
        <w:rPr>
          <w:rFonts w:ascii="Verdana" w:hAnsi="Verdana" w:eastAsia="Calibri" w:cs="Times New Roman"/>
          <w:sz w:val="18"/>
          <w:szCs w:val="18"/>
        </w:rPr>
        <w:t xml:space="preserve">geval van een schending van dit </w:t>
      </w:r>
      <w:r w:rsidR="00636763">
        <w:rPr>
          <w:rFonts w:ascii="Verdana" w:hAnsi="Verdana" w:eastAsia="Calibri" w:cs="Times New Roman"/>
          <w:sz w:val="18"/>
          <w:szCs w:val="18"/>
        </w:rPr>
        <w:t>stelsel</w:t>
      </w:r>
      <w:r w:rsidRPr="00581EC0" w:rsidR="00636763">
        <w:rPr>
          <w:rFonts w:ascii="Verdana" w:hAnsi="Verdana" w:eastAsia="Calibri" w:cs="Times New Roman"/>
          <w:sz w:val="18"/>
          <w:szCs w:val="18"/>
        </w:rPr>
        <w:t xml:space="preserve"> </w:t>
      </w:r>
      <w:r w:rsidRPr="00581EC0" w:rsidR="00581EC0">
        <w:rPr>
          <w:rFonts w:ascii="Verdana" w:hAnsi="Verdana" w:eastAsia="Calibri" w:cs="Times New Roman"/>
          <w:sz w:val="18"/>
          <w:szCs w:val="18"/>
        </w:rPr>
        <w:t xml:space="preserve">zal de Commissie maatregelen voorstellen om </w:t>
      </w:r>
      <w:r w:rsidR="003C179F">
        <w:rPr>
          <w:rFonts w:ascii="Verdana" w:hAnsi="Verdana" w:eastAsia="Calibri" w:cs="Times New Roman"/>
          <w:sz w:val="18"/>
          <w:szCs w:val="18"/>
        </w:rPr>
        <w:t>deze</w:t>
      </w:r>
      <w:r w:rsidRPr="00581EC0" w:rsidR="003C179F">
        <w:rPr>
          <w:rFonts w:ascii="Verdana" w:hAnsi="Verdana" w:eastAsia="Calibri" w:cs="Times New Roman"/>
          <w:sz w:val="18"/>
          <w:szCs w:val="18"/>
        </w:rPr>
        <w:t xml:space="preserve"> </w:t>
      </w:r>
      <w:r w:rsidRPr="00581EC0" w:rsidR="00581EC0">
        <w:rPr>
          <w:rFonts w:ascii="Verdana" w:hAnsi="Verdana" w:eastAsia="Calibri" w:cs="Times New Roman"/>
          <w:sz w:val="18"/>
          <w:szCs w:val="18"/>
        </w:rPr>
        <w:t xml:space="preserve">aan te pakken. </w:t>
      </w:r>
      <w:r w:rsidR="006127F6">
        <w:rPr>
          <w:rFonts w:ascii="Verdana" w:hAnsi="Verdana" w:eastAsia="Calibri" w:cs="Times New Roman"/>
          <w:sz w:val="18"/>
          <w:szCs w:val="18"/>
        </w:rPr>
        <w:t>Over d</w:t>
      </w:r>
      <w:r w:rsidRPr="00581EC0" w:rsidR="006127F6">
        <w:rPr>
          <w:rFonts w:ascii="Verdana" w:hAnsi="Verdana" w:eastAsia="Calibri" w:cs="Times New Roman"/>
          <w:sz w:val="18"/>
          <w:szCs w:val="18"/>
        </w:rPr>
        <w:t>eze</w:t>
      </w:r>
      <w:r w:rsidRPr="00581EC0" w:rsidR="00581EC0">
        <w:rPr>
          <w:rFonts w:ascii="Verdana" w:hAnsi="Verdana" w:eastAsia="Calibri" w:cs="Times New Roman"/>
          <w:sz w:val="18"/>
          <w:szCs w:val="18"/>
        </w:rPr>
        <w:t xml:space="preserve"> maatregelen z</w:t>
      </w:r>
      <w:r w:rsidR="006127F6">
        <w:rPr>
          <w:rFonts w:ascii="Verdana" w:hAnsi="Verdana" w:eastAsia="Calibri" w:cs="Times New Roman"/>
          <w:sz w:val="18"/>
          <w:szCs w:val="18"/>
        </w:rPr>
        <w:t>a</w:t>
      </w:r>
      <w:r w:rsidRPr="00581EC0" w:rsidR="00581EC0">
        <w:rPr>
          <w:rFonts w:ascii="Verdana" w:hAnsi="Verdana" w:eastAsia="Calibri" w:cs="Times New Roman"/>
          <w:sz w:val="18"/>
          <w:szCs w:val="18"/>
        </w:rPr>
        <w:t xml:space="preserve">l door de Raad met gekwalificeerde meerderheid worden </w:t>
      </w:r>
      <w:r w:rsidR="006127F6">
        <w:rPr>
          <w:rFonts w:ascii="Verdana" w:hAnsi="Verdana" w:eastAsia="Calibri" w:cs="Times New Roman"/>
          <w:sz w:val="18"/>
          <w:szCs w:val="18"/>
        </w:rPr>
        <w:t>besloten</w:t>
      </w:r>
      <w:r w:rsidRPr="00581EC0" w:rsidR="00581EC0">
        <w:rPr>
          <w:rFonts w:ascii="Verdana" w:hAnsi="Verdana" w:eastAsia="Calibri" w:cs="Times New Roman"/>
          <w:sz w:val="18"/>
          <w:szCs w:val="18"/>
        </w:rPr>
        <w:t xml:space="preserve">. </w:t>
      </w:r>
      <w:r w:rsidRPr="006127F6" w:rsidR="006127F6">
        <w:rPr>
          <w:rFonts w:ascii="Verdana" w:hAnsi="Verdana" w:eastAsia="Calibri" w:cs="Times New Roman"/>
          <w:sz w:val="18"/>
          <w:szCs w:val="18"/>
        </w:rPr>
        <w:t>Afgesproken is dat de ER hier snel op zal terugkomen.</w:t>
      </w:r>
    </w:p>
    <w:p w:rsidR="006016EF" w:rsidP="00BB0631" w:rsidRDefault="006016EF" w14:paraId="74C341C1" w14:textId="44CCBC59">
      <w:pPr>
        <w:jc w:val="both"/>
        <w:rPr>
          <w:rFonts w:ascii="Verdana" w:hAnsi="Verdana" w:eastAsia="Calibri" w:cs="Times New Roman"/>
          <w:sz w:val="18"/>
          <w:szCs w:val="18"/>
        </w:rPr>
      </w:pPr>
      <w:r>
        <w:rPr>
          <w:rFonts w:ascii="Verdana" w:hAnsi="Verdana" w:eastAsia="Calibri" w:cs="Times New Roman"/>
          <w:sz w:val="18"/>
          <w:szCs w:val="18"/>
        </w:rPr>
        <w:t>Daarnaast zette Nederland in op een</w:t>
      </w:r>
      <w:r w:rsidRPr="00BB0631">
        <w:rPr>
          <w:rFonts w:ascii="Verdana" w:hAnsi="Verdana" w:eastAsia="Calibri" w:cs="Times New Roman"/>
          <w:sz w:val="18"/>
          <w:szCs w:val="18"/>
        </w:rPr>
        <w:t xml:space="preserve"> financieel houdbare EU-begroting, met een eerlijke verdeling van de financiering</w:t>
      </w:r>
      <w:r>
        <w:rPr>
          <w:rFonts w:ascii="Verdana" w:hAnsi="Verdana" w:eastAsia="Calibri" w:cs="Times New Roman"/>
          <w:sz w:val="18"/>
          <w:szCs w:val="18"/>
        </w:rPr>
        <w:t xml:space="preserve">. De inzet was te voorkomen dat de </w:t>
      </w:r>
      <w:r w:rsidR="00FB004A">
        <w:rPr>
          <w:rFonts w:ascii="Verdana" w:hAnsi="Verdana" w:eastAsia="Calibri" w:cs="Times New Roman"/>
          <w:sz w:val="18"/>
          <w:szCs w:val="18"/>
        </w:rPr>
        <w:t>Nederlandse</w:t>
      </w:r>
      <w:r>
        <w:rPr>
          <w:rFonts w:ascii="Verdana" w:hAnsi="Verdana" w:eastAsia="Calibri" w:cs="Times New Roman"/>
          <w:sz w:val="18"/>
          <w:szCs w:val="18"/>
        </w:rPr>
        <w:t xml:space="preserve"> afdrachten aan de EU-begroting als gevolg van de uittreding van het VK zouden stijgen</w:t>
      </w:r>
      <w:r w:rsidRPr="00BB0631">
        <w:rPr>
          <w:rFonts w:ascii="Verdana" w:hAnsi="Verdana" w:eastAsia="Calibri" w:cs="Times New Roman"/>
          <w:sz w:val="18"/>
          <w:szCs w:val="18"/>
        </w:rPr>
        <w:t>.</w:t>
      </w:r>
      <w:r>
        <w:rPr>
          <w:rFonts w:ascii="Verdana" w:hAnsi="Verdana" w:eastAsia="Calibri" w:cs="Times New Roman"/>
          <w:sz w:val="18"/>
          <w:szCs w:val="18"/>
        </w:rPr>
        <w:t xml:space="preserve"> Dat is met dit akkoord gelukt</w:t>
      </w:r>
      <w:r w:rsidR="00912E76">
        <w:rPr>
          <w:rFonts w:ascii="Verdana" w:hAnsi="Verdana" w:eastAsia="Calibri" w:cs="Times New Roman"/>
          <w:sz w:val="18"/>
          <w:szCs w:val="18"/>
        </w:rPr>
        <w:t xml:space="preserve"> door een combinatie van effecten, waaronder de verlaging van de totaalomvang van het MFK ten opzichte het Commissievoorstel</w:t>
      </w:r>
      <w:r>
        <w:rPr>
          <w:rFonts w:ascii="Verdana" w:hAnsi="Verdana" w:eastAsia="Calibri" w:cs="Times New Roman"/>
          <w:sz w:val="18"/>
          <w:szCs w:val="18"/>
        </w:rPr>
        <w:t>.</w:t>
      </w:r>
      <w:r w:rsidRPr="00BB0631">
        <w:rPr>
          <w:rFonts w:ascii="Verdana" w:hAnsi="Verdana" w:eastAsia="Calibri" w:cs="Times New Roman"/>
          <w:sz w:val="18"/>
          <w:szCs w:val="18"/>
        </w:rPr>
        <w:t xml:space="preserve"> </w:t>
      </w:r>
      <w:r w:rsidR="00D455EF">
        <w:rPr>
          <w:rFonts w:ascii="Verdana" w:hAnsi="Verdana" w:eastAsia="Calibri" w:cs="Times New Roman"/>
          <w:sz w:val="18"/>
          <w:szCs w:val="18"/>
        </w:rPr>
        <w:t xml:space="preserve">Bovendien </w:t>
      </w:r>
      <w:r w:rsidRPr="00BB0631">
        <w:rPr>
          <w:rFonts w:ascii="Verdana" w:hAnsi="Verdana" w:eastAsia="Calibri" w:cs="Times New Roman"/>
          <w:sz w:val="18"/>
          <w:szCs w:val="18"/>
        </w:rPr>
        <w:t xml:space="preserve">ontvangt Nederland de komende MFK-periode een </w:t>
      </w:r>
      <w:r w:rsidR="00D455EF">
        <w:rPr>
          <w:rFonts w:ascii="Verdana" w:hAnsi="Verdana" w:eastAsia="Calibri" w:cs="Times New Roman"/>
          <w:sz w:val="18"/>
          <w:szCs w:val="18"/>
        </w:rPr>
        <w:t xml:space="preserve">hogere </w:t>
      </w:r>
      <w:r w:rsidRPr="00581EC0">
        <w:rPr>
          <w:rFonts w:ascii="Verdana" w:hAnsi="Verdana" w:eastAsia="Calibri" w:cs="Times New Roman"/>
          <w:sz w:val="18"/>
          <w:szCs w:val="18"/>
        </w:rPr>
        <w:t>jaarlijkse lumpsum</w:t>
      </w:r>
      <w:r w:rsidRPr="00BB0631">
        <w:rPr>
          <w:rFonts w:ascii="Verdana" w:hAnsi="Verdana" w:eastAsia="Calibri" w:cs="Times New Roman"/>
          <w:sz w:val="18"/>
          <w:szCs w:val="18"/>
        </w:rPr>
        <w:t xml:space="preserve">korting op de EU-afdrachten van </w:t>
      </w:r>
      <w:r w:rsidRPr="00581EC0">
        <w:rPr>
          <w:rFonts w:ascii="Verdana" w:hAnsi="Verdana" w:eastAsia="Calibri" w:cs="Times New Roman"/>
          <w:sz w:val="18"/>
          <w:szCs w:val="18"/>
        </w:rPr>
        <w:t xml:space="preserve">1,921 </w:t>
      </w:r>
      <w:r w:rsidR="00C330C1">
        <w:rPr>
          <w:rFonts w:ascii="Verdana" w:hAnsi="Verdana" w:eastAsia="Calibri" w:cs="Times New Roman"/>
          <w:sz w:val="18"/>
          <w:szCs w:val="18"/>
        </w:rPr>
        <w:t>miljard</w:t>
      </w:r>
      <w:r w:rsidRPr="00BB0631">
        <w:rPr>
          <w:rFonts w:ascii="Verdana" w:hAnsi="Verdana" w:eastAsia="Calibri" w:cs="Times New Roman"/>
          <w:sz w:val="18"/>
          <w:szCs w:val="18"/>
        </w:rPr>
        <w:t xml:space="preserve"> euro</w:t>
      </w:r>
      <w:r w:rsidRPr="00581EC0">
        <w:rPr>
          <w:rFonts w:ascii="Verdana" w:hAnsi="Verdana" w:eastAsia="Calibri" w:cs="Times New Roman"/>
          <w:sz w:val="18"/>
          <w:szCs w:val="18"/>
        </w:rPr>
        <w:t xml:space="preserve"> (in prijzen </w:t>
      </w:r>
      <w:r>
        <w:rPr>
          <w:rFonts w:ascii="Verdana" w:hAnsi="Verdana" w:eastAsia="Calibri" w:cs="Times New Roman"/>
          <w:sz w:val="18"/>
          <w:szCs w:val="18"/>
        </w:rPr>
        <w:t xml:space="preserve">van het jaar </w:t>
      </w:r>
      <w:r w:rsidRPr="00581EC0">
        <w:rPr>
          <w:rFonts w:ascii="Verdana" w:hAnsi="Verdana" w:eastAsia="Calibri" w:cs="Times New Roman"/>
          <w:sz w:val="18"/>
          <w:szCs w:val="18"/>
        </w:rPr>
        <w:t>2020)</w:t>
      </w:r>
      <w:r w:rsidR="00912E76">
        <w:rPr>
          <w:rFonts w:ascii="Verdana" w:hAnsi="Verdana" w:eastAsia="Calibri" w:cs="Times New Roman"/>
          <w:sz w:val="18"/>
          <w:szCs w:val="18"/>
        </w:rPr>
        <w:t xml:space="preserve"> en wordt de </w:t>
      </w:r>
      <w:r w:rsidRPr="00BB0631" w:rsidR="00912E76">
        <w:rPr>
          <w:rFonts w:ascii="Verdana" w:hAnsi="Verdana" w:eastAsia="Calibri" w:cs="Times New Roman"/>
          <w:sz w:val="18"/>
          <w:szCs w:val="18"/>
        </w:rPr>
        <w:t>vergoeding voor de inning van de invoerrechten</w:t>
      </w:r>
      <w:r w:rsidR="00912E76">
        <w:rPr>
          <w:rFonts w:ascii="Verdana" w:hAnsi="Verdana" w:eastAsia="Calibri" w:cs="Times New Roman"/>
          <w:sz w:val="18"/>
          <w:szCs w:val="18"/>
        </w:rPr>
        <w:t xml:space="preserve"> verhoogd in plaats van verlaagd zoals in het Commissievoorstel</w:t>
      </w:r>
      <w:r w:rsidRPr="00BB0631">
        <w:rPr>
          <w:rFonts w:ascii="Verdana" w:hAnsi="Verdana" w:eastAsia="Calibri" w:cs="Times New Roman"/>
          <w:sz w:val="18"/>
          <w:szCs w:val="18"/>
        </w:rPr>
        <w:t>.</w:t>
      </w:r>
    </w:p>
    <w:p w:rsidRPr="00BB0631" w:rsidR="00BB0631" w:rsidP="00BB0631" w:rsidRDefault="00BB0631" w14:paraId="206D31B0" w14:textId="37F7EDCE">
      <w:pPr>
        <w:jc w:val="both"/>
        <w:rPr>
          <w:rFonts w:ascii="Verdana" w:hAnsi="Verdana" w:eastAsia="Calibri" w:cs="Times New Roman"/>
          <w:sz w:val="18"/>
          <w:szCs w:val="18"/>
        </w:rPr>
      </w:pPr>
      <w:r w:rsidRPr="00BB0631">
        <w:rPr>
          <w:rFonts w:ascii="Verdana" w:hAnsi="Verdana" w:eastAsia="Calibri" w:cs="Times New Roman"/>
          <w:sz w:val="18"/>
          <w:szCs w:val="18"/>
        </w:rPr>
        <w:t xml:space="preserve">Het overeengekomen herstelinstrument heeft een omvang van </w:t>
      </w:r>
      <w:r w:rsidRPr="00581EC0" w:rsidR="00581EC0">
        <w:rPr>
          <w:rFonts w:ascii="Verdana" w:hAnsi="Verdana" w:eastAsia="Calibri" w:cs="Times New Roman"/>
          <w:sz w:val="18"/>
          <w:szCs w:val="18"/>
        </w:rPr>
        <w:t xml:space="preserve">750 </w:t>
      </w:r>
      <w:r w:rsidR="00C330C1">
        <w:rPr>
          <w:rFonts w:ascii="Verdana" w:hAnsi="Verdana" w:eastAsia="Calibri" w:cs="Times New Roman"/>
          <w:sz w:val="18"/>
          <w:szCs w:val="18"/>
        </w:rPr>
        <w:t>miljard</w:t>
      </w:r>
      <w:r w:rsidRPr="00BB0631">
        <w:rPr>
          <w:rFonts w:ascii="Verdana" w:hAnsi="Verdana" w:eastAsia="Calibri" w:cs="Times New Roman"/>
          <w:sz w:val="18"/>
          <w:szCs w:val="18"/>
        </w:rPr>
        <w:t xml:space="preserve"> euro. Hiervan kan </w:t>
      </w:r>
      <w:r w:rsidRPr="00581EC0" w:rsidR="00581EC0">
        <w:rPr>
          <w:rFonts w:ascii="Verdana" w:hAnsi="Verdana" w:eastAsia="Calibri" w:cs="Times New Roman"/>
          <w:sz w:val="18"/>
          <w:szCs w:val="18"/>
        </w:rPr>
        <w:t xml:space="preserve">390 </w:t>
      </w:r>
      <w:r w:rsidRPr="00BB0631">
        <w:rPr>
          <w:rFonts w:ascii="Verdana" w:hAnsi="Verdana" w:eastAsia="Calibri" w:cs="Times New Roman"/>
          <w:sz w:val="18"/>
          <w:szCs w:val="18"/>
        </w:rPr>
        <w:t xml:space="preserve">miljard </w:t>
      </w:r>
      <w:r w:rsidR="00FB004A">
        <w:rPr>
          <w:rFonts w:ascii="Verdana" w:hAnsi="Verdana" w:eastAsia="Calibri" w:cs="Times New Roman"/>
          <w:sz w:val="18"/>
          <w:szCs w:val="18"/>
        </w:rPr>
        <w:t>euro</w:t>
      </w:r>
      <w:r w:rsidRPr="00BB0631">
        <w:rPr>
          <w:rFonts w:ascii="Verdana" w:hAnsi="Verdana" w:eastAsia="Calibri" w:cs="Times New Roman"/>
          <w:sz w:val="18"/>
          <w:szCs w:val="18"/>
        </w:rPr>
        <w:t xml:space="preserve"> worden verstrekt als subsidies en </w:t>
      </w:r>
      <w:r w:rsidRPr="00581EC0" w:rsidR="00581EC0">
        <w:rPr>
          <w:rFonts w:ascii="Verdana" w:hAnsi="Verdana" w:eastAsia="Calibri" w:cs="Times New Roman"/>
          <w:sz w:val="18"/>
          <w:szCs w:val="18"/>
        </w:rPr>
        <w:t>360</w:t>
      </w:r>
      <w:r w:rsidRPr="00BB0631">
        <w:rPr>
          <w:rFonts w:ascii="Verdana" w:hAnsi="Verdana" w:eastAsia="Calibri" w:cs="Times New Roman"/>
          <w:sz w:val="18"/>
          <w:szCs w:val="18"/>
        </w:rPr>
        <w:t xml:space="preserve"> </w:t>
      </w:r>
      <w:r w:rsidR="00C330C1">
        <w:rPr>
          <w:rFonts w:ascii="Verdana" w:hAnsi="Verdana" w:eastAsia="Calibri" w:cs="Times New Roman"/>
          <w:sz w:val="18"/>
          <w:szCs w:val="18"/>
        </w:rPr>
        <w:t>miljard</w:t>
      </w:r>
      <w:r w:rsidR="006016EF">
        <w:rPr>
          <w:rFonts w:ascii="Verdana" w:hAnsi="Verdana" w:eastAsia="Calibri" w:cs="Times New Roman"/>
          <w:sz w:val="18"/>
          <w:szCs w:val="18"/>
        </w:rPr>
        <w:t xml:space="preserve"> euro</w:t>
      </w:r>
      <w:r w:rsidRPr="00BB0631">
        <w:rPr>
          <w:rFonts w:ascii="Verdana" w:hAnsi="Verdana" w:eastAsia="Calibri" w:cs="Times New Roman"/>
          <w:sz w:val="18"/>
          <w:szCs w:val="18"/>
        </w:rPr>
        <w:t xml:space="preserve"> als leningen. Het grootste onderdeel van het herstelinstrument is de </w:t>
      </w:r>
      <w:r w:rsidRPr="00991345">
        <w:rPr>
          <w:rFonts w:ascii="Verdana" w:hAnsi="Verdana" w:eastAsia="Calibri" w:cs="Times New Roman"/>
          <w:i/>
          <w:sz w:val="18"/>
          <w:szCs w:val="18"/>
        </w:rPr>
        <w:t>Recovery and Resilience Facility</w:t>
      </w:r>
      <w:r w:rsidRPr="00BB0631">
        <w:rPr>
          <w:rFonts w:ascii="Verdana" w:hAnsi="Verdana" w:eastAsia="Calibri" w:cs="Times New Roman"/>
          <w:sz w:val="18"/>
          <w:szCs w:val="18"/>
        </w:rPr>
        <w:t xml:space="preserve"> (RFF), waaruit lidstaten onder voorwaarden steun kunnen aanvragen voor hervormings- en investeringsprojecten. Dit RRF heeft een omvang </w:t>
      </w:r>
      <w:r w:rsidRPr="00581EC0" w:rsidR="00581EC0">
        <w:rPr>
          <w:rFonts w:ascii="Verdana" w:hAnsi="Verdana" w:eastAsia="Calibri" w:cs="Times New Roman"/>
          <w:sz w:val="18"/>
          <w:szCs w:val="18"/>
        </w:rPr>
        <w:t>van 672,5</w:t>
      </w:r>
      <w:r w:rsidRPr="00BB0631">
        <w:rPr>
          <w:rFonts w:ascii="Verdana" w:hAnsi="Verdana" w:eastAsia="Calibri" w:cs="Times New Roman"/>
          <w:sz w:val="18"/>
          <w:szCs w:val="18"/>
        </w:rPr>
        <w:t xml:space="preserve"> </w:t>
      </w:r>
      <w:r w:rsidR="00C330C1">
        <w:rPr>
          <w:rFonts w:ascii="Verdana" w:hAnsi="Verdana" w:eastAsia="Calibri" w:cs="Times New Roman"/>
          <w:sz w:val="18"/>
          <w:szCs w:val="18"/>
        </w:rPr>
        <w:t>miljard</w:t>
      </w:r>
      <w:r w:rsidR="006016EF">
        <w:rPr>
          <w:rFonts w:ascii="Verdana" w:hAnsi="Verdana" w:eastAsia="Calibri" w:cs="Times New Roman"/>
          <w:sz w:val="18"/>
          <w:szCs w:val="18"/>
        </w:rPr>
        <w:t xml:space="preserve"> euro</w:t>
      </w:r>
      <w:r w:rsidRPr="00BB0631">
        <w:rPr>
          <w:rFonts w:ascii="Verdana" w:hAnsi="Verdana" w:eastAsia="Calibri" w:cs="Times New Roman"/>
          <w:sz w:val="18"/>
          <w:szCs w:val="18"/>
        </w:rPr>
        <w:t xml:space="preserve">, met een verdeling van </w:t>
      </w:r>
      <w:r w:rsidRPr="00581EC0" w:rsidR="00581EC0">
        <w:rPr>
          <w:rFonts w:ascii="Verdana" w:hAnsi="Verdana" w:eastAsia="Calibri" w:cs="Times New Roman"/>
          <w:sz w:val="18"/>
          <w:szCs w:val="18"/>
        </w:rPr>
        <w:t xml:space="preserve">360 </w:t>
      </w:r>
      <w:r w:rsidR="00C330C1">
        <w:rPr>
          <w:rFonts w:ascii="Verdana" w:hAnsi="Verdana" w:eastAsia="Calibri" w:cs="Times New Roman"/>
          <w:sz w:val="18"/>
          <w:szCs w:val="18"/>
        </w:rPr>
        <w:t>miljard</w:t>
      </w:r>
      <w:r w:rsidR="006016EF">
        <w:rPr>
          <w:rFonts w:ascii="Verdana" w:hAnsi="Verdana" w:eastAsia="Calibri" w:cs="Times New Roman"/>
          <w:sz w:val="18"/>
          <w:szCs w:val="18"/>
        </w:rPr>
        <w:t xml:space="preserve"> euro</w:t>
      </w:r>
      <w:r w:rsidRPr="00BB0631">
        <w:rPr>
          <w:rFonts w:ascii="Verdana" w:hAnsi="Verdana" w:eastAsia="Calibri" w:cs="Times New Roman"/>
          <w:sz w:val="18"/>
          <w:szCs w:val="18"/>
        </w:rPr>
        <w:t xml:space="preserve"> leningen en </w:t>
      </w:r>
      <w:r w:rsidRPr="00581EC0" w:rsidR="00581EC0">
        <w:rPr>
          <w:rFonts w:ascii="Verdana" w:hAnsi="Verdana" w:eastAsia="Calibri" w:cs="Times New Roman"/>
          <w:sz w:val="18"/>
          <w:szCs w:val="18"/>
        </w:rPr>
        <w:t xml:space="preserve">312,5 </w:t>
      </w:r>
      <w:r w:rsidR="00C330C1">
        <w:rPr>
          <w:rFonts w:ascii="Verdana" w:hAnsi="Verdana" w:eastAsia="Calibri" w:cs="Times New Roman"/>
          <w:sz w:val="18"/>
          <w:szCs w:val="18"/>
        </w:rPr>
        <w:t>miljard</w:t>
      </w:r>
      <w:r w:rsidR="006016EF">
        <w:rPr>
          <w:rFonts w:ascii="Verdana" w:hAnsi="Verdana" w:eastAsia="Calibri" w:cs="Times New Roman"/>
          <w:sz w:val="18"/>
          <w:szCs w:val="18"/>
        </w:rPr>
        <w:t xml:space="preserve"> euro</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 xml:space="preserve">subsidies. Op aandringen van Nederland is aan </w:t>
      </w:r>
      <w:r w:rsidR="006016EF">
        <w:rPr>
          <w:rFonts w:ascii="Verdana" w:hAnsi="Verdana" w:eastAsia="Calibri" w:cs="Times New Roman"/>
          <w:sz w:val="18"/>
          <w:szCs w:val="18"/>
        </w:rPr>
        <w:t xml:space="preserve">de besluitvorming binnen </w:t>
      </w:r>
      <w:r w:rsidRPr="00BB0631">
        <w:rPr>
          <w:rFonts w:ascii="Verdana" w:hAnsi="Verdana" w:eastAsia="Calibri" w:cs="Times New Roman"/>
          <w:sz w:val="18"/>
          <w:szCs w:val="18"/>
        </w:rPr>
        <w:t>het RRF een nood</w:t>
      </w:r>
      <w:r w:rsidRPr="00581EC0" w:rsidR="00581EC0">
        <w:rPr>
          <w:rFonts w:ascii="Verdana" w:hAnsi="Verdana" w:eastAsia="Calibri" w:cs="Times New Roman"/>
          <w:sz w:val="18"/>
          <w:szCs w:val="18"/>
        </w:rPr>
        <w:t>rem</w:t>
      </w:r>
      <w:r w:rsidRPr="00BB0631">
        <w:rPr>
          <w:rFonts w:ascii="Verdana" w:hAnsi="Verdana" w:eastAsia="Calibri" w:cs="Times New Roman"/>
          <w:sz w:val="18"/>
          <w:szCs w:val="18"/>
        </w:rPr>
        <w:t xml:space="preserve">procedure toegevoegd in geval een lidstaat van oordeel zou zijn dat voor de uitbetaling van middelen uit het RRF onvoldoende voortgang is geboekt ten aanzien van de hervormingsvoorwaarden voor die steun. Hiermee is een extra waarborg ingebouwd die ervoor </w:t>
      </w:r>
      <w:r w:rsidRPr="00581EC0" w:rsidR="00581EC0">
        <w:rPr>
          <w:rFonts w:ascii="Verdana" w:hAnsi="Verdana" w:eastAsia="Calibri" w:cs="Times New Roman"/>
          <w:sz w:val="18"/>
          <w:szCs w:val="18"/>
        </w:rPr>
        <w:t xml:space="preserve">zorgt </w:t>
      </w:r>
      <w:r w:rsidRPr="00BB0631">
        <w:rPr>
          <w:rFonts w:ascii="Verdana" w:hAnsi="Verdana" w:eastAsia="Calibri" w:cs="Times New Roman"/>
          <w:sz w:val="18"/>
          <w:szCs w:val="18"/>
        </w:rPr>
        <w:t xml:space="preserve">dat lidstaten de benodigde structurele hervormingen </w:t>
      </w:r>
      <w:r w:rsidRPr="00581EC0" w:rsidR="00581EC0">
        <w:rPr>
          <w:rFonts w:ascii="Verdana" w:hAnsi="Verdana" w:eastAsia="Calibri" w:cs="Times New Roman"/>
          <w:sz w:val="18"/>
          <w:szCs w:val="18"/>
        </w:rPr>
        <w:t xml:space="preserve">daadwerkelijk </w:t>
      </w:r>
      <w:r w:rsidRPr="00BB0631">
        <w:rPr>
          <w:rFonts w:ascii="Verdana" w:hAnsi="Verdana" w:eastAsia="Calibri" w:cs="Times New Roman"/>
          <w:sz w:val="18"/>
          <w:szCs w:val="18"/>
        </w:rPr>
        <w:t xml:space="preserve">doorvoeren om zo economisch sterker en weerbaarder uit </w:t>
      </w:r>
      <w:r w:rsidR="00C3287B">
        <w:rPr>
          <w:rFonts w:ascii="Verdana" w:hAnsi="Verdana" w:eastAsia="Calibri" w:cs="Times New Roman"/>
          <w:sz w:val="18"/>
          <w:szCs w:val="18"/>
        </w:rPr>
        <w:t>d</w:t>
      </w:r>
      <w:r w:rsidRPr="00BB0631">
        <w:rPr>
          <w:rFonts w:ascii="Verdana" w:hAnsi="Verdana" w:eastAsia="Calibri" w:cs="Times New Roman"/>
          <w:sz w:val="18"/>
          <w:szCs w:val="18"/>
        </w:rPr>
        <w:t>e crisis te komen.</w:t>
      </w:r>
    </w:p>
    <w:p w:rsidRPr="00BB0631" w:rsidR="00BB0631" w:rsidP="00BB0631" w:rsidRDefault="00BB0631" w14:paraId="1817F6D2" w14:textId="22CB1228">
      <w:pPr>
        <w:jc w:val="both"/>
        <w:rPr>
          <w:rFonts w:ascii="Verdana" w:hAnsi="Verdana" w:eastAsia="Calibri" w:cs="Times New Roman"/>
          <w:sz w:val="18"/>
          <w:szCs w:val="18"/>
        </w:rPr>
      </w:pPr>
      <w:r w:rsidRPr="00BB0631">
        <w:rPr>
          <w:rFonts w:ascii="Verdana" w:hAnsi="Verdana" w:eastAsia="Calibri" w:cs="Times New Roman"/>
          <w:sz w:val="18"/>
          <w:szCs w:val="18"/>
        </w:rPr>
        <w:t xml:space="preserve">Tegen de achtergrond van de </w:t>
      </w:r>
      <w:r w:rsidR="003C179F">
        <w:rPr>
          <w:rFonts w:ascii="Verdana" w:hAnsi="Verdana" w:eastAsia="Calibri" w:cs="Times New Roman"/>
          <w:sz w:val="18"/>
          <w:szCs w:val="18"/>
        </w:rPr>
        <w:t>gezondheids- en economische</w:t>
      </w:r>
      <w:r w:rsidRPr="00BB0631">
        <w:rPr>
          <w:rFonts w:ascii="Verdana" w:hAnsi="Verdana" w:eastAsia="Calibri" w:cs="Times New Roman"/>
          <w:sz w:val="18"/>
          <w:szCs w:val="18"/>
        </w:rPr>
        <w:t xml:space="preserve"> crisis waren de onderhandelingen in de Europese Raad intensief en complex. Nederland heeft zich actief ingezet om via Europese samenwerking bij te dragen aan het bespoedigen van een duurzaam herstel en het bevorderen van verdere economische groei. Het kabinet nam daarbij</w:t>
      </w:r>
      <w:r w:rsidRPr="00BB0631" w:rsidDel="004D3D21">
        <w:rPr>
          <w:rFonts w:ascii="Verdana" w:hAnsi="Verdana" w:eastAsia="Calibri" w:cs="Times New Roman"/>
          <w:sz w:val="18"/>
          <w:szCs w:val="18"/>
        </w:rPr>
        <w:t xml:space="preserve"> </w:t>
      </w:r>
      <w:r w:rsidRPr="00BB0631">
        <w:rPr>
          <w:rFonts w:ascii="Verdana" w:hAnsi="Verdana" w:eastAsia="Calibri" w:cs="Times New Roman"/>
          <w:sz w:val="18"/>
          <w:szCs w:val="18"/>
        </w:rPr>
        <w:t>solidariteit tussen lidstaten en de daaraan verbonden eigen verantwoordelijkheid van lidstaten om hun economisch</w:t>
      </w:r>
      <w:r w:rsidR="006016EF">
        <w:rPr>
          <w:rFonts w:ascii="Verdana" w:hAnsi="Verdana" w:eastAsia="Calibri" w:cs="Times New Roman"/>
          <w:sz w:val="18"/>
          <w:szCs w:val="18"/>
        </w:rPr>
        <w:t>e</w:t>
      </w:r>
      <w:r w:rsidRPr="00BB0631">
        <w:rPr>
          <w:rFonts w:ascii="Verdana" w:hAnsi="Verdana" w:eastAsia="Calibri" w:cs="Times New Roman"/>
          <w:sz w:val="18"/>
          <w:szCs w:val="18"/>
        </w:rPr>
        <w:t xml:space="preserve"> </w:t>
      </w:r>
      <w:r w:rsidR="006016EF">
        <w:rPr>
          <w:rFonts w:ascii="Verdana" w:hAnsi="Verdana" w:eastAsia="Calibri" w:cs="Times New Roman"/>
          <w:sz w:val="18"/>
          <w:szCs w:val="18"/>
        </w:rPr>
        <w:t>weerbaarheid en</w:t>
      </w:r>
      <w:r w:rsidRPr="00BB0631">
        <w:rPr>
          <w:rFonts w:ascii="Verdana" w:hAnsi="Verdana" w:eastAsia="Calibri" w:cs="Times New Roman"/>
          <w:sz w:val="18"/>
          <w:szCs w:val="18"/>
        </w:rPr>
        <w:t xml:space="preserve"> groeivermogen te vergroten</w:t>
      </w:r>
      <w:r w:rsidR="004D3D21">
        <w:rPr>
          <w:rFonts w:ascii="Verdana" w:hAnsi="Verdana" w:eastAsia="Calibri" w:cs="Times New Roman"/>
          <w:sz w:val="18"/>
          <w:szCs w:val="18"/>
        </w:rPr>
        <w:t xml:space="preserve"> </w:t>
      </w:r>
      <w:r w:rsidRPr="00BB0631" w:rsidR="004D3D21">
        <w:rPr>
          <w:rFonts w:ascii="Verdana" w:hAnsi="Verdana" w:eastAsia="Calibri" w:cs="Times New Roman"/>
          <w:sz w:val="18"/>
          <w:szCs w:val="18"/>
        </w:rPr>
        <w:t>als centrale uitgangspunten</w:t>
      </w:r>
      <w:r w:rsidRPr="00BB0631">
        <w:rPr>
          <w:rFonts w:ascii="Verdana" w:hAnsi="Verdana" w:eastAsia="Calibri" w:cs="Times New Roman"/>
          <w:sz w:val="18"/>
          <w:szCs w:val="18"/>
        </w:rPr>
        <w:t>. Tijdens het gehele onderhandelingsproces heeft Nederland nauw samen gewerkt met andere lidstaten om tot een gezamenlijke uitkomst te komen die bijdraagt aan een sterker</w:t>
      </w:r>
      <w:r w:rsidR="008733D1">
        <w:rPr>
          <w:rFonts w:ascii="Verdana" w:hAnsi="Verdana" w:eastAsia="Calibri" w:cs="Times New Roman"/>
          <w:sz w:val="18"/>
          <w:szCs w:val="18"/>
        </w:rPr>
        <w:t>e Europese Unie</w:t>
      </w:r>
      <w:r w:rsidRPr="00BB0631">
        <w:rPr>
          <w:rFonts w:ascii="Verdana" w:hAnsi="Verdana" w:eastAsia="Calibri" w:cs="Times New Roman"/>
          <w:sz w:val="18"/>
          <w:szCs w:val="18"/>
        </w:rPr>
        <w:t xml:space="preserve">. </w:t>
      </w:r>
    </w:p>
    <w:p w:rsidRPr="00BB0631" w:rsidR="00BB0631" w:rsidP="00BB0631" w:rsidRDefault="00BB0631" w14:paraId="6A648D82" w14:textId="19823268">
      <w:pPr>
        <w:jc w:val="both"/>
        <w:rPr>
          <w:rFonts w:ascii="Verdana" w:hAnsi="Verdana" w:eastAsia="Calibri" w:cs="Times New Roman"/>
          <w:sz w:val="18"/>
          <w:szCs w:val="18"/>
        </w:rPr>
      </w:pPr>
      <w:r w:rsidRPr="00BB0631">
        <w:rPr>
          <w:rFonts w:ascii="Verdana" w:hAnsi="Verdana" w:eastAsia="Calibri" w:cs="Times New Roman"/>
          <w:sz w:val="18"/>
          <w:szCs w:val="18"/>
        </w:rPr>
        <w:t xml:space="preserve">Het bereikte onderhandelingsresultaat komt op voor Nederland prioritaire elementen </w:t>
      </w:r>
      <w:r w:rsidR="00581EC0">
        <w:rPr>
          <w:rFonts w:ascii="Verdana" w:hAnsi="Verdana" w:eastAsia="Calibri" w:cs="Times New Roman"/>
          <w:sz w:val="18"/>
          <w:szCs w:val="18"/>
        </w:rPr>
        <w:t xml:space="preserve">in grote mate </w:t>
      </w:r>
      <w:r w:rsidRPr="00BB0631">
        <w:rPr>
          <w:rFonts w:ascii="Verdana" w:hAnsi="Verdana" w:eastAsia="Calibri" w:cs="Times New Roman"/>
          <w:sz w:val="18"/>
          <w:szCs w:val="18"/>
        </w:rPr>
        <w:t>overeen met de kabinetsinzet zoals laatstelijk schriftelijk toegelicht in de Kamerbrief van 13 juli jl</w:t>
      </w:r>
      <w:r w:rsidR="000041D0">
        <w:rPr>
          <w:rFonts w:ascii="Verdana" w:hAnsi="Verdana" w:eastAsia="Calibri" w:cs="Times New Roman"/>
          <w:sz w:val="18"/>
          <w:szCs w:val="18"/>
        </w:rPr>
        <w:t>.</w:t>
      </w:r>
      <w:r w:rsidRPr="00BB0631">
        <w:rPr>
          <w:rFonts w:ascii="Verdana" w:hAnsi="Verdana" w:eastAsia="Calibri" w:cs="Times New Roman"/>
          <w:sz w:val="18"/>
          <w:szCs w:val="18"/>
        </w:rPr>
        <w:t xml:space="preserve"> </w:t>
      </w:r>
      <w:r w:rsidRPr="00BB0631">
        <w:rPr>
          <w:rFonts w:ascii="Verdana" w:hAnsi="Verdana" w:eastAsia="Calibri" w:cs="Times New Roman"/>
          <w:sz w:val="18"/>
          <w:szCs w:val="18"/>
        </w:rPr>
        <w:lastRenderedPageBreak/>
        <w:t>(</w:t>
      </w:r>
      <w:r w:rsidRPr="00884684" w:rsidR="00884684">
        <w:rPr>
          <w:rFonts w:ascii="Verdana" w:hAnsi="Verdana" w:eastAsia="Calibri" w:cs="Times New Roman"/>
          <w:sz w:val="18"/>
          <w:szCs w:val="18"/>
        </w:rPr>
        <w:t>2020Z13905</w:t>
      </w:r>
      <w:r w:rsidRPr="00BB0631">
        <w:rPr>
          <w:rFonts w:ascii="Verdana" w:hAnsi="Verdana" w:eastAsia="Calibri" w:cs="Times New Roman"/>
          <w:sz w:val="18"/>
          <w:szCs w:val="18"/>
        </w:rPr>
        <w:t>)</w:t>
      </w:r>
      <w:r w:rsidR="00636763">
        <w:rPr>
          <w:rFonts w:ascii="Verdana" w:hAnsi="Verdana" w:eastAsia="Calibri" w:cs="Times New Roman"/>
          <w:sz w:val="18"/>
          <w:szCs w:val="18"/>
        </w:rPr>
        <w:t xml:space="preserve"> en besproken in het plenaire debat in de Tweede Kamer op 14 juli jl.</w:t>
      </w:r>
      <w:r w:rsidRPr="00BB0631">
        <w:rPr>
          <w:rFonts w:ascii="Verdana" w:hAnsi="Verdana" w:eastAsia="Calibri" w:cs="Times New Roman"/>
          <w:sz w:val="18"/>
          <w:szCs w:val="18"/>
        </w:rPr>
        <w:t xml:space="preserve"> In het vervolg van deze brief wordt nader ingegaan op de hoofdelementen van het MFK en het herstelinstrument. </w:t>
      </w:r>
    </w:p>
    <w:p w:rsidRPr="00BB0631" w:rsidR="00BB0631" w:rsidP="00BB0631" w:rsidRDefault="00BB0631" w14:paraId="2E95AF69" w14:textId="77777777">
      <w:pPr>
        <w:jc w:val="both"/>
        <w:rPr>
          <w:rFonts w:ascii="Verdana" w:hAnsi="Verdana" w:eastAsia="Calibri" w:cs="Times New Roman"/>
          <w:sz w:val="18"/>
          <w:szCs w:val="18"/>
          <w:u w:val="single"/>
        </w:rPr>
      </w:pPr>
      <w:r w:rsidRPr="00BB0631">
        <w:rPr>
          <w:rFonts w:ascii="Verdana" w:hAnsi="Verdana" w:eastAsia="Calibri" w:cs="Times New Roman"/>
          <w:sz w:val="18"/>
          <w:szCs w:val="18"/>
          <w:u w:val="single"/>
        </w:rPr>
        <w:t>Meerjarig Financieel Kader 2021-27</w:t>
      </w:r>
    </w:p>
    <w:p w:rsidR="00956BE3" w:rsidP="00BB0631" w:rsidRDefault="00BB0631" w14:paraId="05E41701" w14:textId="23AB1C4E">
      <w:pPr>
        <w:jc w:val="both"/>
        <w:rPr>
          <w:rFonts w:ascii="Verdana" w:hAnsi="Verdana" w:eastAsia="Calibri" w:cs="Times New Roman"/>
          <w:sz w:val="18"/>
          <w:szCs w:val="18"/>
        </w:rPr>
      </w:pPr>
      <w:r w:rsidRPr="00BB0631">
        <w:rPr>
          <w:rFonts w:ascii="Verdana" w:hAnsi="Verdana" w:eastAsia="Calibri" w:cs="Times New Roman"/>
          <w:sz w:val="18"/>
          <w:szCs w:val="18"/>
        </w:rPr>
        <w:t xml:space="preserve">In het akkoord bedraagt het vastleggingenplafond voor het MFK </w:t>
      </w:r>
      <w:r w:rsidR="00581EC0">
        <w:rPr>
          <w:rFonts w:ascii="Verdana" w:hAnsi="Verdana" w:eastAsia="Calibri" w:cs="Times New Roman"/>
          <w:sz w:val="18"/>
          <w:szCs w:val="18"/>
        </w:rPr>
        <w:t>1.074</w:t>
      </w:r>
      <w:r w:rsidRPr="00BB0631">
        <w:rPr>
          <w:rFonts w:ascii="Verdana" w:hAnsi="Verdana" w:eastAsia="Calibri" w:cs="Times New Roman"/>
          <w:sz w:val="18"/>
          <w:szCs w:val="18"/>
        </w:rPr>
        <w:t xml:space="preserve"> miljard euro. Het betalingenplafond, dat relevant is voor de berekening van de Nederlandse afdrachten, bedraagt </w:t>
      </w:r>
      <w:r w:rsidR="00581EC0">
        <w:rPr>
          <w:rFonts w:ascii="Verdana" w:hAnsi="Verdana" w:eastAsia="Calibri" w:cs="Times New Roman"/>
          <w:sz w:val="18"/>
          <w:szCs w:val="18"/>
        </w:rPr>
        <w:t xml:space="preserve">1.061 </w:t>
      </w:r>
      <w:r w:rsidRPr="00BB0631">
        <w:rPr>
          <w:rFonts w:ascii="Verdana" w:hAnsi="Verdana" w:eastAsia="Calibri" w:cs="Times New Roman"/>
          <w:sz w:val="18"/>
          <w:szCs w:val="18"/>
        </w:rPr>
        <w:t xml:space="preserve">miljard euro. Ten opzichte van het huidige MFK (gecorrigeerd voor het vertrek van het VK en het opnemen van het Europees Ontwikkelingsfonds) daalt de omvang van het vastleggingenplafond met ongeveer 2%. </w:t>
      </w:r>
      <w:r w:rsidRPr="004D19F0" w:rsidR="004D19F0">
        <w:rPr>
          <w:rFonts w:ascii="Verdana" w:hAnsi="Verdana" w:eastAsia="Calibri" w:cs="Times New Roman"/>
          <w:sz w:val="18"/>
          <w:szCs w:val="18"/>
        </w:rPr>
        <w:t xml:space="preserve">Deze omvang past bij een kleinere Unie na het vertrek van het Verenigd Koninkrijk. </w:t>
      </w:r>
      <w:r w:rsidRPr="00BB0631">
        <w:rPr>
          <w:rFonts w:ascii="Verdana" w:hAnsi="Verdana" w:eastAsia="Calibri" w:cs="Times New Roman"/>
          <w:sz w:val="18"/>
          <w:szCs w:val="18"/>
        </w:rPr>
        <w:t>Onderstaande tabel vergelijkt het huidige MFK 2014-2020 met het Commissievoorstel van mei 2020</w:t>
      </w:r>
      <w:r w:rsidR="00DB4111">
        <w:rPr>
          <w:rFonts w:ascii="Verdana" w:hAnsi="Verdana" w:eastAsia="Calibri" w:cs="Times New Roman"/>
          <w:sz w:val="18"/>
          <w:szCs w:val="18"/>
        </w:rPr>
        <w:t xml:space="preserve"> </w:t>
      </w:r>
      <w:r w:rsidRPr="00BB0631">
        <w:rPr>
          <w:rFonts w:ascii="Verdana" w:hAnsi="Verdana" w:eastAsia="Calibri" w:cs="Times New Roman"/>
          <w:sz w:val="18"/>
          <w:szCs w:val="18"/>
        </w:rPr>
        <w:t>en het MFK-akkoord op totaalomvang, begrotingscategorieën en enkele programma’s.</w:t>
      </w:r>
    </w:p>
    <w:tbl>
      <w:tblPr>
        <w:tblW w:w="8137" w:type="dxa"/>
        <w:jc w:val="center"/>
        <w:tblCellMar>
          <w:left w:w="70" w:type="dxa"/>
          <w:right w:w="70" w:type="dxa"/>
        </w:tblCellMar>
        <w:tblLook w:val="04A0" w:firstRow="1" w:lastRow="0" w:firstColumn="1" w:lastColumn="0" w:noHBand="0" w:noVBand="1"/>
      </w:tblPr>
      <w:tblGrid>
        <w:gridCol w:w="3823"/>
        <w:gridCol w:w="1208"/>
        <w:gridCol w:w="1056"/>
        <w:gridCol w:w="924"/>
        <w:gridCol w:w="1126"/>
      </w:tblGrid>
      <w:tr w:rsidRPr="00EE637B" w:rsidR="004D19F0" w:rsidTr="00035671" w14:paraId="6BA600F3" w14:textId="77777777">
        <w:trPr>
          <w:trHeight w:val="300"/>
          <w:jc w:val="center"/>
        </w:trPr>
        <w:tc>
          <w:tcPr>
            <w:tcW w:w="8137" w:type="dxa"/>
            <w:gridSpan w:val="5"/>
            <w:tcBorders>
              <w:top w:val="single" w:color="auto" w:sz="4" w:space="0"/>
              <w:left w:val="single" w:color="auto" w:sz="4" w:space="0"/>
              <w:bottom w:val="nil"/>
              <w:right w:val="nil"/>
            </w:tcBorders>
            <w:shd w:val="clear" w:color="000000" w:fill="002060"/>
            <w:noWrap/>
            <w:vAlign w:val="bottom"/>
            <w:hideMark/>
          </w:tcPr>
          <w:p w:rsidRPr="00EE637B" w:rsidR="004D19F0" w:rsidP="00F84391" w:rsidRDefault="004D19F0" w14:paraId="49F5896D" w14:textId="77777777">
            <w:pPr>
              <w:spacing w:after="0" w:line="240" w:lineRule="auto"/>
              <w:rPr>
                <w:rFonts w:ascii="Calibri" w:hAnsi="Calibri" w:eastAsia="Times New Roman" w:cs="Calibri"/>
                <w:b/>
                <w:bCs/>
                <w:color w:val="FFFFFF"/>
                <w:lang w:eastAsia="nl-NL"/>
              </w:rPr>
            </w:pPr>
            <w:r w:rsidRPr="00EE637B">
              <w:rPr>
                <w:rFonts w:ascii="Calibri" w:hAnsi="Calibri" w:eastAsia="Times New Roman" w:cs="Calibri"/>
                <w:b/>
                <w:bCs/>
                <w:color w:val="FFFFFF"/>
                <w:lang w:eastAsia="nl-NL"/>
              </w:rPr>
              <w:t>Vergelijking MFK (in miljarden euro; prijzen 2018)</w:t>
            </w:r>
            <w:r>
              <w:rPr>
                <w:rFonts w:ascii="Calibri" w:hAnsi="Calibri" w:eastAsia="Times New Roman" w:cs="Calibri"/>
                <w:b/>
                <w:bCs/>
                <w:color w:val="FFFFFF"/>
                <w:lang w:eastAsia="nl-NL"/>
              </w:rPr>
              <w:t>*</w:t>
            </w:r>
          </w:p>
        </w:tc>
      </w:tr>
      <w:tr w:rsidRPr="00EE637B" w:rsidR="004D19F0" w:rsidTr="00035671" w14:paraId="14FFF838" w14:textId="77777777">
        <w:trPr>
          <w:trHeight w:val="1230"/>
          <w:jc w:val="center"/>
        </w:trPr>
        <w:tc>
          <w:tcPr>
            <w:tcW w:w="3823" w:type="dxa"/>
            <w:tcBorders>
              <w:top w:val="nil"/>
              <w:left w:val="single" w:color="auto" w:sz="4" w:space="0"/>
              <w:bottom w:val="single" w:color="auto" w:sz="4" w:space="0"/>
              <w:right w:val="nil"/>
            </w:tcBorders>
            <w:shd w:val="clear" w:color="auto" w:fill="auto"/>
            <w:noWrap/>
            <w:vAlign w:val="bottom"/>
            <w:hideMark/>
          </w:tcPr>
          <w:p w:rsidRPr="00EE637B" w:rsidR="004D19F0" w:rsidP="00F84391" w:rsidRDefault="004D19F0" w14:paraId="5A7F48C3"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 </w:t>
            </w:r>
          </w:p>
        </w:tc>
        <w:tc>
          <w:tcPr>
            <w:tcW w:w="1208" w:type="dxa"/>
            <w:tcBorders>
              <w:top w:val="nil"/>
              <w:left w:val="nil"/>
              <w:bottom w:val="single" w:color="auto" w:sz="4" w:space="0"/>
              <w:right w:val="nil"/>
            </w:tcBorders>
            <w:shd w:val="clear" w:color="auto" w:fill="auto"/>
            <w:vAlign w:val="bottom"/>
            <w:hideMark/>
          </w:tcPr>
          <w:p w:rsidRPr="00EE637B" w:rsidR="004D19F0" w:rsidP="00F84391" w:rsidRDefault="004D19F0" w14:paraId="60173CA0" w14:textId="77777777">
            <w:pPr>
              <w:spacing w:after="0" w:line="240" w:lineRule="auto"/>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MFK 2014-2020 (EU27+EDF)</w:t>
            </w:r>
          </w:p>
        </w:tc>
        <w:tc>
          <w:tcPr>
            <w:tcW w:w="1056" w:type="dxa"/>
            <w:tcBorders>
              <w:top w:val="nil"/>
              <w:left w:val="nil"/>
              <w:bottom w:val="single" w:color="auto" w:sz="4" w:space="0"/>
              <w:right w:val="nil"/>
            </w:tcBorders>
            <w:shd w:val="clear" w:color="auto" w:fill="auto"/>
            <w:vAlign w:val="bottom"/>
            <w:hideMark/>
          </w:tcPr>
          <w:p w:rsidRPr="00EE637B" w:rsidR="004D19F0" w:rsidP="00F84391" w:rsidRDefault="004D19F0" w14:paraId="767DB384" w14:textId="77777777">
            <w:pPr>
              <w:spacing w:after="0" w:line="240" w:lineRule="auto"/>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Voorstel mei 2020</w:t>
            </w:r>
          </w:p>
        </w:tc>
        <w:tc>
          <w:tcPr>
            <w:tcW w:w="924" w:type="dxa"/>
            <w:tcBorders>
              <w:top w:val="nil"/>
              <w:left w:val="nil"/>
              <w:bottom w:val="single" w:color="auto" w:sz="4" w:space="0"/>
              <w:right w:val="nil"/>
            </w:tcBorders>
            <w:shd w:val="clear" w:color="auto" w:fill="auto"/>
            <w:vAlign w:val="bottom"/>
            <w:hideMark/>
          </w:tcPr>
          <w:p w:rsidRPr="00EE637B" w:rsidR="004D19F0" w:rsidP="00F84391" w:rsidRDefault="004D19F0" w14:paraId="4F5CD6A6" w14:textId="77777777">
            <w:pPr>
              <w:spacing w:after="0" w:line="240" w:lineRule="auto"/>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MFK-akkoord 19 juli</w:t>
            </w:r>
          </w:p>
        </w:tc>
        <w:tc>
          <w:tcPr>
            <w:tcW w:w="1126" w:type="dxa"/>
            <w:tcBorders>
              <w:top w:val="nil"/>
              <w:left w:val="nil"/>
              <w:bottom w:val="single" w:color="auto" w:sz="4" w:space="0"/>
              <w:right w:val="single" w:color="auto" w:sz="4" w:space="0"/>
            </w:tcBorders>
            <w:shd w:val="clear" w:color="auto" w:fill="auto"/>
            <w:vAlign w:val="bottom"/>
            <w:hideMark/>
          </w:tcPr>
          <w:p w:rsidRPr="00EE637B" w:rsidR="004D19F0" w:rsidP="00F84391" w:rsidRDefault="004D19F0" w14:paraId="37A37659" w14:textId="77777777">
            <w:pPr>
              <w:spacing w:after="0" w:line="240" w:lineRule="auto"/>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Verschil MFK 2014-2020 en 2021-2027</w:t>
            </w:r>
          </w:p>
        </w:tc>
      </w:tr>
      <w:tr w:rsidRPr="00EE637B" w:rsidR="004D19F0" w:rsidTr="00035671" w14:paraId="52743D49"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3AE2458D"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1. Interne  markt, innovatie en digitaal</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1592F776"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122</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422C170D"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141</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307D1581"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131</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49AED027"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10</w:t>
            </w:r>
          </w:p>
        </w:tc>
      </w:tr>
      <w:tr w:rsidRPr="00EE637B" w:rsidR="004D19F0" w:rsidTr="00035671" w14:paraId="47BDD0B6"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5060008C" w14:textId="77777777">
            <w:pPr>
              <w:spacing w:after="0" w:line="240" w:lineRule="auto"/>
              <w:ind w:firstLine="220" w:firstLineChars="100"/>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wv. Horizon</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0E01CB56"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66</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75E258DD"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81</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07780016"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76</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21A811C1"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10</w:t>
            </w:r>
          </w:p>
        </w:tc>
      </w:tr>
      <w:tr w:rsidRPr="00EE637B" w:rsidR="004D19F0" w:rsidTr="00035671" w14:paraId="7384BB3A"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57FCA76A"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2. Cohesie, veerkracht en waarden</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12AF6A6C"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393</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6E926DB3"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377</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02875C46"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380</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1DEBA0CE"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-13</w:t>
            </w:r>
          </w:p>
        </w:tc>
      </w:tr>
      <w:tr w:rsidRPr="00EE637B" w:rsidR="004D19F0" w:rsidTr="00035671" w14:paraId="318100B8"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4D19F0" w:rsidR="004D19F0" w:rsidP="00F84391" w:rsidRDefault="004D19F0" w14:paraId="460FA059" w14:textId="77777777">
            <w:pPr>
              <w:spacing w:after="0" w:line="240" w:lineRule="auto"/>
              <w:ind w:firstLine="220" w:firstLineChars="100"/>
              <w:rPr>
                <w:rFonts w:ascii="Calibri" w:hAnsi="Calibri" w:eastAsia="Times New Roman" w:cs="Calibri"/>
                <w:i/>
                <w:iCs/>
                <w:color w:val="000000"/>
                <w:lang w:val="es-ES" w:eastAsia="nl-NL"/>
              </w:rPr>
            </w:pPr>
            <w:r w:rsidRPr="004D19F0">
              <w:rPr>
                <w:rFonts w:ascii="Calibri" w:hAnsi="Calibri" w:eastAsia="Times New Roman" w:cs="Calibri"/>
                <w:i/>
                <w:iCs/>
                <w:color w:val="000000"/>
                <w:lang w:val="es-ES" w:eastAsia="nl-NL"/>
              </w:rPr>
              <w:t>wv. Cohesie (EFRO, ESF, CF)</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60874EF8"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373</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41ED7BBA"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323</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4EB05D2B"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328</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5EF32937"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-45</w:t>
            </w:r>
          </w:p>
        </w:tc>
      </w:tr>
      <w:tr w:rsidRPr="00EE637B" w:rsidR="004D19F0" w:rsidTr="00035671" w14:paraId="002A40BC"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3D054F3D"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3. Landbouw en milieu</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0FBD9A13"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400</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77CC863E"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357</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7C46F354"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356</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48F1D2A1"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-44</w:t>
            </w:r>
          </w:p>
        </w:tc>
      </w:tr>
      <w:tr w:rsidRPr="00EE637B" w:rsidR="004D19F0" w:rsidTr="00035671" w14:paraId="5FC0642B"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70022264" w14:textId="77777777">
            <w:pPr>
              <w:spacing w:after="0" w:line="240" w:lineRule="auto"/>
              <w:ind w:firstLine="220" w:firstLineChars="100"/>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wv. GLB</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1CEE5C14"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388</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7F4F35F7"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333</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1CD6489B" w14:textId="77777777">
            <w:pPr>
              <w:spacing w:after="0" w:line="240" w:lineRule="auto"/>
              <w:jc w:val="right"/>
              <w:rPr>
                <w:rFonts w:ascii="Calibri" w:hAnsi="Calibri" w:eastAsia="Times New Roman" w:cs="Calibri"/>
                <w:i/>
                <w:iCs/>
                <w:color w:val="000000"/>
                <w:lang w:eastAsia="nl-NL"/>
              </w:rPr>
            </w:pPr>
            <w:r w:rsidRPr="00EE637B">
              <w:rPr>
                <w:rFonts w:ascii="Calibri" w:hAnsi="Calibri" w:eastAsia="Times New Roman" w:cs="Calibri"/>
                <w:i/>
                <w:iCs/>
                <w:color w:val="000000"/>
                <w:lang w:eastAsia="nl-NL"/>
              </w:rPr>
              <w:t>336</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63AC3028"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-53</w:t>
            </w:r>
          </w:p>
        </w:tc>
      </w:tr>
      <w:tr w:rsidRPr="00EE637B" w:rsidR="004D19F0" w:rsidTr="00035671" w14:paraId="6CD4C2D3"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72CFA633"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4. Migratie en grensmanagement</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2327F7E7"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9</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4F5E18AE"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31</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67E5BB27"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23</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7349AF3E"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14</w:t>
            </w:r>
          </w:p>
        </w:tc>
      </w:tr>
      <w:tr w:rsidRPr="00EE637B" w:rsidR="004D19F0" w:rsidTr="00035671" w14:paraId="16ED2F55"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394308AC"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5. Veiligheid en Defensie</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5BB0773D"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3</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1BDB4750"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17</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464B8DF8"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13</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5B924EFD"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10</w:t>
            </w:r>
          </w:p>
        </w:tc>
      </w:tr>
      <w:tr w:rsidRPr="00EE637B" w:rsidR="004D19F0" w:rsidTr="00035671" w14:paraId="66019859" w14:textId="77777777">
        <w:trPr>
          <w:trHeight w:val="300"/>
          <w:jc w:val="center"/>
        </w:trPr>
        <w:tc>
          <w:tcPr>
            <w:tcW w:w="3823" w:type="dxa"/>
            <w:tcBorders>
              <w:top w:val="nil"/>
              <w:left w:val="single" w:color="auto" w:sz="4" w:space="0"/>
              <w:bottom w:val="nil"/>
              <w:right w:val="nil"/>
            </w:tcBorders>
            <w:shd w:val="clear" w:color="auto" w:fill="auto"/>
            <w:noWrap/>
            <w:vAlign w:val="bottom"/>
            <w:hideMark/>
          </w:tcPr>
          <w:p w:rsidRPr="00EE637B" w:rsidR="004D19F0" w:rsidP="00F84391" w:rsidRDefault="004D19F0" w14:paraId="243D872E"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6. Extern beleid</w:t>
            </w:r>
          </w:p>
        </w:tc>
        <w:tc>
          <w:tcPr>
            <w:tcW w:w="1208" w:type="dxa"/>
            <w:tcBorders>
              <w:top w:val="nil"/>
              <w:left w:val="nil"/>
              <w:bottom w:val="nil"/>
              <w:right w:val="nil"/>
            </w:tcBorders>
            <w:shd w:val="clear" w:color="auto" w:fill="auto"/>
            <w:noWrap/>
            <w:vAlign w:val="bottom"/>
            <w:hideMark/>
          </w:tcPr>
          <w:p w:rsidRPr="00EE637B" w:rsidR="004D19F0" w:rsidP="00F84391" w:rsidRDefault="004D19F0" w14:paraId="6777A522"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97</w:t>
            </w:r>
          </w:p>
        </w:tc>
        <w:tc>
          <w:tcPr>
            <w:tcW w:w="1056" w:type="dxa"/>
            <w:tcBorders>
              <w:top w:val="nil"/>
              <w:left w:val="nil"/>
              <w:bottom w:val="nil"/>
              <w:right w:val="nil"/>
            </w:tcBorders>
            <w:shd w:val="clear" w:color="auto" w:fill="auto"/>
            <w:noWrap/>
            <w:vAlign w:val="bottom"/>
            <w:hideMark/>
          </w:tcPr>
          <w:p w:rsidRPr="00EE637B" w:rsidR="004D19F0" w:rsidP="00F84391" w:rsidRDefault="004D19F0" w14:paraId="7406F6BE"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103</w:t>
            </w:r>
          </w:p>
        </w:tc>
        <w:tc>
          <w:tcPr>
            <w:tcW w:w="924" w:type="dxa"/>
            <w:tcBorders>
              <w:top w:val="nil"/>
              <w:left w:val="nil"/>
              <w:bottom w:val="nil"/>
              <w:right w:val="nil"/>
            </w:tcBorders>
            <w:shd w:val="clear" w:color="auto" w:fill="auto"/>
            <w:noWrap/>
            <w:vAlign w:val="bottom"/>
            <w:hideMark/>
          </w:tcPr>
          <w:p w:rsidRPr="00EE637B" w:rsidR="004D19F0" w:rsidP="00F84391" w:rsidRDefault="004D19F0" w14:paraId="4A34DEB8"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98</w:t>
            </w:r>
          </w:p>
        </w:tc>
        <w:tc>
          <w:tcPr>
            <w:tcW w:w="1126" w:type="dxa"/>
            <w:tcBorders>
              <w:top w:val="nil"/>
              <w:left w:val="nil"/>
              <w:bottom w:val="nil"/>
              <w:right w:val="single" w:color="auto" w:sz="4" w:space="0"/>
            </w:tcBorders>
            <w:shd w:val="clear" w:color="auto" w:fill="auto"/>
            <w:noWrap/>
            <w:vAlign w:val="bottom"/>
            <w:hideMark/>
          </w:tcPr>
          <w:p w:rsidRPr="00EE637B" w:rsidR="004D19F0" w:rsidP="00F84391" w:rsidRDefault="004D19F0" w14:paraId="695110E2"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1</w:t>
            </w:r>
          </w:p>
        </w:tc>
      </w:tr>
      <w:tr w:rsidRPr="00EE637B" w:rsidR="004D19F0" w:rsidTr="00035671" w14:paraId="5762809B" w14:textId="77777777">
        <w:trPr>
          <w:trHeight w:val="300"/>
          <w:jc w:val="center"/>
        </w:trPr>
        <w:tc>
          <w:tcPr>
            <w:tcW w:w="3823" w:type="dxa"/>
            <w:tcBorders>
              <w:top w:val="nil"/>
              <w:left w:val="single" w:color="auto" w:sz="4" w:space="0"/>
              <w:bottom w:val="single" w:color="auto" w:sz="4" w:space="0"/>
              <w:right w:val="nil"/>
            </w:tcBorders>
            <w:shd w:val="clear" w:color="auto" w:fill="auto"/>
            <w:noWrap/>
            <w:vAlign w:val="bottom"/>
            <w:hideMark/>
          </w:tcPr>
          <w:p w:rsidRPr="00EE637B" w:rsidR="004D19F0" w:rsidP="00F84391" w:rsidRDefault="004D19F0" w14:paraId="663E7DE6" w14:textId="77777777">
            <w:pPr>
              <w:spacing w:after="0" w:line="240" w:lineRule="auto"/>
              <w:rPr>
                <w:rFonts w:ascii="Calibri" w:hAnsi="Calibri" w:eastAsia="Times New Roman" w:cs="Calibri"/>
                <w:color w:val="000000"/>
                <w:lang w:eastAsia="nl-NL"/>
              </w:rPr>
            </w:pPr>
            <w:r w:rsidRPr="00EE637B">
              <w:rPr>
                <w:rFonts w:ascii="Calibri" w:hAnsi="Calibri" w:eastAsia="Times New Roman" w:cs="Calibri"/>
                <w:color w:val="000000"/>
                <w:lang w:eastAsia="nl-NL"/>
              </w:rPr>
              <w:t>7. Administratie</w:t>
            </w:r>
          </w:p>
        </w:tc>
        <w:tc>
          <w:tcPr>
            <w:tcW w:w="1208" w:type="dxa"/>
            <w:tcBorders>
              <w:top w:val="nil"/>
              <w:left w:val="nil"/>
              <w:bottom w:val="single" w:color="auto" w:sz="4" w:space="0"/>
              <w:right w:val="nil"/>
            </w:tcBorders>
            <w:shd w:val="clear" w:color="auto" w:fill="auto"/>
            <w:noWrap/>
            <w:vAlign w:val="bottom"/>
            <w:hideMark/>
          </w:tcPr>
          <w:p w:rsidRPr="00EE637B" w:rsidR="004D19F0" w:rsidP="00F84391" w:rsidRDefault="004D19F0" w14:paraId="0670CC28"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71</w:t>
            </w:r>
          </w:p>
        </w:tc>
        <w:tc>
          <w:tcPr>
            <w:tcW w:w="1056" w:type="dxa"/>
            <w:tcBorders>
              <w:top w:val="nil"/>
              <w:left w:val="nil"/>
              <w:bottom w:val="single" w:color="auto" w:sz="4" w:space="0"/>
              <w:right w:val="nil"/>
            </w:tcBorders>
            <w:shd w:val="clear" w:color="auto" w:fill="auto"/>
            <w:noWrap/>
            <w:vAlign w:val="bottom"/>
            <w:hideMark/>
          </w:tcPr>
          <w:p w:rsidRPr="00EE637B" w:rsidR="004D19F0" w:rsidP="00F84391" w:rsidRDefault="004D19F0" w14:paraId="3054C7B7"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75</w:t>
            </w:r>
          </w:p>
        </w:tc>
        <w:tc>
          <w:tcPr>
            <w:tcW w:w="924" w:type="dxa"/>
            <w:tcBorders>
              <w:top w:val="nil"/>
              <w:left w:val="nil"/>
              <w:bottom w:val="single" w:color="auto" w:sz="4" w:space="0"/>
              <w:right w:val="nil"/>
            </w:tcBorders>
            <w:shd w:val="clear" w:color="auto" w:fill="auto"/>
            <w:noWrap/>
            <w:vAlign w:val="bottom"/>
            <w:hideMark/>
          </w:tcPr>
          <w:p w:rsidRPr="00EE637B" w:rsidR="004D19F0" w:rsidP="00F84391" w:rsidRDefault="004D19F0" w14:paraId="3F7E7F43"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73</w:t>
            </w:r>
          </w:p>
        </w:tc>
        <w:tc>
          <w:tcPr>
            <w:tcW w:w="1126" w:type="dxa"/>
            <w:tcBorders>
              <w:top w:val="nil"/>
              <w:left w:val="nil"/>
              <w:bottom w:val="single" w:color="auto" w:sz="4" w:space="0"/>
              <w:right w:val="single" w:color="auto" w:sz="4" w:space="0"/>
            </w:tcBorders>
            <w:shd w:val="clear" w:color="auto" w:fill="auto"/>
            <w:noWrap/>
            <w:vAlign w:val="bottom"/>
            <w:hideMark/>
          </w:tcPr>
          <w:p w:rsidRPr="00EE637B" w:rsidR="004D19F0" w:rsidP="00F84391" w:rsidRDefault="004D19F0" w14:paraId="72E507A0" w14:textId="77777777">
            <w:pPr>
              <w:spacing w:after="0" w:line="240" w:lineRule="auto"/>
              <w:jc w:val="right"/>
              <w:rPr>
                <w:rFonts w:ascii="Calibri" w:hAnsi="Calibri" w:eastAsia="Times New Roman" w:cs="Calibri"/>
                <w:color w:val="000000"/>
                <w:lang w:eastAsia="nl-NL"/>
              </w:rPr>
            </w:pPr>
            <w:r w:rsidRPr="00EE637B">
              <w:rPr>
                <w:rFonts w:ascii="Calibri" w:hAnsi="Calibri" w:eastAsia="Times New Roman" w:cs="Calibri"/>
                <w:color w:val="000000"/>
                <w:lang w:eastAsia="nl-NL"/>
              </w:rPr>
              <w:t>2</w:t>
            </w:r>
          </w:p>
        </w:tc>
      </w:tr>
      <w:tr w:rsidRPr="00EE637B" w:rsidR="004D19F0" w:rsidTr="00035671" w14:paraId="31E7A420" w14:textId="77777777">
        <w:trPr>
          <w:trHeight w:val="300"/>
          <w:jc w:val="center"/>
        </w:trPr>
        <w:tc>
          <w:tcPr>
            <w:tcW w:w="3823" w:type="dxa"/>
            <w:tcBorders>
              <w:top w:val="nil"/>
              <w:left w:val="single" w:color="auto" w:sz="4" w:space="0"/>
              <w:bottom w:val="single" w:color="auto" w:sz="4" w:space="0"/>
              <w:right w:val="nil"/>
            </w:tcBorders>
            <w:shd w:val="clear" w:color="auto" w:fill="auto"/>
            <w:noWrap/>
            <w:vAlign w:val="bottom"/>
            <w:hideMark/>
          </w:tcPr>
          <w:p w:rsidRPr="00EE637B" w:rsidR="004D19F0" w:rsidP="00F84391" w:rsidRDefault="004D19F0" w14:paraId="78ECA155" w14:textId="77777777">
            <w:pPr>
              <w:spacing w:after="0" w:line="240" w:lineRule="auto"/>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Totaal</w:t>
            </w:r>
          </w:p>
        </w:tc>
        <w:tc>
          <w:tcPr>
            <w:tcW w:w="1208" w:type="dxa"/>
            <w:tcBorders>
              <w:top w:val="nil"/>
              <w:left w:val="nil"/>
              <w:bottom w:val="single" w:color="auto" w:sz="4" w:space="0"/>
              <w:right w:val="nil"/>
            </w:tcBorders>
            <w:shd w:val="clear" w:color="auto" w:fill="auto"/>
            <w:noWrap/>
            <w:vAlign w:val="bottom"/>
            <w:hideMark/>
          </w:tcPr>
          <w:p w:rsidRPr="00EE637B" w:rsidR="004D19F0" w:rsidP="00F84391" w:rsidRDefault="004D19F0" w14:paraId="28F630B8" w14:textId="77777777">
            <w:pPr>
              <w:spacing w:after="0" w:line="240" w:lineRule="auto"/>
              <w:jc w:val="right"/>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1094</w:t>
            </w:r>
          </w:p>
        </w:tc>
        <w:tc>
          <w:tcPr>
            <w:tcW w:w="1056" w:type="dxa"/>
            <w:tcBorders>
              <w:top w:val="nil"/>
              <w:left w:val="nil"/>
              <w:bottom w:val="single" w:color="auto" w:sz="4" w:space="0"/>
              <w:right w:val="nil"/>
            </w:tcBorders>
            <w:shd w:val="clear" w:color="auto" w:fill="auto"/>
            <w:noWrap/>
            <w:vAlign w:val="bottom"/>
            <w:hideMark/>
          </w:tcPr>
          <w:p w:rsidRPr="00EE637B" w:rsidR="004D19F0" w:rsidP="00F84391" w:rsidRDefault="004D19F0" w14:paraId="07B7B99F" w14:textId="77777777">
            <w:pPr>
              <w:spacing w:after="0" w:line="240" w:lineRule="auto"/>
              <w:jc w:val="right"/>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1100</w:t>
            </w:r>
          </w:p>
        </w:tc>
        <w:tc>
          <w:tcPr>
            <w:tcW w:w="924" w:type="dxa"/>
            <w:tcBorders>
              <w:top w:val="nil"/>
              <w:left w:val="nil"/>
              <w:bottom w:val="single" w:color="auto" w:sz="4" w:space="0"/>
              <w:right w:val="nil"/>
            </w:tcBorders>
            <w:shd w:val="clear" w:color="auto" w:fill="auto"/>
            <w:noWrap/>
            <w:vAlign w:val="bottom"/>
            <w:hideMark/>
          </w:tcPr>
          <w:p w:rsidRPr="00EE637B" w:rsidR="004D19F0" w:rsidP="00F84391" w:rsidRDefault="004D19F0" w14:paraId="2E58B3C6" w14:textId="77777777">
            <w:pPr>
              <w:spacing w:after="0" w:line="240" w:lineRule="auto"/>
              <w:jc w:val="right"/>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1074</w:t>
            </w:r>
          </w:p>
        </w:tc>
        <w:tc>
          <w:tcPr>
            <w:tcW w:w="1126" w:type="dxa"/>
            <w:tcBorders>
              <w:top w:val="nil"/>
              <w:left w:val="nil"/>
              <w:bottom w:val="single" w:color="auto" w:sz="4" w:space="0"/>
              <w:right w:val="single" w:color="auto" w:sz="4" w:space="0"/>
            </w:tcBorders>
            <w:shd w:val="clear" w:color="auto" w:fill="auto"/>
            <w:noWrap/>
            <w:vAlign w:val="bottom"/>
            <w:hideMark/>
          </w:tcPr>
          <w:p w:rsidRPr="00EE637B" w:rsidR="004D19F0" w:rsidP="00F84391" w:rsidRDefault="004D19F0" w14:paraId="1BF57073" w14:textId="77777777">
            <w:pPr>
              <w:spacing w:after="0" w:line="240" w:lineRule="auto"/>
              <w:jc w:val="right"/>
              <w:rPr>
                <w:rFonts w:ascii="Calibri" w:hAnsi="Calibri" w:eastAsia="Times New Roman" w:cs="Calibri"/>
                <w:b/>
                <w:bCs/>
                <w:color w:val="000000"/>
                <w:lang w:eastAsia="nl-NL"/>
              </w:rPr>
            </w:pPr>
            <w:r w:rsidRPr="00EE637B">
              <w:rPr>
                <w:rFonts w:ascii="Calibri" w:hAnsi="Calibri" w:eastAsia="Times New Roman" w:cs="Calibri"/>
                <w:b/>
                <w:bCs/>
                <w:color w:val="000000"/>
                <w:lang w:eastAsia="nl-NL"/>
              </w:rPr>
              <w:t>-20</w:t>
            </w:r>
          </w:p>
        </w:tc>
      </w:tr>
    </w:tbl>
    <w:p w:rsidRPr="004D19F0" w:rsidR="004D19F0" w:rsidP="00BB0631" w:rsidRDefault="004D19F0" w14:paraId="65E9B500" w14:textId="36604BC3">
      <w:pPr>
        <w:jc w:val="both"/>
        <w:rPr>
          <w:rFonts w:ascii="Verdana" w:hAnsi="Verdana" w:eastAsia="Calibri" w:cs="Times New Roman"/>
          <w:sz w:val="16"/>
          <w:szCs w:val="18"/>
        </w:rPr>
      </w:pPr>
      <w:r w:rsidRPr="00A04134">
        <w:rPr>
          <w:rFonts w:ascii="Verdana" w:hAnsi="Verdana" w:eastAsia="Calibri" w:cs="Times New Roman"/>
          <w:sz w:val="16"/>
          <w:szCs w:val="18"/>
        </w:rPr>
        <w:t>*Cijfers kunnen marginaal afwijken door verschuivingen van programma's tussen begrotingscategoriën. RescEU en Health zijn in dit overzicht onder categorie 2 geplaatst.</w:t>
      </w:r>
    </w:p>
    <w:p w:rsidRPr="00BB0631" w:rsidR="00BB0631" w:rsidP="00BB0631" w:rsidRDefault="00BB0631" w14:paraId="7775A448" w14:textId="5045D39C">
      <w:pPr>
        <w:jc w:val="both"/>
        <w:rPr>
          <w:rFonts w:ascii="Verdana" w:hAnsi="Verdana" w:eastAsia="Calibri" w:cs="Times New Roman"/>
          <w:sz w:val="18"/>
          <w:szCs w:val="18"/>
        </w:rPr>
      </w:pPr>
      <w:r w:rsidRPr="00BB0631">
        <w:rPr>
          <w:rFonts w:ascii="Verdana" w:hAnsi="Verdana" w:eastAsia="Calibri" w:cs="Times New Roman"/>
          <w:sz w:val="18"/>
          <w:szCs w:val="18"/>
        </w:rPr>
        <w:t>Het MFK wordt inhoudelijk gemoderniseerd</w:t>
      </w:r>
      <w:r w:rsidRPr="00956BE3" w:rsidR="00956BE3">
        <w:rPr>
          <w:rFonts w:ascii="Verdana" w:hAnsi="Verdana" w:eastAsia="Calibri" w:cs="Times New Roman"/>
          <w:sz w:val="18"/>
          <w:szCs w:val="18"/>
        </w:rPr>
        <w:t xml:space="preserve"> in lijn met de Nederlandse inzet om </w:t>
      </w:r>
      <w:r w:rsidR="004D19F0">
        <w:rPr>
          <w:rFonts w:ascii="Verdana" w:hAnsi="Verdana" w:eastAsia="Calibri" w:cs="Times New Roman"/>
          <w:sz w:val="18"/>
          <w:szCs w:val="18"/>
        </w:rPr>
        <w:t xml:space="preserve">tot een gemoderniseerde EU-begroting te komen, met </w:t>
      </w:r>
      <w:r w:rsidRPr="00956BE3" w:rsidR="00956BE3">
        <w:rPr>
          <w:rFonts w:ascii="Verdana" w:hAnsi="Verdana" w:eastAsia="Calibri" w:cs="Times New Roman"/>
          <w:sz w:val="18"/>
          <w:szCs w:val="18"/>
        </w:rPr>
        <w:t>meer nadruk op terreinen zoals onderzoek en innovatie, klimaat, migratie en veiligheid</w:t>
      </w:r>
      <w:r w:rsidRPr="00BB0631">
        <w:rPr>
          <w:rFonts w:ascii="Verdana" w:hAnsi="Verdana" w:eastAsia="Calibri" w:cs="Times New Roman"/>
          <w:sz w:val="18"/>
          <w:szCs w:val="18"/>
        </w:rPr>
        <w:t>.</w:t>
      </w:r>
      <w:r w:rsidR="003F3669">
        <w:rPr>
          <w:rFonts w:ascii="Verdana" w:hAnsi="Verdana" w:eastAsia="Calibri" w:cs="Times New Roman"/>
          <w:sz w:val="18"/>
          <w:szCs w:val="18"/>
        </w:rPr>
        <w:t xml:space="preserve"> Nederland had graag </w:t>
      </w:r>
      <w:r w:rsidRPr="003F3669" w:rsidR="003F3669">
        <w:rPr>
          <w:rFonts w:ascii="Verdana" w:hAnsi="Verdana" w:eastAsia="Calibri" w:cs="Times New Roman"/>
          <w:sz w:val="18"/>
          <w:szCs w:val="18"/>
        </w:rPr>
        <w:t xml:space="preserve">een </w:t>
      </w:r>
      <w:r w:rsidR="003F3669">
        <w:rPr>
          <w:rFonts w:ascii="Verdana" w:hAnsi="Verdana" w:eastAsia="Calibri" w:cs="Times New Roman"/>
          <w:sz w:val="18"/>
          <w:szCs w:val="18"/>
        </w:rPr>
        <w:t>ambitieuzere uitkomst gezien, maar is tevreden met de gezette stappen.</w:t>
      </w:r>
    </w:p>
    <w:p w:rsidRPr="00BB0631" w:rsidR="00BB0631" w:rsidP="00BB0631" w:rsidRDefault="00E6224E" w14:paraId="0193B98E" w14:textId="3CC6400C">
      <w:pPr>
        <w:jc w:val="both"/>
        <w:rPr>
          <w:rFonts w:ascii="Verdana" w:hAnsi="Verdana" w:eastAsia="Calibri" w:cs="Times New Roman"/>
          <w:sz w:val="18"/>
          <w:szCs w:val="18"/>
        </w:rPr>
      </w:pPr>
      <w:r>
        <w:rPr>
          <w:rFonts w:ascii="Verdana" w:hAnsi="Verdana" w:eastAsia="Calibri" w:cs="Times New Roman"/>
          <w:sz w:val="18"/>
          <w:szCs w:val="18"/>
        </w:rPr>
        <w:t>Zo is h</w:t>
      </w:r>
      <w:r w:rsidRPr="00BB0631" w:rsidR="00BB0631">
        <w:rPr>
          <w:rFonts w:ascii="Verdana" w:hAnsi="Verdana" w:eastAsia="Calibri" w:cs="Times New Roman"/>
          <w:sz w:val="18"/>
          <w:szCs w:val="18"/>
        </w:rPr>
        <w:t>et kabinet positief over de sterke</w:t>
      </w:r>
      <w:r>
        <w:rPr>
          <w:rFonts w:ascii="Verdana" w:hAnsi="Verdana" w:eastAsia="Calibri" w:cs="Times New Roman"/>
          <w:sz w:val="18"/>
          <w:szCs w:val="18"/>
        </w:rPr>
        <w:t>re</w:t>
      </w:r>
      <w:r w:rsidRPr="00BB0631" w:rsidR="00BB0631">
        <w:rPr>
          <w:rFonts w:ascii="Verdana" w:hAnsi="Verdana" w:eastAsia="Calibri" w:cs="Times New Roman"/>
          <w:sz w:val="18"/>
          <w:szCs w:val="18"/>
        </w:rPr>
        <w:t xml:space="preserve"> </w:t>
      </w:r>
      <w:r>
        <w:rPr>
          <w:rFonts w:ascii="Verdana" w:hAnsi="Verdana" w:eastAsia="Calibri" w:cs="Times New Roman"/>
          <w:sz w:val="18"/>
          <w:szCs w:val="18"/>
        </w:rPr>
        <w:t xml:space="preserve">nadruk op </w:t>
      </w:r>
      <w:r w:rsidRPr="00BB0631" w:rsidR="00BB0631">
        <w:rPr>
          <w:rFonts w:ascii="Verdana" w:hAnsi="Verdana" w:eastAsia="Calibri" w:cs="Times New Roman"/>
          <w:sz w:val="18"/>
          <w:szCs w:val="18"/>
        </w:rPr>
        <w:t xml:space="preserve">de klimaatinspanningen via de EU-begroting. Afgesproken is dat ten minste 30% van de uitgaven onder MFK en het herstelinstrument </w:t>
      </w:r>
      <w:r w:rsidR="006A5E23">
        <w:rPr>
          <w:rFonts w:ascii="Verdana" w:hAnsi="Verdana" w:eastAsia="Calibri" w:cs="Times New Roman"/>
          <w:sz w:val="18"/>
          <w:szCs w:val="18"/>
        </w:rPr>
        <w:t xml:space="preserve">gezamenlijk moeten </w:t>
      </w:r>
      <w:r w:rsidRPr="00BB0631" w:rsidR="00BB0631">
        <w:rPr>
          <w:rFonts w:ascii="Verdana" w:hAnsi="Verdana" w:eastAsia="Calibri" w:cs="Times New Roman"/>
          <w:sz w:val="18"/>
          <w:szCs w:val="18"/>
        </w:rPr>
        <w:t xml:space="preserve">bijdragen aan </w:t>
      </w:r>
      <w:r w:rsidR="006A5E23">
        <w:rPr>
          <w:rFonts w:ascii="Verdana" w:hAnsi="Verdana" w:eastAsia="Calibri" w:cs="Times New Roman"/>
          <w:sz w:val="18"/>
          <w:szCs w:val="18"/>
        </w:rPr>
        <w:t xml:space="preserve">de </w:t>
      </w:r>
      <w:r w:rsidRPr="00BB0631" w:rsidR="00BB0631">
        <w:rPr>
          <w:rFonts w:ascii="Verdana" w:hAnsi="Verdana" w:eastAsia="Calibri" w:cs="Times New Roman"/>
          <w:sz w:val="18"/>
          <w:szCs w:val="18"/>
        </w:rPr>
        <w:t xml:space="preserve">klimaatdoelstellingen </w:t>
      </w:r>
      <w:r w:rsidR="006A5E23">
        <w:rPr>
          <w:rFonts w:ascii="Verdana" w:hAnsi="Verdana" w:eastAsia="Calibri" w:cs="Times New Roman"/>
          <w:sz w:val="18"/>
          <w:szCs w:val="18"/>
        </w:rPr>
        <w:t xml:space="preserve">voor 2030 en 2050 </w:t>
      </w:r>
      <w:r w:rsidRPr="00BB0631" w:rsidR="00BB0631">
        <w:rPr>
          <w:rFonts w:ascii="Verdana" w:hAnsi="Verdana" w:eastAsia="Calibri" w:cs="Times New Roman"/>
          <w:sz w:val="18"/>
          <w:szCs w:val="18"/>
        </w:rPr>
        <w:t>(</w:t>
      </w:r>
      <w:r w:rsidR="000C2213">
        <w:rPr>
          <w:rFonts w:ascii="Verdana" w:hAnsi="Verdana" w:eastAsia="Calibri" w:cs="Times New Roman"/>
          <w:sz w:val="18"/>
          <w:szCs w:val="18"/>
        </w:rPr>
        <w:t xml:space="preserve">de </w:t>
      </w:r>
      <w:r w:rsidRPr="00BB0631" w:rsidR="00BB0631">
        <w:rPr>
          <w:rFonts w:ascii="Verdana" w:hAnsi="Verdana" w:eastAsia="Calibri" w:cs="Times New Roman"/>
          <w:sz w:val="18"/>
          <w:szCs w:val="18"/>
        </w:rPr>
        <w:t>Nederlandse inzet was ten minste 25%</w:t>
      </w:r>
      <w:r w:rsidR="004D19F0">
        <w:rPr>
          <w:rFonts w:ascii="Verdana" w:hAnsi="Verdana" w:eastAsia="Calibri" w:cs="Times New Roman"/>
          <w:sz w:val="18"/>
          <w:szCs w:val="18"/>
        </w:rPr>
        <w:t>, in het huidige MFK is dit 20%</w:t>
      </w:r>
      <w:r w:rsidRPr="00BB0631" w:rsidR="00BB0631">
        <w:rPr>
          <w:rFonts w:ascii="Verdana" w:hAnsi="Verdana" w:eastAsia="Calibri" w:cs="Times New Roman"/>
          <w:sz w:val="18"/>
          <w:szCs w:val="18"/>
        </w:rPr>
        <w:t>)</w:t>
      </w:r>
      <w:r w:rsidR="00DF58C3">
        <w:rPr>
          <w:rFonts w:ascii="Verdana" w:hAnsi="Verdana" w:eastAsia="Calibri" w:cs="Times New Roman"/>
          <w:sz w:val="18"/>
          <w:szCs w:val="18"/>
        </w:rPr>
        <w:t xml:space="preserve">. </w:t>
      </w:r>
      <w:r w:rsidRPr="006E01F3" w:rsidR="00DF58C3">
        <w:rPr>
          <w:rFonts w:ascii="Verdana" w:hAnsi="Verdana" w:eastAsia="Calibri" w:cs="Times New Roman"/>
          <w:sz w:val="18"/>
          <w:szCs w:val="18"/>
        </w:rPr>
        <w:t xml:space="preserve">In lijn met de Nederlandse inzet is in het akkoord </w:t>
      </w:r>
      <w:r w:rsidR="00DF58C3">
        <w:rPr>
          <w:rFonts w:ascii="Verdana" w:hAnsi="Verdana" w:eastAsia="Calibri" w:cs="Times New Roman"/>
          <w:sz w:val="18"/>
          <w:szCs w:val="18"/>
        </w:rPr>
        <w:t>geborgd</w:t>
      </w:r>
      <w:r w:rsidRPr="006E01F3" w:rsidR="00DF58C3">
        <w:rPr>
          <w:rFonts w:ascii="Verdana" w:hAnsi="Verdana" w:eastAsia="Calibri" w:cs="Times New Roman"/>
          <w:sz w:val="18"/>
          <w:szCs w:val="18"/>
        </w:rPr>
        <w:t xml:space="preserve"> dat de ophoging van dit percentage goed moet worden uitgewerkt in de onderliggende verordeningen. Ook komt er een goede</w:t>
      </w:r>
      <w:r w:rsidR="008733D1">
        <w:rPr>
          <w:rFonts w:ascii="Verdana" w:hAnsi="Verdana" w:eastAsia="Calibri" w:cs="Times New Roman"/>
          <w:sz w:val="18"/>
          <w:szCs w:val="18"/>
        </w:rPr>
        <w:t xml:space="preserve"> monitoring</w:t>
      </w:r>
      <w:r w:rsidRPr="006E01F3" w:rsidR="00DF58C3">
        <w:rPr>
          <w:rFonts w:ascii="Verdana" w:hAnsi="Verdana" w:eastAsia="Calibri" w:cs="Times New Roman"/>
          <w:sz w:val="18"/>
          <w:szCs w:val="18"/>
        </w:rPr>
        <w:t xml:space="preserve"> en ra</w:t>
      </w:r>
      <w:r w:rsidR="00DF58C3">
        <w:rPr>
          <w:rFonts w:ascii="Verdana" w:hAnsi="Verdana" w:eastAsia="Calibri" w:cs="Times New Roman"/>
          <w:sz w:val="18"/>
          <w:szCs w:val="18"/>
        </w:rPr>
        <w:t>pportage van de klimaatuitgaven</w:t>
      </w:r>
      <w:r w:rsidR="008733D1">
        <w:rPr>
          <w:rFonts w:ascii="Verdana" w:hAnsi="Verdana" w:eastAsia="Calibri" w:cs="Times New Roman"/>
          <w:sz w:val="18"/>
          <w:szCs w:val="18"/>
        </w:rPr>
        <w:t xml:space="preserve">. Daarnaast is afgesproken </w:t>
      </w:r>
      <w:r w:rsidRPr="00BB0631" w:rsidR="00BB0631">
        <w:rPr>
          <w:rFonts w:ascii="Verdana" w:hAnsi="Verdana" w:eastAsia="Calibri" w:cs="Times New Roman"/>
          <w:sz w:val="18"/>
          <w:szCs w:val="18"/>
        </w:rPr>
        <w:t xml:space="preserve">dat </w:t>
      </w:r>
      <w:r w:rsidR="008733D1">
        <w:rPr>
          <w:rFonts w:ascii="Verdana" w:hAnsi="Verdana" w:eastAsia="Calibri" w:cs="Times New Roman"/>
          <w:sz w:val="18"/>
          <w:szCs w:val="18"/>
        </w:rPr>
        <w:t xml:space="preserve">alle </w:t>
      </w:r>
      <w:r w:rsidRPr="00BB0631" w:rsidR="00BB0631">
        <w:rPr>
          <w:rFonts w:ascii="Verdana" w:hAnsi="Verdana" w:eastAsia="Calibri" w:cs="Times New Roman"/>
          <w:sz w:val="18"/>
          <w:szCs w:val="18"/>
        </w:rPr>
        <w:t xml:space="preserve">EU-uitgaven in overeenstemming </w:t>
      </w:r>
      <w:r w:rsidR="008733D1">
        <w:rPr>
          <w:rFonts w:ascii="Verdana" w:hAnsi="Verdana" w:eastAsia="Calibri" w:cs="Times New Roman"/>
          <w:sz w:val="18"/>
          <w:szCs w:val="18"/>
        </w:rPr>
        <w:t xml:space="preserve">moeten </w:t>
      </w:r>
      <w:r w:rsidRPr="00BB0631" w:rsidR="00BB0631">
        <w:rPr>
          <w:rFonts w:ascii="Verdana" w:hAnsi="Verdana" w:eastAsia="Calibri" w:cs="Times New Roman"/>
          <w:sz w:val="18"/>
          <w:szCs w:val="18"/>
        </w:rPr>
        <w:t>zijn met de doelstellingen van de Overeenkomst van Parijs en het ‘</w:t>
      </w:r>
      <w:r w:rsidRPr="007203F3" w:rsidR="00BB0631">
        <w:rPr>
          <w:rFonts w:ascii="Verdana" w:hAnsi="Verdana" w:eastAsia="Calibri" w:cs="Times New Roman"/>
          <w:i/>
          <w:sz w:val="18"/>
          <w:szCs w:val="18"/>
        </w:rPr>
        <w:t>do no harm</w:t>
      </w:r>
      <w:r w:rsidRPr="00BB0631" w:rsidR="00BB0631">
        <w:rPr>
          <w:rFonts w:ascii="Verdana" w:hAnsi="Verdana" w:eastAsia="Calibri" w:cs="Times New Roman"/>
          <w:sz w:val="18"/>
          <w:szCs w:val="18"/>
        </w:rPr>
        <w:t xml:space="preserve">’-principe uit de Green Deal. Hiernaast is het voor Nederland belangrijk dat er een mechanisme komt om de klimaatuitgaven te monitoren en waar nodig bij te sturen. De klimaatdoelstellingen worden tevens vastgelegd in de sectorale verordeningen. </w:t>
      </w:r>
    </w:p>
    <w:p w:rsidRPr="00BB0631" w:rsidR="00BB0631" w:rsidP="00BB0631" w:rsidRDefault="00BB0631" w14:paraId="1B4229C5" w14:textId="4E488685">
      <w:pPr>
        <w:jc w:val="both"/>
        <w:rPr>
          <w:rFonts w:ascii="Verdana" w:hAnsi="Verdana" w:eastAsia="Calibri" w:cs="Times New Roman"/>
          <w:sz w:val="18"/>
          <w:szCs w:val="18"/>
        </w:rPr>
      </w:pPr>
      <w:r w:rsidRPr="00BB0631">
        <w:rPr>
          <w:rFonts w:ascii="Verdana" w:hAnsi="Verdana" w:eastAsia="Calibri" w:cs="Times New Roman"/>
          <w:sz w:val="18"/>
          <w:szCs w:val="18"/>
        </w:rPr>
        <w:t xml:space="preserve">Daarnaast is overeengekomen dat </w:t>
      </w:r>
      <w:r w:rsidR="00E6224E">
        <w:rPr>
          <w:rFonts w:ascii="Verdana" w:hAnsi="Verdana" w:eastAsia="Calibri" w:cs="Times New Roman"/>
          <w:sz w:val="18"/>
          <w:szCs w:val="18"/>
        </w:rPr>
        <w:t xml:space="preserve">in het regulier MFK </w:t>
      </w:r>
      <w:r w:rsidRPr="00BB0631">
        <w:rPr>
          <w:rFonts w:ascii="Verdana" w:hAnsi="Verdana" w:eastAsia="Calibri" w:cs="Times New Roman"/>
          <w:sz w:val="18"/>
          <w:szCs w:val="18"/>
        </w:rPr>
        <w:t xml:space="preserve">7,5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00E6224E">
        <w:rPr>
          <w:rFonts w:ascii="Verdana" w:hAnsi="Verdana" w:eastAsia="Calibri" w:cs="Times New Roman"/>
          <w:sz w:val="18"/>
          <w:szCs w:val="18"/>
        </w:rPr>
        <w:t xml:space="preserve">euro </w:t>
      </w:r>
      <w:r w:rsidRPr="00BB0631">
        <w:rPr>
          <w:rFonts w:ascii="Verdana" w:hAnsi="Verdana" w:eastAsia="Calibri" w:cs="Times New Roman"/>
          <w:sz w:val="18"/>
          <w:szCs w:val="18"/>
        </w:rPr>
        <w:t xml:space="preserve">beschikbaar wordt gesteld </w:t>
      </w:r>
      <w:r w:rsidRPr="00BB0631" w:rsidR="00E6224E">
        <w:rPr>
          <w:rFonts w:ascii="Verdana" w:hAnsi="Verdana" w:eastAsia="Calibri" w:cs="Times New Roman"/>
          <w:sz w:val="18"/>
          <w:szCs w:val="18"/>
        </w:rPr>
        <w:t xml:space="preserve">voor het </w:t>
      </w:r>
      <w:r w:rsidRPr="007203F3" w:rsidR="00E6224E">
        <w:rPr>
          <w:rFonts w:ascii="Verdana" w:hAnsi="Verdana" w:eastAsia="Calibri" w:cs="Times New Roman"/>
          <w:i/>
          <w:sz w:val="18"/>
          <w:szCs w:val="18"/>
        </w:rPr>
        <w:t>Just Transition Fund</w:t>
      </w:r>
      <w:r w:rsidRPr="00CC4C99" w:rsidR="00E6224E">
        <w:rPr>
          <w:rFonts w:ascii="Verdana" w:hAnsi="Verdana" w:eastAsia="Calibri" w:cs="Times New Roman"/>
          <w:sz w:val="18"/>
          <w:szCs w:val="18"/>
        </w:rPr>
        <w:t xml:space="preserve"> </w:t>
      </w:r>
      <w:r w:rsidR="00034F2D">
        <w:rPr>
          <w:rFonts w:ascii="Verdana" w:hAnsi="Verdana" w:eastAsia="Calibri" w:cs="Times New Roman"/>
          <w:sz w:val="18"/>
          <w:szCs w:val="18"/>
        </w:rPr>
        <w:t>(JTF)</w:t>
      </w:r>
      <w:r w:rsidRPr="00CC4C99" w:rsidR="00E6224E">
        <w:rPr>
          <w:rFonts w:ascii="Verdana" w:hAnsi="Verdana" w:eastAsia="Calibri" w:cs="Times New Roman"/>
          <w:sz w:val="18"/>
          <w:szCs w:val="18"/>
        </w:rPr>
        <w:t xml:space="preserve"> </w:t>
      </w:r>
      <w:r w:rsidRPr="00CC4C99">
        <w:rPr>
          <w:rFonts w:ascii="Verdana" w:hAnsi="Verdana" w:eastAsia="Calibri" w:cs="Times New Roman"/>
          <w:sz w:val="18"/>
          <w:szCs w:val="18"/>
        </w:rPr>
        <w:t xml:space="preserve">om de sociale en economische gevolgen van de transitie naar klimaatneutraliteit in 2050 te mitigeren. De verdeelsleutel zal in lijn zijn met de voorstellen </w:t>
      </w:r>
      <w:r w:rsidRPr="00CC4C99" w:rsidR="006A5E23">
        <w:rPr>
          <w:rFonts w:ascii="Verdana" w:hAnsi="Verdana" w:eastAsia="Calibri" w:cs="Times New Roman"/>
          <w:sz w:val="18"/>
          <w:szCs w:val="18"/>
        </w:rPr>
        <w:t xml:space="preserve">van </w:t>
      </w:r>
      <w:r w:rsidRPr="00CC4C99">
        <w:rPr>
          <w:rFonts w:ascii="Verdana" w:hAnsi="Verdana" w:eastAsia="Calibri" w:cs="Times New Roman"/>
          <w:sz w:val="18"/>
          <w:szCs w:val="18"/>
        </w:rPr>
        <w:t xml:space="preserve">de Europese Commissie. </w:t>
      </w:r>
      <w:r w:rsidRPr="00CC4C99" w:rsidR="00E6224E">
        <w:rPr>
          <w:rFonts w:ascii="Verdana" w:hAnsi="Verdana" w:eastAsia="Calibri" w:cs="Times New Roman"/>
          <w:sz w:val="18"/>
          <w:szCs w:val="18"/>
        </w:rPr>
        <w:t>D</w:t>
      </w:r>
      <w:r w:rsidRPr="00CC4C99">
        <w:rPr>
          <w:rFonts w:ascii="Verdana" w:hAnsi="Verdana" w:eastAsia="Calibri" w:cs="Times New Roman"/>
          <w:sz w:val="18"/>
          <w:szCs w:val="18"/>
        </w:rPr>
        <w:t xml:space="preserve">e toegang tot het JTF </w:t>
      </w:r>
      <w:r w:rsidRPr="00CC4C99" w:rsidR="00E6224E">
        <w:rPr>
          <w:rFonts w:ascii="Verdana" w:hAnsi="Verdana" w:eastAsia="Calibri" w:cs="Times New Roman"/>
          <w:sz w:val="18"/>
          <w:szCs w:val="18"/>
        </w:rPr>
        <w:t xml:space="preserve">is </w:t>
      </w:r>
      <w:r w:rsidRPr="00CC4C99">
        <w:rPr>
          <w:rFonts w:ascii="Verdana" w:hAnsi="Verdana" w:eastAsia="Calibri" w:cs="Times New Roman"/>
          <w:sz w:val="18"/>
          <w:szCs w:val="18"/>
        </w:rPr>
        <w:t xml:space="preserve">beperkt tot </w:t>
      </w:r>
      <w:r w:rsidRPr="00CC4C99" w:rsidR="00B167C5">
        <w:rPr>
          <w:rFonts w:ascii="Verdana" w:hAnsi="Verdana" w:eastAsia="Calibri" w:cs="Times New Roman"/>
          <w:sz w:val="18"/>
          <w:szCs w:val="18"/>
        </w:rPr>
        <w:t xml:space="preserve">de helft van de nationale allocatie voor </w:t>
      </w:r>
      <w:r w:rsidRPr="00CC4C99">
        <w:rPr>
          <w:rFonts w:ascii="Verdana" w:hAnsi="Verdana" w:eastAsia="Calibri" w:cs="Times New Roman"/>
          <w:sz w:val="18"/>
          <w:szCs w:val="18"/>
        </w:rPr>
        <w:t xml:space="preserve">lidstaten die zich </w:t>
      </w:r>
      <w:r w:rsidRPr="00CC4C99" w:rsidR="00B167C5">
        <w:rPr>
          <w:rFonts w:ascii="Verdana" w:hAnsi="Verdana" w:eastAsia="Calibri" w:cs="Times New Roman"/>
          <w:sz w:val="18"/>
          <w:szCs w:val="18"/>
        </w:rPr>
        <w:t xml:space="preserve">nog niet </w:t>
      </w:r>
      <w:r w:rsidRPr="00CC4C99">
        <w:rPr>
          <w:rFonts w:ascii="Verdana" w:hAnsi="Verdana" w:eastAsia="Calibri" w:cs="Times New Roman"/>
          <w:sz w:val="18"/>
          <w:szCs w:val="18"/>
        </w:rPr>
        <w:t>hebben gecommitteerd aan</w:t>
      </w:r>
      <w:r w:rsidRPr="00CC4C99" w:rsidDel="00097050">
        <w:rPr>
          <w:rFonts w:ascii="Verdana" w:hAnsi="Verdana" w:eastAsia="Calibri" w:cs="Times New Roman"/>
          <w:sz w:val="18"/>
          <w:szCs w:val="18"/>
        </w:rPr>
        <w:t xml:space="preserve"> </w:t>
      </w:r>
      <w:r w:rsidRPr="00CC4C99" w:rsidR="00DF58C3">
        <w:rPr>
          <w:rFonts w:ascii="Verdana" w:hAnsi="Verdana" w:eastAsia="Calibri" w:cs="Times New Roman"/>
          <w:sz w:val="18"/>
          <w:szCs w:val="18"/>
        </w:rPr>
        <w:t>implementatie</w:t>
      </w:r>
      <w:r w:rsidRPr="00CC4C99" w:rsidR="00E6224E">
        <w:rPr>
          <w:rFonts w:ascii="Verdana" w:hAnsi="Verdana" w:eastAsia="Calibri" w:cs="Times New Roman"/>
          <w:sz w:val="18"/>
          <w:szCs w:val="18"/>
        </w:rPr>
        <w:t xml:space="preserve"> </w:t>
      </w:r>
      <w:r w:rsidRPr="00CC4C99" w:rsidR="00B167C5">
        <w:rPr>
          <w:rFonts w:ascii="Verdana" w:hAnsi="Verdana" w:eastAsia="Calibri" w:cs="Times New Roman"/>
          <w:sz w:val="18"/>
          <w:szCs w:val="18"/>
        </w:rPr>
        <w:t xml:space="preserve">van </w:t>
      </w:r>
      <w:r w:rsidRPr="00CC4C99" w:rsidR="00E6224E">
        <w:rPr>
          <w:rFonts w:ascii="Verdana" w:hAnsi="Verdana" w:eastAsia="Calibri" w:cs="Times New Roman"/>
          <w:sz w:val="18"/>
          <w:szCs w:val="18"/>
        </w:rPr>
        <w:t xml:space="preserve">de Unie-doelstelling van </w:t>
      </w:r>
      <w:r w:rsidRPr="00CC4C99">
        <w:rPr>
          <w:rFonts w:ascii="Verdana" w:hAnsi="Verdana" w:eastAsia="Calibri" w:cs="Times New Roman"/>
          <w:sz w:val="18"/>
          <w:szCs w:val="18"/>
        </w:rPr>
        <w:t>klimaatneutraliteit in 2050.</w:t>
      </w:r>
    </w:p>
    <w:p w:rsidRPr="00BB0631" w:rsidR="00BB0631" w:rsidP="00BB0631" w:rsidRDefault="00BB0631" w14:paraId="54493259" w14:textId="55F04073">
      <w:pPr>
        <w:jc w:val="both"/>
        <w:rPr>
          <w:rFonts w:ascii="Verdana" w:hAnsi="Verdana" w:eastAsia="Calibri" w:cs="Times New Roman"/>
          <w:sz w:val="18"/>
          <w:szCs w:val="18"/>
        </w:rPr>
      </w:pPr>
      <w:r w:rsidRPr="00BB0631">
        <w:rPr>
          <w:rFonts w:ascii="Verdana" w:hAnsi="Verdana" w:eastAsia="Calibri" w:cs="Times New Roman"/>
          <w:sz w:val="18"/>
          <w:szCs w:val="18"/>
        </w:rPr>
        <w:lastRenderedPageBreak/>
        <w:t xml:space="preserve">Onderzoek en innovatie krijgen </w:t>
      </w:r>
      <w:r w:rsidR="003E4295">
        <w:rPr>
          <w:rFonts w:ascii="Verdana" w:hAnsi="Verdana" w:eastAsia="Calibri" w:cs="Times New Roman"/>
          <w:sz w:val="18"/>
          <w:szCs w:val="18"/>
        </w:rPr>
        <w:t>eveneens</w:t>
      </w:r>
      <w:r w:rsidRPr="00BB0631">
        <w:rPr>
          <w:rFonts w:ascii="Verdana" w:hAnsi="Verdana" w:eastAsia="Calibri" w:cs="Times New Roman"/>
          <w:sz w:val="18"/>
          <w:szCs w:val="18"/>
        </w:rPr>
        <w:t xml:space="preserve"> een prominente plek in het nieuwe MFK, met name via het Horizon Europe</w:t>
      </w:r>
      <w:r w:rsidR="002D5F11">
        <w:rPr>
          <w:rFonts w:ascii="Verdana" w:hAnsi="Verdana" w:eastAsia="Calibri" w:cs="Times New Roman"/>
          <w:sz w:val="18"/>
          <w:szCs w:val="18"/>
        </w:rPr>
        <w:t>-</w:t>
      </w:r>
      <w:r w:rsidRPr="00BB0631">
        <w:rPr>
          <w:rFonts w:ascii="Verdana" w:hAnsi="Verdana" w:eastAsia="Calibri" w:cs="Times New Roman"/>
          <w:sz w:val="18"/>
          <w:szCs w:val="18"/>
        </w:rPr>
        <w:t xml:space="preserve">programma dat in omvang toeneemt ten opzichte van </w:t>
      </w:r>
      <w:r w:rsidR="008733D1">
        <w:rPr>
          <w:rFonts w:ascii="Verdana" w:hAnsi="Verdana" w:eastAsia="Calibri" w:cs="Times New Roman"/>
          <w:sz w:val="18"/>
          <w:szCs w:val="18"/>
        </w:rPr>
        <w:t>het</w:t>
      </w:r>
      <w:r w:rsidRPr="00BB0631">
        <w:rPr>
          <w:rFonts w:ascii="Verdana" w:hAnsi="Verdana" w:eastAsia="Calibri" w:cs="Times New Roman"/>
          <w:sz w:val="18"/>
          <w:szCs w:val="18"/>
        </w:rPr>
        <w:t xml:space="preserve"> huidige </w:t>
      </w:r>
      <w:r w:rsidR="008733D1">
        <w:rPr>
          <w:rFonts w:ascii="Verdana" w:hAnsi="Verdana" w:eastAsia="Calibri" w:cs="Times New Roman"/>
          <w:sz w:val="18"/>
          <w:szCs w:val="18"/>
        </w:rPr>
        <w:t>MKF</w:t>
      </w:r>
      <w:r w:rsidRPr="00BB0631">
        <w:rPr>
          <w:rFonts w:ascii="Verdana" w:hAnsi="Verdana" w:eastAsia="Calibri" w:cs="Times New Roman"/>
          <w:sz w:val="18"/>
          <w:szCs w:val="18"/>
        </w:rPr>
        <w:t xml:space="preserve">. Nederland heeft zich er </w:t>
      </w:r>
      <w:r w:rsidR="00031B41">
        <w:rPr>
          <w:rFonts w:ascii="Verdana" w:hAnsi="Verdana" w:eastAsia="Calibri" w:cs="Times New Roman"/>
          <w:sz w:val="18"/>
          <w:szCs w:val="18"/>
        </w:rPr>
        <w:t xml:space="preserve">met succes hard </w:t>
      </w:r>
      <w:r w:rsidRPr="00BB0631">
        <w:rPr>
          <w:rFonts w:ascii="Verdana" w:hAnsi="Verdana" w:eastAsia="Calibri" w:cs="Times New Roman"/>
          <w:sz w:val="18"/>
          <w:szCs w:val="18"/>
        </w:rPr>
        <w:t xml:space="preserve">voor gemaakt dat binnen dit programma excellentie en impact als leidende selectiecriteria behouden blijven. </w:t>
      </w:r>
      <w:r w:rsidR="00E6224E">
        <w:rPr>
          <w:rFonts w:ascii="Verdana" w:hAnsi="Verdana" w:eastAsia="Calibri" w:cs="Times New Roman"/>
          <w:sz w:val="18"/>
          <w:szCs w:val="18"/>
        </w:rPr>
        <w:t xml:space="preserve">Nederlandse </w:t>
      </w:r>
      <w:r w:rsidR="00DF58C3">
        <w:rPr>
          <w:rFonts w:ascii="Verdana" w:hAnsi="Verdana" w:eastAsia="Calibri" w:cs="Times New Roman"/>
          <w:sz w:val="18"/>
          <w:szCs w:val="18"/>
        </w:rPr>
        <w:t>organisaties zijn het meeste gebaat bij deze selectiecriteria</w:t>
      </w:r>
      <w:r w:rsidR="00E6224E">
        <w:rPr>
          <w:rFonts w:ascii="Verdana" w:hAnsi="Verdana" w:eastAsia="Calibri" w:cs="Times New Roman"/>
          <w:sz w:val="18"/>
          <w:szCs w:val="18"/>
        </w:rPr>
        <w:t xml:space="preserve">. </w:t>
      </w:r>
      <w:r w:rsidRPr="00BB0631">
        <w:rPr>
          <w:rFonts w:ascii="Verdana" w:hAnsi="Verdana" w:eastAsia="Calibri" w:cs="Times New Roman"/>
          <w:sz w:val="18"/>
          <w:szCs w:val="18"/>
        </w:rPr>
        <w:t xml:space="preserve">De investeringen uit het Horizon-programma dragen bij aan het versterken van het concurrentievermogen van de Unie. </w:t>
      </w:r>
    </w:p>
    <w:p w:rsidRPr="00BB0631" w:rsidR="00BB0631" w:rsidP="00BB0631" w:rsidRDefault="00BB0631" w14:paraId="0FE76D75" w14:textId="42B8F828">
      <w:pPr>
        <w:jc w:val="both"/>
        <w:rPr>
          <w:rFonts w:ascii="Verdana" w:hAnsi="Verdana" w:eastAsia="Calibri" w:cs="Times New Roman"/>
          <w:sz w:val="18"/>
          <w:szCs w:val="18"/>
        </w:rPr>
      </w:pPr>
      <w:r w:rsidRPr="00BB0631">
        <w:rPr>
          <w:rFonts w:ascii="Verdana" w:hAnsi="Verdana" w:eastAsia="Calibri" w:cs="Times New Roman"/>
          <w:sz w:val="18"/>
          <w:szCs w:val="18"/>
        </w:rPr>
        <w:t>Het kabinet is minder positief over de resultaten op het terrein van het cohesiebeleid. Weliswaar neemt het cohesiebudget (</w:t>
      </w:r>
      <w:r w:rsidRPr="004D19F0" w:rsidR="004D19F0">
        <w:rPr>
          <w:rFonts w:ascii="Verdana" w:hAnsi="Verdana" w:eastAsia="Calibri" w:cs="Times New Roman"/>
          <w:sz w:val="18"/>
          <w:szCs w:val="18"/>
        </w:rPr>
        <w:t>328</w:t>
      </w:r>
      <w:r w:rsidRPr="004D19F0">
        <w:rPr>
          <w:rFonts w:ascii="Verdana" w:hAnsi="Verdana" w:eastAsia="Calibri" w:cs="Times New Roman"/>
          <w:sz w:val="18"/>
          <w:szCs w:val="18"/>
        </w:rPr>
        <w:t xml:space="preserve"> </w:t>
      </w:r>
      <w:r w:rsidR="00C330C1">
        <w:rPr>
          <w:rFonts w:ascii="Verdana" w:hAnsi="Verdana" w:eastAsia="Calibri" w:cs="Times New Roman"/>
          <w:sz w:val="18"/>
          <w:szCs w:val="18"/>
        </w:rPr>
        <w:t>miljard</w:t>
      </w:r>
      <w:r w:rsidRPr="004D19F0">
        <w:rPr>
          <w:rFonts w:ascii="Verdana" w:hAnsi="Verdana" w:eastAsia="Calibri" w:cs="Times New Roman"/>
          <w:sz w:val="18"/>
          <w:szCs w:val="18"/>
        </w:rPr>
        <w:t xml:space="preserve"> euro</w:t>
      </w:r>
      <w:r w:rsidRPr="00BB0631">
        <w:rPr>
          <w:rFonts w:ascii="Verdana" w:hAnsi="Verdana" w:eastAsia="Calibri" w:cs="Times New Roman"/>
          <w:sz w:val="18"/>
          <w:szCs w:val="18"/>
        </w:rPr>
        <w:t xml:space="preserve">) af met </w:t>
      </w:r>
      <w:r w:rsidRPr="004D19F0" w:rsidR="004D19F0">
        <w:rPr>
          <w:rFonts w:ascii="Verdana" w:hAnsi="Verdana" w:eastAsia="Calibri" w:cs="Times New Roman"/>
          <w:sz w:val="18"/>
          <w:szCs w:val="18"/>
        </w:rPr>
        <w:t>12</w:t>
      </w:r>
      <w:r w:rsidRPr="004D19F0">
        <w:rPr>
          <w:rFonts w:ascii="Verdana" w:hAnsi="Verdana" w:eastAsia="Calibri" w:cs="Times New Roman"/>
          <w:sz w:val="18"/>
          <w:szCs w:val="18"/>
        </w:rPr>
        <w:t>%</w:t>
      </w:r>
      <w:r w:rsidRPr="00BB0631">
        <w:rPr>
          <w:rFonts w:ascii="Verdana" w:hAnsi="Verdana" w:eastAsia="Calibri" w:cs="Times New Roman"/>
          <w:sz w:val="18"/>
          <w:szCs w:val="18"/>
        </w:rPr>
        <w:t xml:space="preserve"> in reële termen ten opzichte van de huidige periode, maar </w:t>
      </w:r>
      <w:r w:rsidR="00DF58C3">
        <w:rPr>
          <w:rFonts w:ascii="Verdana" w:hAnsi="Verdana" w:eastAsia="Calibri" w:cs="Times New Roman"/>
          <w:sz w:val="18"/>
          <w:szCs w:val="18"/>
        </w:rPr>
        <w:t>deze verlaging is</w:t>
      </w:r>
      <w:r w:rsidRPr="00BB0631">
        <w:rPr>
          <w:rFonts w:ascii="Verdana" w:hAnsi="Verdana" w:eastAsia="Calibri" w:cs="Times New Roman"/>
          <w:sz w:val="18"/>
          <w:szCs w:val="18"/>
        </w:rPr>
        <w:t xml:space="preserve"> afge</w:t>
      </w:r>
      <w:r w:rsidR="00E6224E">
        <w:rPr>
          <w:rFonts w:ascii="Verdana" w:hAnsi="Verdana" w:eastAsia="Calibri" w:cs="Times New Roman"/>
          <w:sz w:val="18"/>
          <w:szCs w:val="18"/>
        </w:rPr>
        <w:t xml:space="preserve">zet tegen </w:t>
      </w:r>
      <w:r w:rsidRPr="00BB0631">
        <w:rPr>
          <w:rFonts w:ascii="Verdana" w:hAnsi="Verdana" w:eastAsia="Calibri" w:cs="Times New Roman"/>
          <w:sz w:val="18"/>
          <w:szCs w:val="18"/>
        </w:rPr>
        <w:t>de Nederlandse inzet</w:t>
      </w:r>
      <w:r w:rsidR="00E6224E">
        <w:rPr>
          <w:rFonts w:ascii="Verdana" w:hAnsi="Verdana" w:eastAsia="Calibri" w:cs="Times New Roman"/>
          <w:sz w:val="18"/>
          <w:szCs w:val="18"/>
        </w:rPr>
        <w:t xml:space="preserve"> beperkt</w:t>
      </w:r>
      <w:r w:rsidRPr="00BB0631">
        <w:rPr>
          <w:rFonts w:ascii="Verdana" w:hAnsi="Verdana" w:eastAsia="Calibri" w:cs="Times New Roman"/>
          <w:sz w:val="18"/>
          <w:szCs w:val="18"/>
        </w:rPr>
        <w:t>. Het oorspronkelijke Commissievoorstel is versoepeld ten aanzien van bijvoorbeeld de decommitteringsregels</w:t>
      </w:r>
      <w:r w:rsidR="00DF58C3">
        <w:rPr>
          <w:rFonts w:ascii="Verdana" w:hAnsi="Verdana" w:eastAsia="Calibri" w:cs="Times New Roman"/>
          <w:sz w:val="18"/>
          <w:szCs w:val="18"/>
        </w:rPr>
        <w:t>,</w:t>
      </w:r>
      <w:r w:rsidRPr="00BB0631">
        <w:rPr>
          <w:rFonts w:ascii="Verdana" w:hAnsi="Verdana" w:eastAsia="Calibri" w:cs="Times New Roman"/>
          <w:sz w:val="18"/>
          <w:szCs w:val="18"/>
        </w:rPr>
        <w:t xml:space="preserve"> </w:t>
      </w:r>
      <w:r w:rsidR="00DF58C3">
        <w:rPr>
          <w:rFonts w:ascii="Verdana" w:hAnsi="Verdana" w:eastAsia="Calibri" w:cs="Times New Roman"/>
          <w:sz w:val="18"/>
          <w:szCs w:val="18"/>
        </w:rPr>
        <w:t>de vereisten voor thematische concentratie op innovatie voor minder ontwikkelde- en transitielidstaten</w:t>
      </w:r>
      <w:r w:rsidRPr="00BB0631">
        <w:rPr>
          <w:rFonts w:ascii="Verdana" w:hAnsi="Verdana" w:eastAsia="Calibri" w:cs="Times New Roman"/>
          <w:sz w:val="18"/>
          <w:szCs w:val="18"/>
        </w:rPr>
        <w:t xml:space="preserve"> en de </w:t>
      </w:r>
      <w:r w:rsidR="00DF58C3">
        <w:rPr>
          <w:rFonts w:ascii="Verdana" w:hAnsi="Verdana" w:eastAsia="Calibri" w:cs="Times New Roman"/>
          <w:sz w:val="18"/>
          <w:szCs w:val="18"/>
        </w:rPr>
        <w:t xml:space="preserve">vereisten voor </w:t>
      </w:r>
      <w:r w:rsidR="007C635A">
        <w:rPr>
          <w:rFonts w:ascii="Verdana" w:hAnsi="Verdana" w:eastAsia="Calibri" w:cs="Times New Roman"/>
          <w:sz w:val="18"/>
          <w:szCs w:val="18"/>
        </w:rPr>
        <w:t>nationale</w:t>
      </w:r>
      <w:r w:rsidR="00DF58C3">
        <w:rPr>
          <w:rFonts w:ascii="Verdana" w:hAnsi="Verdana" w:eastAsia="Calibri" w:cs="Times New Roman"/>
          <w:sz w:val="18"/>
          <w:szCs w:val="18"/>
        </w:rPr>
        <w:t xml:space="preserve"> </w:t>
      </w:r>
      <w:r w:rsidRPr="00BB0631">
        <w:rPr>
          <w:rFonts w:ascii="Verdana" w:hAnsi="Verdana" w:eastAsia="Calibri" w:cs="Times New Roman"/>
          <w:sz w:val="18"/>
          <w:szCs w:val="18"/>
        </w:rPr>
        <w:t>co</w:t>
      </w:r>
      <w:r w:rsidRPr="00BB0631" w:rsidDel="00CB1EB8">
        <w:rPr>
          <w:rFonts w:ascii="Verdana" w:hAnsi="Verdana" w:eastAsia="Calibri" w:cs="Times New Roman"/>
          <w:sz w:val="18"/>
          <w:szCs w:val="18"/>
        </w:rPr>
        <w:t>-</w:t>
      </w:r>
      <w:r w:rsidRPr="00BB0631" w:rsidR="00DF58C3">
        <w:rPr>
          <w:rFonts w:ascii="Verdana" w:hAnsi="Verdana" w:eastAsia="Calibri" w:cs="Times New Roman"/>
          <w:sz w:val="18"/>
          <w:szCs w:val="18"/>
        </w:rPr>
        <w:t>financiering</w:t>
      </w:r>
      <w:r w:rsidRPr="00BB0631">
        <w:rPr>
          <w:rFonts w:ascii="Verdana" w:hAnsi="Verdana" w:eastAsia="Calibri" w:cs="Times New Roman"/>
          <w:sz w:val="18"/>
          <w:szCs w:val="18"/>
        </w:rPr>
        <w:t xml:space="preserve">. Het kabinet heeft zich hierover in de onderhandelingen kritisch uitgelaten, maar moet constateren dat het huidige draagvlak voor verdere hervorming van het cohesiebeleid gering is. Daar staat tegenover dat de </w:t>
      </w:r>
      <w:r w:rsidR="00DF58C3">
        <w:rPr>
          <w:rFonts w:ascii="Verdana" w:hAnsi="Verdana" w:eastAsia="Calibri" w:cs="Times New Roman"/>
          <w:sz w:val="18"/>
          <w:szCs w:val="18"/>
        </w:rPr>
        <w:t xml:space="preserve">vereisten voor </w:t>
      </w:r>
      <w:r w:rsidRPr="00BB0631">
        <w:rPr>
          <w:rFonts w:ascii="Verdana" w:hAnsi="Verdana" w:eastAsia="Calibri" w:cs="Times New Roman"/>
          <w:sz w:val="18"/>
          <w:szCs w:val="18"/>
        </w:rPr>
        <w:t xml:space="preserve">thematische concentratie op innovatie en klimaat </w:t>
      </w:r>
      <w:r w:rsidR="00DF58C3">
        <w:rPr>
          <w:rFonts w:ascii="Verdana" w:hAnsi="Verdana" w:eastAsia="Calibri" w:cs="Times New Roman"/>
          <w:sz w:val="18"/>
          <w:szCs w:val="18"/>
        </w:rPr>
        <w:t xml:space="preserve">voor meer ontwikkelde lidstaten </w:t>
      </w:r>
      <w:r w:rsidRPr="00BB0631" w:rsidR="00DF58C3">
        <w:rPr>
          <w:rFonts w:ascii="Verdana" w:hAnsi="Verdana" w:eastAsia="Calibri" w:cs="Times New Roman"/>
          <w:sz w:val="18"/>
          <w:szCs w:val="18"/>
        </w:rPr>
        <w:t>is behouden</w:t>
      </w:r>
      <w:r w:rsidR="00DF58C3">
        <w:rPr>
          <w:rFonts w:ascii="Verdana" w:hAnsi="Verdana" w:eastAsia="Calibri" w:cs="Times New Roman"/>
          <w:sz w:val="18"/>
          <w:szCs w:val="18"/>
        </w:rPr>
        <w:t xml:space="preserve">. Ook wordt </w:t>
      </w:r>
      <w:r w:rsidRPr="00F55EAF" w:rsidR="00DF58C3">
        <w:rPr>
          <w:rFonts w:ascii="Verdana" w:hAnsi="Verdana" w:eastAsia="Calibri" w:cs="Times New Roman"/>
          <w:sz w:val="18"/>
          <w:szCs w:val="18"/>
        </w:rPr>
        <w:t xml:space="preserve">een instrument </w:t>
      </w:r>
      <w:r w:rsidR="00DF58C3">
        <w:rPr>
          <w:rFonts w:ascii="Verdana" w:hAnsi="Verdana" w:eastAsia="Calibri" w:cs="Times New Roman"/>
          <w:sz w:val="18"/>
          <w:szCs w:val="18"/>
        </w:rPr>
        <w:t xml:space="preserve">geïntroduceerd </w:t>
      </w:r>
      <w:r w:rsidRPr="00F55EAF" w:rsidR="00DF58C3">
        <w:rPr>
          <w:rFonts w:ascii="Verdana" w:hAnsi="Verdana" w:eastAsia="Calibri" w:cs="Times New Roman"/>
          <w:sz w:val="18"/>
          <w:szCs w:val="18"/>
        </w:rPr>
        <w:t>om innovatieve clusters uit</w:t>
      </w:r>
      <w:r w:rsidRPr="00F55EAF" w:rsidR="004D19F0">
        <w:rPr>
          <w:rFonts w:ascii="Verdana" w:hAnsi="Verdana" w:eastAsia="Calibri" w:cs="Times New Roman"/>
          <w:sz w:val="18"/>
          <w:szCs w:val="18"/>
        </w:rPr>
        <w:t xml:space="preserve"> de </w:t>
      </w:r>
      <w:r w:rsidRPr="00F55EAF" w:rsidR="00DF58C3">
        <w:rPr>
          <w:rFonts w:ascii="Verdana" w:hAnsi="Verdana" w:eastAsia="Calibri" w:cs="Times New Roman"/>
          <w:sz w:val="18"/>
          <w:szCs w:val="18"/>
        </w:rPr>
        <w:t xml:space="preserve">hele EU met gedeelde specialisaties met elkaar te laten samenwerken. </w:t>
      </w:r>
      <w:r w:rsidR="00DF58C3">
        <w:rPr>
          <w:rFonts w:ascii="Verdana" w:hAnsi="Verdana" w:eastAsia="Calibri" w:cs="Times New Roman"/>
          <w:sz w:val="18"/>
          <w:szCs w:val="18"/>
        </w:rPr>
        <w:t xml:space="preserve">Daarnaast komt er </w:t>
      </w:r>
      <w:r w:rsidRPr="00BB0631">
        <w:rPr>
          <w:rFonts w:ascii="Verdana" w:hAnsi="Verdana" w:eastAsia="Calibri" w:cs="Times New Roman"/>
          <w:sz w:val="18"/>
          <w:szCs w:val="18"/>
        </w:rPr>
        <w:t xml:space="preserve">dankzij de inzet van Nederland binnen het Europees Sociaal Fonds (ESF+) </w:t>
      </w:r>
      <w:r w:rsidR="004D19F0">
        <w:rPr>
          <w:rFonts w:ascii="Verdana" w:hAnsi="Verdana" w:eastAsia="Calibri" w:cs="Times New Roman"/>
          <w:sz w:val="18"/>
          <w:szCs w:val="18"/>
        </w:rPr>
        <w:t>meer</w:t>
      </w:r>
      <w:r w:rsidRPr="00BB0631">
        <w:rPr>
          <w:rFonts w:ascii="Verdana" w:hAnsi="Verdana" w:eastAsia="Calibri" w:cs="Times New Roman"/>
          <w:sz w:val="18"/>
          <w:szCs w:val="18"/>
        </w:rPr>
        <w:t xml:space="preserve"> aandacht voor de integratie van migranten. Hierdoor kan ook via het cohesiebeleid een bijdrage worden geleverd aan de uitdagingen op deze terreinen. Ook is </w:t>
      </w:r>
      <w:r w:rsidR="00076814">
        <w:rPr>
          <w:rFonts w:ascii="Verdana" w:hAnsi="Verdana" w:eastAsia="Calibri" w:cs="Times New Roman"/>
          <w:sz w:val="18"/>
          <w:szCs w:val="18"/>
        </w:rPr>
        <w:t>binnen het budget</w:t>
      </w:r>
      <w:r w:rsidRPr="00BB0631">
        <w:rPr>
          <w:rFonts w:ascii="Verdana" w:hAnsi="Verdana" w:eastAsia="Calibri" w:cs="Times New Roman"/>
          <w:sz w:val="18"/>
          <w:szCs w:val="18"/>
        </w:rPr>
        <w:t xml:space="preserve"> sprake van een sterkere focus op de minst</w:t>
      </w:r>
      <w:r w:rsidR="00B03B09">
        <w:rPr>
          <w:rFonts w:ascii="Verdana" w:hAnsi="Verdana" w:eastAsia="Calibri" w:cs="Times New Roman"/>
          <w:sz w:val="18"/>
          <w:szCs w:val="18"/>
        </w:rPr>
        <w:t xml:space="preserve"> </w:t>
      </w:r>
      <w:r w:rsidRPr="00BB0631">
        <w:rPr>
          <w:rFonts w:ascii="Verdana" w:hAnsi="Verdana" w:eastAsia="Calibri" w:cs="Times New Roman"/>
          <w:sz w:val="18"/>
          <w:szCs w:val="18"/>
        </w:rPr>
        <w:t xml:space="preserve">welvarende regio’s en lidstaten. Tot slot is het kabinet tevreden dat de zogenoemde macro-economische conditionaliteit behouden blijft (in lijn met de motie-Mulder/Omtzigt, </w:t>
      </w:r>
      <w:r w:rsidRPr="00884684" w:rsidR="00884684">
        <w:rPr>
          <w:rFonts w:ascii="Verdana" w:hAnsi="Verdana" w:eastAsia="Calibri" w:cs="Times New Roman"/>
          <w:sz w:val="18"/>
          <w:szCs w:val="18"/>
        </w:rPr>
        <w:t>Kamerstuk 35078, nr. 3</w:t>
      </w:r>
      <w:r w:rsidRPr="00BB0631">
        <w:rPr>
          <w:rFonts w:ascii="Verdana" w:hAnsi="Verdana" w:eastAsia="Calibri" w:cs="Times New Roman"/>
          <w:sz w:val="18"/>
          <w:szCs w:val="18"/>
        </w:rPr>
        <w:t xml:space="preserve">) en dat er mede op aandringen van Nederland bij de programmering een koppeling is gemaakt met structurele hervormingen </w:t>
      </w:r>
      <w:r w:rsidR="00CB1EB8">
        <w:rPr>
          <w:rFonts w:ascii="Verdana" w:hAnsi="Verdana" w:eastAsia="Calibri" w:cs="Times New Roman"/>
          <w:sz w:val="18"/>
          <w:szCs w:val="18"/>
        </w:rPr>
        <w:t xml:space="preserve">middels de </w:t>
      </w:r>
      <w:r w:rsidRPr="00BB0631">
        <w:rPr>
          <w:rFonts w:ascii="Verdana" w:hAnsi="Verdana" w:eastAsia="Calibri" w:cs="Times New Roman"/>
          <w:sz w:val="18"/>
          <w:szCs w:val="18"/>
        </w:rPr>
        <w:t>landspecifieke aanbevelingen</w:t>
      </w:r>
      <w:r w:rsidR="00076814">
        <w:rPr>
          <w:rFonts w:ascii="Verdana" w:hAnsi="Verdana" w:eastAsia="Calibri" w:cs="Times New Roman"/>
          <w:sz w:val="18"/>
          <w:szCs w:val="18"/>
        </w:rPr>
        <w:t>, zowel bij de programmering aan het begin als bij de tussentijdse evaluatie in 2025</w:t>
      </w:r>
      <w:r w:rsidRPr="00BB0631">
        <w:rPr>
          <w:rFonts w:ascii="Verdana" w:hAnsi="Verdana" w:eastAsia="Calibri" w:cs="Times New Roman"/>
          <w:sz w:val="18"/>
          <w:szCs w:val="18"/>
        </w:rPr>
        <w:t xml:space="preserve">. </w:t>
      </w:r>
    </w:p>
    <w:p w:rsidRPr="00BB0631" w:rsidR="00BB0631" w:rsidP="00BB0631" w:rsidRDefault="00BB0631" w14:paraId="5DE39711" w14:textId="70BFFA04">
      <w:pPr>
        <w:jc w:val="both"/>
        <w:rPr>
          <w:rFonts w:ascii="Verdana" w:hAnsi="Verdana" w:eastAsia="Calibri" w:cs="Times New Roman"/>
          <w:sz w:val="18"/>
          <w:szCs w:val="18"/>
        </w:rPr>
      </w:pPr>
      <w:r w:rsidRPr="00BB0631">
        <w:rPr>
          <w:rFonts w:ascii="Verdana" w:hAnsi="Verdana" w:eastAsia="Calibri" w:cs="Times New Roman"/>
          <w:sz w:val="18"/>
          <w:szCs w:val="18"/>
        </w:rPr>
        <w:t xml:space="preserve">Ook het budget voor het Gemeenschappelijk Landbouwbeleid (GLB) daalt met </w:t>
      </w:r>
      <w:r w:rsidRPr="007D5DED" w:rsidR="00AA4124">
        <w:rPr>
          <w:rFonts w:ascii="Verdana" w:hAnsi="Verdana" w:eastAsia="Calibri" w:cs="Times New Roman"/>
          <w:sz w:val="18"/>
          <w:szCs w:val="18"/>
        </w:rPr>
        <w:t>14</w:t>
      </w:r>
      <w:r w:rsidRPr="007D5DED">
        <w:rPr>
          <w:rFonts w:ascii="Verdana" w:hAnsi="Verdana" w:eastAsia="Calibri" w:cs="Times New Roman"/>
          <w:sz w:val="18"/>
          <w:szCs w:val="18"/>
        </w:rPr>
        <w:t>%</w:t>
      </w:r>
      <w:r w:rsidRPr="00BB0631">
        <w:rPr>
          <w:rFonts w:ascii="Verdana" w:hAnsi="Verdana" w:eastAsia="Calibri" w:cs="Times New Roman"/>
          <w:sz w:val="18"/>
          <w:szCs w:val="18"/>
        </w:rPr>
        <w:t xml:space="preserve"> in reële termen tot </w:t>
      </w:r>
      <w:r w:rsidRPr="007D5DED" w:rsidR="00AA4124">
        <w:rPr>
          <w:rFonts w:ascii="Verdana" w:hAnsi="Verdana" w:eastAsia="Calibri" w:cs="Times New Roman"/>
          <w:sz w:val="18"/>
          <w:szCs w:val="18"/>
        </w:rPr>
        <w:t>336</w:t>
      </w:r>
      <w:r w:rsidRPr="007D5DED">
        <w:rPr>
          <w:rFonts w:ascii="Verdana" w:hAnsi="Verdana" w:eastAsia="Calibri" w:cs="Times New Roman"/>
          <w:sz w:val="18"/>
          <w:szCs w:val="18"/>
        </w:rPr>
        <w:t xml:space="preserve"> </w:t>
      </w:r>
      <w:r w:rsidR="00C330C1">
        <w:rPr>
          <w:rFonts w:ascii="Verdana" w:hAnsi="Verdana" w:eastAsia="Calibri" w:cs="Times New Roman"/>
          <w:sz w:val="18"/>
          <w:szCs w:val="18"/>
        </w:rPr>
        <w:t>miljard</w:t>
      </w:r>
      <w:r w:rsidRPr="00BB0631">
        <w:rPr>
          <w:rFonts w:ascii="Verdana" w:hAnsi="Verdana" w:eastAsia="Calibri" w:cs="Times New Roman"/>
          <w:sz w:val="18"/>
          <w:szCs w:val="18"/>
        </w:rPr>
        <w:t xml:space="preserve"> euro. De inhoudelijke modernisering van het GLB blijft achter bij de ambities die Nederland op dit terrein heeft geformuleerd. In het akkoord is ook opgenomen dat de </w:t>
      </w:r>
      <w:r w:rsidRPr="00BB0631">
        <w:rPr>
          <w:rFonts w:ascii="Verdana" w:hAnsi="Verdana" w:eastAsia="Times New Roman" w:cs="Times New Roman"/>
          <w:sz w:val="18"/>
          <w:szCs w:val="18"/>
          <w:lang w:eastAsia="nl-NL"/>
        </w:rPr>
        <w:t>verschillen in het budget per hectare dat lidstaten onder de 1</w:t>
      </w:r>
      <w:r w:rsidRPr="00BB0631">
        <w:rPr>
          <w:rFonts w:ascii="Verdana" w:hAnsi="Verdana" w:eastAsia="Times New Roman" w:cs="Times New Roman"/>
          <w:sz w:val="18"/>
          <w:szCs w:val="18"/>
          <w:vertAlign w:val="superscript"/>
          <w:lang w:eastAsia="nl-NL"/>
        </w:rPr>
        <w:t>e</w:t>
      </w:r>
      <w:r w:rsidRPr="00BB0631">
        <w:rPr>
          <w:rFonts w:ascii="Verdana" w:hAnsi="Verdana" w:eastAsia="Times New Roman" w:cs="Times New Roman"/>
          <w:sz w:val="18"/>
          <w:szCs w:val="18"/>
          <w:lang w:eastAsia="nl-NL"/>
        </w:rPr>
        <w:t xml:space="preserve"> pijler van het GLB ontvangen</w:t>
      </w:r>
      <w:r w:rsidR="00E6224E">
        <w:rPr>
          <w:rFonts w:ascii="Verdana" w:hAnsi="Verdana" w:eastAsia="Calibri" w:cs="Times New Roman"/>
          <w:sz w:val="18"/>
          <w:szCs w:val="18"/>
        </w:rPr>
        <w:t xml:space="preserve"> </w:t>
      </w:r>
      <w:r w:rsidRPr="00BB0631">
        <w:rPr>
          <w:rFonts w:ascii="Verdana" w:hAnsi="Verdana" w:eastAsia="Times New Roman" w:cs="Times New Roman"/>
          <w:sz w:val="18"/>
          <w:szCs w:val="18"/>
          <w:lang w:eastAsia="nl-NL"/>
        </w:rPr>
        <w:t>in beperkte mate verder worden afgebouwd</w:t>
      </w:r>
      <w:r w:rsidR="00AA4124">
        <w:rPr>
          <w:rFonts w:ascii="Verdana" w:hAnsi="Verdana" w:eastAsia="Times New Roman" w:cs="Times New Roman"/>
          <w:sz w:val="18"/>
          <w:szCs w:val="18"/>
          <w:lang w:eastAsia="nl-NL"/>
        </w:rPr>
        <w:t xml:space="preserve"> (externe convergentie)</w:t>
      </w:r>
      <w:r w:rsidRPr="00BB0631">
        <w:rPr>
          <w:rFonts w:ascii="Verdana" w:hAnsi="Verdana" w:eastAsia="Calibri" w:cs="Times New Roman"/>
          <w:sz w:val="18"/>
          <w:szCs w:val="18"/>
        </w:rPr>
        <w:t>. Nederland heeft zich in de MFK-onderhandelingen samen met gelijkgezinden verzet tegen verdergaande externe convergentie (in lijn met de motie-Madlener, Kamerstuk 28625, nr. 267). Aan de andere kant waren er lidstaten die aandrongen op volledige harmonisering van de hectarepremies. De uitkomst is dat lidstaten met directe hectarebetalingen die in 2020 onder 90% van het EU</w:t>
      </w:r>
      <w:r w:rsidR="00B03B09">
        <w:rPr>
          <w:rFonts w:ascii="Verdana" w:hAnsi="Verdana" w:eastAsia="Calibri" w:cs="Times New Roman"/>
          <w:sz w:val="18"/>
          <w:szCs w:val="18"/>
        </w:rPr>
        <w:t>-</w:t>
      </w:r>
      <w:r w:rsidRPr="00BB0631">
        <w:rPr>
          <w:rFonts w:ascii="Verdana" w:hAnsi="Verdana" w:eastAsia="Calibri" w:cs="Times New Roman"/>
          <w:sz w:val="18"/>
          <w:szCs w:val="18"/>
        </w:rPr>
        <w:t>gemiddelde zitten, dit verschil halveren in zes gelijke stappen vanaf 2022</w:t>
      </w:r>
      <w:r w:rsidR="00E6224E">
        <w:rPr>
          <w:rFonts w:ascii="Verdana" w:hAnsi="Verdana" w:eastAsia="Calibri" w:cs="Times New Roman"/>
          <w:sz w:val="18"/>
          <w:szCs w:val="18"/>
        </w:rPr>
        <w:t xml:space="preserve"> en dat bovendien in 2022 en 2027 een bepaald minimumniveau wordt bereikt</w:t>
      </w:r>
      <w:r w:rsidRPr="00BB0631">
        <w:rPr>
          <w:rFonts w:ascii="Verdana" w:hAnsi="Verdana" w:eastAsia="Calibri" w:cs="Times New Roman"/>
          <w:sz w:val="18"/>
          <w:szCs w:val="18"/>
        </w:rPr>
        <w:t xml:space="preserve">. Als onderdeel van het totaalakkoord was dit </w:t>
      </w:r>
      <w:r w:rsidR="008733D1">
        <w:rPr>
          <w:rFonts w:ascii="Verdana" w:hAnsi="Verdana" w:eastAsia="Calibri" w:cs="Times New Roman"/>
          <w:sz w:val="18"/>
          <w:szCs w:val="18"/>
        </w:rPr>
        <w:t>gezien het krachtenveld</w:t>
      </w:r>
      <w:r w:rsidRPr="00BB0631">
        <w:rPr>
          <w:rFonts w:ascii="Verdana" w:hAnsi="Verdana" w:eastAsia="Calibri" w:cs="Times New Roman"/>
          <w:sz w:val="18"/>
          <w:szCs w:val="18"/>
        </w:rPr>
        <w:t xml:space="preserve"> voor het kabinet </w:t>
      </w:r>
      <w:r w:rsidRPr="00BB0631">
        <w:rPr>
          <w:rFonts w:ascii="Verdana" w:hAnsi="Verdana" w:eastAsia="Times New Roman" w:cs="Times New Roman"/>
          <w:sz w:val="18"/>
          <w:szCs w:val="18"/>
          <w:lang w:eastAsia="nl-NL"/>
        </w:rPr>
        <w:t>de best mogelijke uitkomst</w:t>
      </w:r>
      <w:r w:rsidRPr="00BB0631">
        <w:rPr>
          <w:rFonts w:ascii="Verdana" w:hAnsi="Verdana" w:eastAsia="Calibri" w:cs="Times New Roman"/>
          <w:sz w:val="18"/>
          <w:szCs w:val="18"/>
        </w:rPr>
        <w:t xml:space="preserve">. </w:t>
      </w:r>
    </w:p>
    <w:p w:rsidR="00BB0631" w:rsidP="00BB0631" w:rsidRDefault="00BB0631" w14:paraId="7F273EEA" w14:textId="1AF53871">
      <w:pPr>
        <w:jc w:val="both"/>
        <w:rPr>
          <w:rFonts w:ascii="Verdana" w:hAnsi="Verdana" w:eastAsia="Calibri" w:cs="Times New Roman"/>
          <w:sz w:val="18"/>
          <w:szCs w:val="18"/>
        </w:rPr>
      </w:pPr>
      <w:r w:rsidRPr="00BB0631">
        <w:rPr>
          <w:rFonts w:ascii="Verdana" w:hAnsi="Verdana" w:eastAsia="Calibri" w:cs="Times New Roman"/>
          <w:sz w:val="18"/>
          <w:szCs w:val="18"/>
        </w:rPr>
        <w:t>De uitgav</w:t>
      </w:r>
      <w:r w:rsidR="00E6224E">
        <w:rPr>
          <w:rFonts w:ascii="Verdana" w:hAnsi="Verdana" w:eastAsia="Calibri" w:cs="Times New Roman"/>
          <w:sz w:val="18"/>
          <w:szCs w:val="18"/>
        </w:rPr>
        <w:t>encategorieën voor Migratie en G</w:t>
      </w:r>
      <w:r w:rsidRPr="00BB0631">
        <w:rPr>
          <w:rFonts w:ascii="Verdana" w:hAnsi="Verdana" w:eastAsia="Calibri" w:cs="Times New Roman"/>
          <w:sz w:val="18"/>
          <w:szCs w:val="18"/>
        </w:rPr>
        <w:t>rensma</w:t>
      </w:r>
      <w:r w:rsidR="00E6224E">
        <w:rPr>
          <w:rFonts w:ascii="Verdana" w:hAnsi="Verdana" w:eastAsia="Calibri" w:cs="Times New Roman"/>
          <w:sz w:val="18"/>
          <w:szCs w:val="18"/>
        </w:rPr>
        <w:t>nagement en voor Veiligheid en D</w:t>
      </w:r>
      <w:r w:rsidRPr="00BB0631">
        <w:rPr>
          <w:rFonts w:ascii="Verdana" w:hAnsi="Verdana" w:eastAsia="Calibri" w:cs="Times New Roman"/>
          <w:sz w:val="18"/>
          <w:szCs w:val="18"/>
        </w:rPr>
        <w:t xml:space="preserve">efensie nemen sterk toe ten opzichte van de huidige MFK-periode. Het kabinet heeft zich ingezet voor een sterkere reflectie van deze beleidsterreinen in het nieuwe MFK, om de Unie in staat te stellen de uitdagingen op deze terreinen het hoofd te bieden, zowel binnen de Unie als daarbuiten. Zo wordt er </w:t>
      </w:r>
      <w:r w:rsidR="007044CD">
        <w:rPr>
          <w:rFonts w:ascii="Verdana" w:hAnsi="Verdana" w:eastAsia="Calibri" w:cs="Times New Roman"/>
          <w:sz w:val="18"/>
          <w:szCs w:val="18"/>
        </w:rPr>
        <w:t xml:space="preserve">een </w:t>
      </w:r>
      <w:r w:rsidRPr="00BB0631">
        <w:rPr>
          <w:rFonts w:ascii="Verdana" w:hAnsi="Verdana" w:eastAsia="Calibri" w:cs="Times New Roman"/>
          <w:sz w:val="18"/>
          <w:szCs w:val="18"/>
        </w:rPr>
        <w:t xml:space="preserve">Europees Defensiefonds van </w:t>
      </w:r>
      <w:r w:rsidR="00E6224E">
        <w:rPr>
          <w:rFonts w:ascii="Verdana" w:hAnsi="Verdana" w:eastAsia="Calibri" w:cs="Times New Roman"/>
          <w:sz w:val="18"/>
          <w:szCs w:val="18"/>
        </w:rPr>
        <w:t xml:space="preserve">7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 xml:space="preserve">euro opgericht en wordt vanuit de Connect Europe Facility </w:t>
      </w:r>
      <w:r w:rsidR="00E6224E">
        <w:rPr>
          <w:rFonts w:ascii="Verdana" w:hAnsi="Verdana" w:eastAsia="Calibri" w:cs="Times New Roman"/>
          <w:sz w:val="18"/>
          <w:szCs w:val="18"/>
        </w:rPr>
        <w:t xml:space="preserve">1,5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 xml:space="preserve">gereserveerd voor </w:t>
      </w:r>
      <w:r w:rsidR="00E6224E">
        <w:rPr>
          <w:rFonts w:ascii="Verdana" w:hAnsi="Verdana" w:eastAsia="Calibri" w:cs="Times New Roman"/>
          <w:sz w:val="18"/>
          <w:szCs w:val="18"/>
        </w:rPr>
        <w:t xml:space="preserve">de </w:t>
      </w:r>
      <w:r w:rsidRPr="00BB0631">
        <w:rPr>
          <w:rFonts w:ascii="Verdana" w:hAnsi="Verdana" w:eastAsia="Calibri" w:cs="Times New Roman"/>
          <w:sz w:val="18"/>
          <w:szCs w:val="18"/>
        </w:rPr>
        <w:t>versterking van infrastructuurnetwerken ten behoeve van militaire mobiliteit. Het Europees Grens- en Kustwachtagentschap Frontex wordt versterkt met een budget van</w:t>
      </w:r>
      <w:r w:rsidR="00317B08">
        <w:rPr>
          <w:rFonts w:ascii="Verdana" w:hAnsi="Verdana" w:eastAsia="Calibri" w:cs="Times New Roman"/>
          <w:sz w:val="18"/>
          <w:szCs w:val="18"/>
        </w:rPr>
        <w:t xml:space="preserve"> 5,1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euro. Verder verwelkomt het kabinet de overeengekomen stijging van de budgetten voor de JBZ-agentschappen Europol en Eurojust (ten minste 10% reële stijging ten opzichte van 2020) en de conclusie dat het EOM en het Europees Bureau voor Fraudebestrijding (OLAF) adequaat moeten worden toegerust om de financiële belangen van de Unie te beschermen. Nederland heeft zich hiervoor ingezet.</w:t>
      </w:r>
    </w:p>
    <w:p w:rsidRPr="00BB0631" w:rsidR="00BB0631" w:rsidP="00BB0631" w:rsidRDefault="00BB0631" w14:paraId="26A14EB6" w14:textId="5FA3751F">
      <w:pPr>
        <w:jc w:val="both"/>
        <w:rPr>
          <w:rFonts w:ascii="Verdana" w:hAnsi="Verdana" w:eastAsia="Calibri" w:cs="Times New Roman"/>
          <w:sz w:val="18"/>
          <w:szCs w:val="18"/>
        </w:rPr>
      </w:pPr>
      <w:r w:rsidRPr="00317B08">
        <w:rPr>
          <w:rFonts w:ascii="Verdana" w:hAnsi="Verdana" w:eastAsia="Calibri" w:cs="Times New Roman"/>
          <w:sz w:val="18"/>
          <w:szCs w:val="18"/>
        </w:rPr>
        <w:t xml:space="preserve">In het </w:t>
      </w:r>
      <w:r w:rsidRPr="00317B08" w:rsidR="00317B08">
        <w:rPr>
          <w:rFonts w:ascii="Verdana" w:hAnsi="Verdana" w:eastAsia="Calibri" w:cs="Times New Roman"/>
          <w:sz w:val="18"/>
          <w:szCs w:val="18"/>
        </w:rPr>
        <w:t xml:space="preserve">MFK is </w:t>
      </w:r>
      <w:r w:rsidRPr="00317B08">
        <w:rPr>
          <w:rFonts w:ascii="Verdana" w:hAnsi="Verdana" w:eastAsia="Calibri" w:cs="Times New Roman"/>
          <w:sz w:val="18"/>
          <w:szCs w:val="18"/>
        </w:rPr>
        <w:t xml:space="preserve">1,1 miljard gereserveerd voor </w:t>
      </w:r>
      <w:r w:rsidRPr="00317B08" w:rsidR="00317B08">
        <w:rPr>
          <w:rFonts w:ascii="Verdana" w:hAnsi="Verdana" w:eastAsia="Calibri" w:cs="Times New Roman"/>
          <w:sz w:val="18"/>
          <w:szCs w:val="18"/>
        </w:rPr>
        <w:t>het Uniemechanisme voor civiele bescherming (UCPM/R</w:t>
      </w:r>
      <w:r w:rsidRPr="00317B08">
        <w:rPr>
          <w:rFonts w:ascii="Verdana" w:hAnsi="Verdana" w:eastAsia="Calibri" w:cs="Times New Roman"/>
          <w:sz w:val="18"/>
          <w:szCs w:val="18"/>
        </w:rPr>
        <w:t>escEU</w:t>
      </w:r>
      <w:r w:rsidRPr="00317B08" w:rsidR="00317B08">
        <w:rPr>
          <w:rFonts w:ascii="Verdana" w:hAnsi="Verdana" w:eastAsia="Calibri" w:cs="Times New Roman"/>
          <w:sz w:val="18"/>
          <w:szCs w:val="18"/>
        </w:rPr>
        <w:t>), aangevuld met 1,9 miljard uit het herstelinstrument (zie verder)</w:t>
      </w:r>
      <w:r w:rsidRPr="00317B08">
        <w:rPr>
          <w:rFonts w:ascii="Verdana" w:hAnsi="Verdana" w:eastAsia="Calibri" w:cs="Times New Roman"/>
          <w:sz w:val="18"/>
          <w:szCs w:val="18"/>
        </w:rPr>
        <w:t xml:space="preserve">. Dit hangt samen met een </w:t>
      </w:r>
      <w:r w:rsidRPr="00317B08" w:rsidR="00317B08">
        <w:rPr>
          <w:rFonts w:ascii="Verdana" w:hAnsi="Verdana" w:eastAsia="Calibri" w:cs="Times New Roman"/>
          <w:sz w:val="18"/>
          <w:szCs w:val="18"/>
        </w:rPr>
        <w:t xml:space="preserve">gewijzigd </w:t>
      </w:r>
      <w:r w:rsidRPr="00317B08">
        <w:rPr>
          <w:rFonts w:ascii="Verdana" w:hAnsi="Verdana" w:eastAsia="Calibri" w:cs="Times New Roman"/>
          <w:sz w:val="18"/>
          <w:szCs w:val="18"/>
        </w:rPr>
        <w:t xml:space="preserve">voorstel van de Commissie tot wijziging van </w:t>
      </w:r>
      <w:r w:rsidRPr="00317B08" w:rsidR="00317B08">
        <w:rPr>
          <w:rFonts w:ascii="Verdana" w:hAnsi="Verdana" w:eastAsia="Calibri" w:cs="Times New Roman"/>
          <w:sz w:val="18"/>
          <w:szCs w:val="18"/>
        </w:rPr>
        <w:t xml:space="preserve">UCPM. Uw Kamer is </w:t>
      </w:r>
      <w:r w:rsidRPr="00317B08">
        <w:rPr>
          <w:rFonts w:ascii="Verdana" w:hAnsi="Verdana" w:eastAsia="Calibri" w:cs="Times New Roman"/>
          <w:sz w:val="18"/>
          <w:szCs w:val="18"/>
        </w:rPr>
        <w:t xml:space="preserve">hierover </w:t>
      </w:r>
      <w:r w:rsidRPr="00317B08" w:rsidR="00317B08">
        <w:rPr>
          <w:rFonts w:ascii="Verdana" w:hAnsi="Verdana" w:eastAsia="Calibri" w:cs="Times New Roman"/>
          <w:sz w:val="18"/>
          <w:szCs w:val="18"/>
        </w:rPr>
        <w:t xml:space="preserve">op </w:t>
      </w:r>
      <w:r w:rsidRPr="00317B08">
        <w:rPr>
          <w:rFonts w:ascii="Verdana" w:hAnsi="Verdana" w:eastAsia="Calibri" w:cs="Times New Roman"/>
          <w:sz w:val="18"/>
          <w:szCs w:val="18"/>
        </w:rPr>
        <w:t>3 juli jl.</w:t>
      </w:r>
      <w:r w:rsidRPr="00317B08" w:rsidR="00317B08">
        <w:rPr>
          <w:rFonts w:ascii="Verdana" w:hAnsi="Verdana" w:eastAsia="Calibri" w:cs="Times New Roman"/>
          <w:sz w:val="18"/>
          <w:szCs w:val="18"/>
        </w:rPr>
        <w:t xml:space="preserve"> schriftelijk geïnformeerd (Kamerstuk 21501-20, nr. 1573). </w:t>
      </w:r>
      <w:r w:rsidRPr="00317B08">
        <w:rPr>
          <w:rFonts w:ascii="Verdana" w:hAnsi="Verdana" w:eastAsia="Calibri" w:cs="Times New Roman"/>
          <w:sz w:val="18"/>
          <w:szCs w:val="18"/>
        </w:rPr>
        <w:t>Met het oog op een voldoende afgewogen discussie in de Raad, voldoende tijd voor inhoudelijke besluitvorming en het zeker stellen van financiering voor het UCPM voor de komende jaren heeft het Duits</w:t>
      </w:r>
      <w:r w:rsidRPr="00317B08" w:rsidR="00317B08">
        <w:rPr>
          <w:rFonts w:ascii="Verdana" w:hAnsi="Verdana" w:eastAsia="Calibri" w:cs="Times New Roman"/>
          <w:sz w:val="18"/>
          <w:szCs w:val="18"/>
        </w:rPr>
        <w:t>e</w:t>
      </w:r>
      <w:r w:rsidRPr="00317B08">
        <w:rPr>
          <w:rFonts w:ascii="Verdana" w:hAnsi="Verdana" w:eastAsia="Calibri" w:cs="Times New Roman"/>
          <w:sz w:val="18"/>
          <w:szCs w:val="18"/>
        </w:rPr>
        <w:t xml:space="preserve"> </w:t>
      </w:r>
      <w:r w:rsidRPr="00317B08" w:rsidR="00317B08">
        <w:rPr>
          <w:rFonts w:ascii="Verdana" w:hAnsi="Verdana" w:eastAsia="Calibri" w:cs="Times New Roman"/>
          <w:sz w:val="18"/>
          <w:szCs w:val="18"/>
        </w:rPr>
        <w:t>EU-</w:t>
      </w:r>
      <w:r w:rsidRPr="00317B08">
        <w:rPr>
          <w:rFonts w:ascii="Verdana" w:hAnsi="Verdana" w:eastAsia="Calibri" w:cs="Times New Roman"/>
          <w:sz w:val="18"/>
          <w:szCs w:val="18"/>
        </w:rPr>
        <w:t>voorzitterschap aangegeven het inhoudelijke voorstel te willen splitsen van het financiële akkoord dat nu</w:t>
      </w:r>
      <w:r w:rsidRPr="00317B08" w:rsidR="00317B08">
        <w:rPr>
          <w:rFonts w:ascii="Verdana" w:hAnsi="Verdana" w:eastAsia="Calibri" w:cs="Times New Roman"/>
          <w:sz w:val="18"/>
          <w:szCs w:val="18"/>
        </w:rPr>
        <w:t xml:space="preserve"> in de </w:t>
      </w:r>
      <w:r w:rsidRPr="00317B08" w:rsidR="00317B08">
        <w:rPr>
          <w:rFonts w:ascii="Verdana" w:hAnsi="Verdana" w:eastAsia="Calibri" w:cs="Times New Roman"/>
          <w:sz w:val="18"/>
          <w:szCs w:val="18"/>
        </w:rPr>
        <w:lastRenderedPageBreak/>
        <w:t>Europese R</w:t>
      </w:r>
      <w:r w:rsidRPr="00317B08">
        <w:rPr>
          <w:rFonts w:ascii="Verdana" w:hAnsi="Verdana" w:eastAsia="Calibri" w:cs="Times New Roman"/>
          <w:sz w:val="18"/>
          <w:szCs w:val="18"/>
        </w:rPr>
        <w:t>aad is bereikt. Het kabinet is voornemens hier mee in te stemmen, mede omdat dit ruimte geeft om geleerde lessen uit de COVID</w:t>
      </w:r>
      <w:r w:rsidR="00B03B09">
        <w:rPr>
          <w:rFonts w:ascii="Verdana" w:hAnsi="Verdana" w:eastAsia="Calibri" w:cs="Times New Roman"/>
          <w:sz w:val="18"/>
          <w:szCs w:val="18"/>
        </w:rPr>
        <w:t>-</w:t>
      </w:r>
      <w:r w:rsidRPr="00317B08">
        <w:rPr>
          <w:rFonts w:ascii="Verdana" w:hAnsi="Verdana" w:eastAsia="Calibri" w:cs="Times New Roman"/>
          <w:sz w:val="18"/>
          <w:szCs w:val="18"/>
        </w:rPr>
        <w:t>19</w:t>
      </w:r>
      <w:r w:rsidR="00B03B09">
        <w:rPr>
          <w:rFonts w:ascii="Verdana" w:hAnsi="Verdana" w:eastAsia="Calibri" w:cs="Times New Roman"/>
          <w:sz w:val="18"/>
          <w:szCs w:val="18"/>
        </w:rPr>
        <w:t>-</w:t>
      </w:r>
      <w:r w:rsidRPr="00317B08">
        <w:rPr>
          <w:rFonts w:ascii="Verdana" w:hAnsi="Verdana" w:eastAsia="Calibri" w:cs="Times New Roman"/>
          <w:sz w:val="18"/>
          <w:szCs w:val="18"/>
        </w:rPr>
        <w:t xml:space="preserve">crisis mee te nemen in de inhoudelijke discussie over het voorstel. </w:t>
      </w:r>
    </w:p>
    <w:p w:rsidRPr="00BB0631" w:rsidR="00BB0631" w:rsidP="00BB0631" w:rsidRDefault="00BB0631" w14:paraId="1FA58BC0" w14:textId="676B7771">
      <w:pPr>
        <w:jc w:val="both"/>
        <w:rPr>
          <w:rFonts w:ascii="Verdana" w:hAnsi="Verdana" w:eastAsia="Calibri" w:cs="Times New Roman"/>
          <w:sz w:val="18"/>
          <w:szCs w:val="18"/>
        </w:rPr>
      </w:pPr>
      <w:r w:rsidRPr="00BB0631">
        <w:rPr>
          <w:rFonts w:ascii="Verdana" w:hAnsi="Verdana" w:eastAsia="Calibri" w:cs="Times New Roman"/>
          <w:sz w:val="18"/>
          <w:szCs w:val="18"/>
        </w:rPr>
        <w:t xml:space="preserve">Ten aanzien van het externe beleid heeft de </w:t>
      </w:r>
      <w:r w:rsidR="007044CD">
        <w:rPr>
          <w:rFonts w:ascii="Verdana" w:hAnsi="Verdana" w:eastAsia="Calibri" w:cs="Times New Roman"/>
          <w:sz w:val="18"/>
          <w:szCs w:val="18"/>
        </w:rPr>
        <w:t xml:space="preserve">Europese </w:t>
      </w:r>
      <w:r w:rsidRPr="00BB0631">
        <w:rPr>
          <w:rFonts w:ascii="Verdana" w:hAnsi="Verdana" w:eastAsia="Calibri" w:cs="Times New Roman"/>
          <w:sz w:val="18"/>
          <w:szCs w:val="18"/>
        </w:rPr>
        <w:t xml:space="preserve">Raad akkoord gegeven aan het </w:t>
      </w:r>
      <w:r w:rsidR="00317B08">
        <w:rPr>
          <w:rFonts w:ascii="Verdana" w:hAnsi="Verdana" w:eastAsia="Calibri" w:cs="Times New Roman"/>
          <w:sz w:val="18"/>
          <w:szCs w:val="18"/>
        </w:rPr>
        <w:t>Commissie</w:t>
      </w:r>
      <w:r w:rsidRPr="00BB0631">
        <w:rPr>
          <w:rFonts w:ascii="Verdana" w:hAnsi="Verdana" w:eastAsia="Calibri" w:cs="Times New Roman"/>
          <w:sz w:val="18"/>
          <w:szCs w:val="18"/>
        </w:rPr>
        <w:t xml:space="preserve">voorstel om de meeste huidige instrumenten samen te voegen in één instrument voor extern optreden, het </w:t>
      </w:r>
      <w:r w:rsidRPr="00BB0631">
        <w:rPr>
          <w:rFonts w:ascii="Verdana" w:hAnsi="Verdana" w:eastAsia="Calibri" w:cs="Times New Roman"/>
          <w:i/>
          <w:iCs/>
          <w:sz w:val="18"/>
          <w:szCs w:val="18"/>
        </w:rPr>
        <w:t>Neighbourhood, Development and International Cooperation Instrument</w:t>
      </w:r>
      <w:r w:rsidRPr="00BB0631">
        <w:rPr>
          <w:rFonts w:ascii="Verdana" w:hAnsi="Verdana" w:eastAsia="Calibri" w:cs="Times New Roman"/>
          <w:sz w:val="18"/>
          <w:szCs w:val="18"/>
        </w:rPr>
        <w:t xml:space="preserve"> (NDICI) met een totale envelop van </w:t>
      </w:r>
      <w:r w:rsidR="00317B08">
        <w:rPr>
          <w:rFonts w:ascii="Verdana" w:hAnsi="Verdana" w:eastAsia="Calibri" w:cs="Times New Roman"/>
          <w:sz w:val="18"/>
          <w:szCs w:val="18"/>
        </w:rPr>
        <w:t>70,8</w:t>
      </w:r>
      <w:r w:rsidRPr="00BB0631">
        <w:rPr>
          <w:rFonts w:ascii="Verdana" w:hAnsi="Verdana" w:eastAsia="Calibri" w:cs="Times New Roman"/>
          <w:sz w:val="18"/>
          <w:szCs w:val="18"/>
        </w:rPr>
        <w:t xml:space="preserve">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 xml:space="preserve">euro. Dit instrument bevat een geografische, thematische en een </w:t>
      </w:r>
      <w:r w:rsidRPr="00BB0631">
        <w:rPr>
          <w:rFonts w:ascii="Verdana" w:hAnsi="Verdana" w:eastAsia="Calibri" w:cs="Times New Roman"/>
          <w:i/>
          <w:sz w:val="18"/>
          <w:szCs w:val="18"/>
        </w:rPr>
        <w:t>Rapid Response</w:t>
      </w:r>
      <w:r w:rsidR="00B03B09">
        <w:rPr>
          <w:rFonts w:ascii="Verdana" w:hAnsi="Verdana" w:eastAsia="Calibri" w:cs="Times New Roman"/>
          <w:sz w:val="18"/>
          <w:szCs w:val="18"/>
        </w:rPr>
        <w:t>-</w:t>
      </w:r>
      <w:r w:rsidRPr="00BB0631">
        <w:rPr>
          <w:rFonts w:ascii="Verdana" w:hAnsi="Verdana" w:eastAsia="Calibri" w:cs="Times New Roman"/>
          <w:sz w:val="18"/>
          <w:szCs w:val="18"/>
        </w:rPr>
        <w:t>pilaar om in te kunnen spelen op onvoorziene omstandigheden. Het Instrument voor Pre-accessie (IPA) blijft apart (</w:t>
      </w:r>
      <w:r w:rsidRPr="008A106E" w:rsidR="00317B08">
        <w:rPr>
          <w:rFonts w:ascii="Verdana" w:hAnsi="Verdana" w:eastAsia="Calibri" w:cs="Times New Roman"/>
          <w:sz w:val="18"/>
          <w:szCs w:val="18"/>
        </w:rPr>
        <w:t xml:space="preserve">12,6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euro), evenals het budget voor Humanitaire Hulp (</w:t>
      </w:r>
      <w:r w:rsidRPr="008A106E" w:rsidR="00317B08">
        <w:rPr>
          <w:rFonts w:ascii="Verdana" w:hAnsi="Verdana" w:eastAsia="Calibri" w:cs="Times New Roman"/>
          <w:sz w:val="18"/>
          <w:szCs w:val="18"/>
        </w:rPr>
        <w:t xml:space="preserve">9,8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 xml:space="preserve">euro). Ook is een apart budget voorzien van </w:t>
      </w:r>
      <w:r w:rsidRPr="008A106E" w:rsidR="00317B08">
        <w:rPr>
          <w:rFonts w:ascii="Verdana" w:hAnsi="Verdana" w:eastAsia="Calibri" w:cs="Times New Roman"/>
          <w:sz w:val="18"/>
          <w:szCs w:val="18"/>
        </w:rPr>
        <w:t xml:space="preserve">444 </w:t>
      </w:r>
      <w:r w:rsidR="005C156B">
        <w:rPr>
          <w:rFonts w:ascii="Verdana" w:hAnsi="Verdana" w:eastAsia="Calibri" w:cs="Times New Roman"/>
          <w:sz w:val="18"/>
          <w:szCs w:val="18"/>
        </w:rPr>
        <w:t>miljoen</w:t>
      </w:r>
      <w:r w:rsidRPr="00BB0631">
        <w:rPr>
          <w:rFonts w:ascii="Verdana" w:hAnsi="Verdana" w:eastAsia="Calibri" w:cs="Times New Roman"/>
          <w:sz w:val="18"/>
          <w:szCs w:val="18"/>
        </w:rPr>
        <w:t xml:space="preserve"> euro voor EU-steun aan Landen en Gebieden Overzee (LGO), </w:t>
      </w:r>
      <w:r w:rsidR="00B529D9">
        <w:rPr>
          <w:rFonts w:ascii="Verdana" w:hAnsi="Verdana" w:eastAsia="Calibri" w:cs="Times New Roman"/>
          <w:sz w:val="18"/>
          <w:szCs w:val="18"/>
        </w:rPr>
        <w:t>waar</w:t>
      </w:r>
      <w:r w:rsidRPr="00BB0631">
        <w:rPr>
          <w:rFonts w:ascii="Verdana" w:hAnsi="Verdana" w:eastAsia="Calibri" w:cs="Times New Roman"/>
          <w:sz w:val="18"/>
          <w:szCs w:val="18"/>
        </w:rPr>
        <w:t xml:space="preserve"> de Caribische delen van </w:t>
      </w:r>
      <w:r w:rsidR="00034F2D">
        <w:rPr>
          <w:rFonts w:ascii="Verdana" w:hAnsi="Verdana" w:eastAsia="Calibri" w:cs="Times New Roman"/>
          <w:sz w:val="18"/>
          <w:szCs w:val="18"/>
        </w:rPr>
        <w:t>het</w:t>
      </w:r>
      <w:r w:rsidRPr="00BB0631" w:rsidR="00034F2D">
        <w:rPr>
          <w:rFonts w:ascii="Verdana" w:hAnsi="Verdana" w:eastAsia="Calibri" w:cs="Times New Roman"/>
          <w:sz w:val="18"/>
          <w:szCs w:val="18"/>
        </w:rPr>
        <w:t xml:space="preserve"> </w:t>
      </w:r>
      <w:r w:rsidRPr="00BB0631">
        <w:rPr>
          <w:rFonts w:ascii="Verdana" w:hAnsi="Verdana" w:eastAsia="Calibri" w:cs="Times New Roman"/>
          <w:sz w:val="18"/>
          <w:szCs w:val="18"/>
        </w:rPr>
        <w:t>Koninkrijk</w:t>
      </w:r>
      <w:r w:rsidR="00B529D9">
        <w:rPr>
          <w:rFonts w:ascii="Verdana" w:hAnsi="Verdana" w:eastAsia="Calibri" w:cs="Times New Roman"/>
          <w:sz w:val="18"/>
          <w:szCs w:val="18"/>
        </w:rPr>
        <w:t xml:space="preserve"> ook onder vallen</w:t>
      </w:r>
      <w:r w:rsidRPr="00BB0631">
        <w:rPr>
          <w:rFonts w:ascii="Verdana" w:hAnsi="Verdana" w:eastAsia="Calibri" w:cs="Times New Roman"/>
          <w:sz w:val="18"/>
          <w:szCs w:val="18"/>
        </w:rPr>
        <w:t xml:space="preserve">. Daarnaast wordt het Europees Ontwikkelingsfonds (EOF) dat nu nog buiten het MFK staat, onder de EU-begroting gebracht. Buiten het MFK en de EU-begroting wordt vanaf 2021 een Europese Vredesfaciliteit opgezet (EPF). Dit fonds </w:t>
      </w:r>
      <w:r w:rsidR="00BE209F">
        <w:rPr>
          <w:rFonts w:ascii="Verdana" w:hAnsi="Verdana" w:eastAsia="Calibri" w:cs="Times New Roman"/>
          <w:sz w:val="18"/>
          <w:szCs w:val="18"/>
        </w:rPr>
        <w:t xml:space="preserve">van 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00BE209F">
        <w:rPr>
          <w:rFonts w:ascii="Verdana" w:hAnsi="Verdana" w:eastAsia="Calibri" w:cs="Times New Roman"/>
          <w:sz w:val="18"/>
          <w:szCs w:val="18"/>
        </w:rPr>
        <w:t xml:space="preserve">euro </w:t>
      </w:r>
      <w:r w:rsidRPr="00BB0631">
        <w:rPr>
          <w:rFonts w:ascii="Verdana" w:hAnsi="Verdana" w:eastAsia="Calibri" w:cs="Times New Roman"/>
          <w:sz w:val="18"/>
          <w:szCs w:val="18"/>
        </w:rPr>
        <w:t xml:space="preserve">dient ter financiering van EU (militaire) missies en operaties, capaciteitsopbouw en steun aan militaire vredesoperaties. De EPF wordt gefinancierd met bilaterale bijdragen van lidstaten naar rato van hun </w:t>
      </w:r>
      <w:r w:rsidRPr="00AA4124" w:rsidR="00AA4124">
        <w:rPr>
          <w:rFonts w:ascii="Verdana" w:hAnsi="Verdana" w:eastAsia="Calibri" w:cs="Times New Roman"/>
          <w:sz w:val="18"/>
          <w:szCs w:val="18"/>
        </w:rPr>
        <w:t>bni</w:t>
      </w:r>
      <w:r w:rsidRPr="00BB0631">
        <w:rPr>
          <w:rFonts w:ascii="Verdana" w:hAnsi="Verdana" w:eastAsia="Calibri" w:cs="Times New Roman"/>
          <w:sz w:val="18"/>
          <w:szCs w:val="18"/>
        </w:rPr>
        <w:t xml:space="preserve">-aandeel. Op basis van een </w:t>
      </w:r>
      <w:r w:rsidRPr="00AA4124" w:rsidR="00AA4124">
        <w:rPr>
          <w:rFonts w:ascii="Verdana" w:hAnsi="Verdana" w:eastAsia="Calibri" w:cs="Times New Roman"/>
          <w:sz w:val="18"/>
          <w:szCs w:val="18"/>
        </w:rPr>
        <w:t>bni</w:t>
      </w:r>
      <w:r w:rsidRPr="00BB0631">
        <w:rPr>
          <w:rFonts w:ascii="Verdana" w:hAnsi="Verdana" w:eastAsia="Calibri" w:cs="Times New Roman"/>
          <w:sz w:val="18"/>
          <w:szCs w:val="18"/>
        </w:rPr>
        <w:t xml:space="preserve">-sleutel van gemiddeld </w:t>
      </w:r>
      <w:r w:rsidRPr="00AA4124">
        <w:rPr>
          <w:rFonts w:ascii="Verdana" w:hAnsi="Verdana" w:eastAsia="Calibri" w:cs="Times New Roman"/>
          <w:sz w:val="18"/>
          <w:szCs w:val="18"/>
        </w:rPr>
        <w:t>5,7%</w:t>
      </w:r>
      <w:r w:rsidRPr="00BB0631">
        <w:rPr>
          <w:rFonts w:ascii="Verdana" w:hAnsi="Verdana" w:eastAsia="Calibri" w:cs="Times New Roman"/>
          <w:sz w:val="18"/>
          <w:szCs w:val="18"/>
        </w:rPr>
        <w:t xml:space="preserve"> zal Nederland jaarlijks ongeveer </w:t>
      </w:r>
      <w:r w:rsidRPr="00AA4124" w:rsidR="00AA4124">
        <w:rPr>
          <w:rFonts w:ascii="Verdana" w:hAnsi="Verdana" w:eastAsia="Calibri" w:cs="Times New Roman"/>
          <w:sz w:val="18"/>
          <w:szCs w:val="18"/>
        </w:rPr>
        <w:t>40</w:t>
      </w:r>
      <w:r w:rsidRPr="00BB0631">
        <w:rPr>
          <w:rFonts w:ascii="Verdana" w:hAnsi="Verdana" w:eastAsia="Calibri" w:cs="Times New Roman"/>
          <w:sz w:val="18"/>
          <w:szCs w:val="18"/>
        </w:rPr>
        <w:t xml:space="preserve"> miljo</w:t>
      </w:r>
      <w:r w:rsidR="00BE209F">
        <w:rPr>
          <w:rFonts w:ascii="Verdana" w:hAnsi="Verdana" w:eastAsia="Calibri" w:cs="Times New Roman"/>
          <w:sz w:val="18"/>
          <w:szCs w:val="18"/>
        </w:rPr>
        <w:t>en euro bijdragen</w:t>
      </w:r>
      <w:r w:rsidRPr="00BB0631">
        <w:rPr>
          <w:rFonts w:ascii="Verdana" w:hAnsi="Verdana" w:eastAsia="Calibri" w:cs="Times New Roman"/>
          <w:sz w:val="18"/>
          <w:szCs w:val="18"/>
        </w:rPr>
        <w:t>.</w:t>
      </w:r>
    </w:p>
    <w:p w:rsidR="00D00D6B" w:rsidP="00BB0631" w:rsidRDefault="00BB0631" w14:paraId="1EBB3A88" w14:textId="01E5BD2C">
      <w:pPr>
        <w:jc w:val="both"/>
        <w:rPr>
          <w:rFonts w:ascii="Verdana" w:hAnsi="Verdana" w:eastAsia="Calibri" w:cs="Times New Roman"/>
          <w:sz w:val="18"/>
          <w:szCs w:val="18"/>
        </w:rPr>
      </w:pPr>
      <w:r w:rsidRPr="00BB0631">
        <w:rPr>
          <w:rFonts w:ascii="Verdana" w:hAnsi="Verdana" w:eastAsia="Calibri" w:cs="Times New Roman"/>
          <w:sz w:val="18"/>
          <w:szCs w:val="18"/>
        </w:rPr>
        <w:t xml:space="preserve">Het budget voor de administratieve uitgaven van </w:t>
      </w:r>
      <w:r w:rsidR="007044CD">
        <w:rPr>
          <w:rFonts w:ascii="Verdana" w:hAnsi="Verdana" w:eastAsia="Calibri" w:cs="Times New Roman"/>
          <w:sz w:val="18"/>
          <w:szCs w:val="18"/>
        </w:rPr>
        <w:t xml:space="preserve">de </w:t>
      </w:r>
      <w:r w:rsidRPr="00BB0631">
        <w:rPr>
          <w:rFonts w:ascii="Verdana" w:hAnsi="Verdana" w:eastAsia="Calibri" w:cs="Times New Roman"/>
          <w:sz w:val="18"/>
          <w:szCs w:val="18"/>
        </w:rPr>
        <w:t>Unie stijgt licht. In de conclusies worden alle instellingen opgeroepen tot een verdere efficiencyslag over te gaan om zo de administratieve uitgaven te beperken.</w:t>
      </w:r>
    </w:p>
    <w:p w:rsidR="00D00D6B" w:rsidP="00091C8D" w:rsidRDefault="00D00D6B" w14:paraId="3631801F" w14:textId="21F7149E">
      <w:pPr>
        <w:jc w:val="both"/>
        <w:rPr>
          <w:rFonts w:ascii="Verdana" w:hAnsi="Verdana" w:eastAsia="Calibri" w:cs="Times New Roman"/>
          <w:sz w:val="18"/>
          <w:szCs w:val="18"/>
        </w:rPr>
      </w:pPr>
      <w:r>
        <w:rPr>
          <w:rFonts w:ascii="Verdana" w:hAnsi="Verdana" w:eastAsia="Calibri" w:cs="Times New Roman"/>
          <w:sz w:val="18"/>
          <w:szCs w:val="18"/>
        </w:rPr>
        <w:t xml:space="preserve">Onderdeel van de Nederlandse moderniseringsinzet </w:t>
      </w:r>
      <w:r w:rsidR="007E233E">
        <w:rPr>
          <w:rFonts w:ascii="Verdana" w:hAnsi="Verdana" w:eastAsia="Calibri" w:cs="Times New Roman"/>
          <w:sz w:val="18"/>
          <w:szCs w:val="18"/>
        </w:rPr>
        <w:t xml:space="preserve">is </w:t>
      </w:r>
      <w:r>
        <w:rPr>
          <w:rFonts w:ascii="Verdana" w:hAnsi="Verdana" w:eastAsia="Calibri" w:cs="Times New Roman"/>
          <w:sz w:val="18"/>
          <w:szCs w:val="18"/>
        </w:rPr>
        <w:t xml:space="preserve">om een koppeling aan te brengen tussen de </w:t>
      </w:r>
      <w:r w:rsidR="00974E8F">
        <w:rPr>
          <w:rFonts w:ascii="Verdana" w:hAnsi="Verdana" w:eastAsia="Calibri" w:cs="Times New Roman"/>
          <w:sz w:val="18"/>
          <w:szCs w:val="18"/>
        </w:rPr>
        <w:t>ontvangst van</w:t>
      </w:r>
      <w:r>
        <w:rPr>
          <w:rFonts w:ascii="Verdana" w:hAnsi="Verdana" w:eastAsia="Calibri" w:cs="Times New Roman"/>
          <w:sz w:val="18"/>
          <w:szCs w:val="18"/>
        </w:rPr>
        <w:t xml:space="preserve"> middelen</w:t>
      </w:r>
      <w:r w:rsidR="00974E8F">
        <w:rPr>
          <w:rFonts w:ascii="Verdana" w:hAnsi="Verdana" w:eastAsia="Calibri" w:cs="Times New Roman"/>
          <w:sz w:val="18"/>
          <w:szCs w:val="18"/>
        </w:rPr>
        <w:t xml:space="preserve"> uit de EU-begroting</w:t>
      </w:r>
      <w:r>
        <w:rPr>
          <w:rFonts w:ascii="Verdana" w:hAnsi="Verdana" w:eastAsia="Calibri" w:cs="Times New Roman"/>
          <w:sz w:val="18"/>
          <w:szCs w:val="18"/>
        </w:rPr>
        <w:t xml:space="preserve"> en de naleving van rechtsstatelijke beginselen, om zo </w:t>
      </w:r>
      <w:r w:rsidRPr="00974E8F" w:rsidR="00974E8F">
        <w:rPr>
          <w:rFonts w:ascii="Verdana" w:hAnsi="Verdana" w:eastAsia="Calibri" w:cs="Times New Roman"/>
          <w:sz w:val="18"/>
          <w:szCs w:val="18"/>
        </w:rPr>
        <w:t>rechtsstatelijke tekortkomingen aan te kunnen pakken waar deze een (potentieel) negatieve invloed hebben op de financiële belangen van de EU</w:t>
      </w:r>
      <w:r>
        <w:rPr>
          <w:rFonts w:ascii="Verdana" w:hAnsi="Verdana" w:eastAsia="Calibri" w:cs="Times New Roman"/>
          <w:sz w:val="18"/>
          <w:szCs w:val="18"/>
        </w:rPr>
        <w:t xml:space="preserve">. Nederland heeft zich steeds sterk gemaakt voor het voorstel dat de Commissie daartoe in 2018 deed, zo ook tijdens de afgelopen Europese Raad waar dit onderwerp uitvoerig is besproken. </w:t>
      </w:r>
      <w:r w:rsidR="00031B41">
        <w:rPr>
          <w:rFonts w:ascii="Verdana" w:hAnsi="Verdana" w:eastAsia="Calibri" w:cs="Times New Roman"/>
          <w:sz w:val="18"/>
          <w:szCs w:val="18"/>
        </w:rPr>
        <w:t>Een beperkt aantal lidstaten verzette zich hevig tegen een dergelijke koppeling, terwijl Nederland samen met gelijkgezinde lidstaten eraan heeft vastgehouden</w:t>
      </w:r>
      <w:r w:rsidRPr="00D00D6B">
        <w:rPr>
          <w:rFonts w:ascii="Verdana" w:hAnsi="Verdana" w:eastAsia="Calibri" w:cs="Times New Roman"/>
          <w:sz w:val="18"/>
          <w:szCs w:val="18"/>
        </w:rPr>
        <w:t xml:space="preserve"> dat </w:t>
      </w:r>
      <w:r w:rsidR="00031B41">
        <w:rPr>
          <w:rFonts w:ascii="Verdana" w:hAnsi="Verdana" w:eastAsia="Calibri" w:cs="Times New Roman"/>
          <w:sz w:val="18"/>
          <w:szCs w:val="18"/>
        </w:rPr>
        <w:t xml:space="preserve">deze koppeling noodzakelijk is. </w:t>
      </w:r>
      <w:r w:rsidRPr="00974E8F" w:rsidR="00974E8F">
        <w:rPr>
          <w:rFonts w:ascii="Verdana" w:hAnsi="Verdana" w:eastAsia="Calibri" w:cs="Times New Roman"/>
          <w:sz w:val="18"/>
          <w:szCs w:val="18"/>
        </w:rPr>
        <w:t xml:space="preserve">Afgesproken is dat er een </w:t>
      </w:r>
      <w:r w:rsidR="00974E8F">
        <w:rPr>
          <w:rFonts w:ascii="Verdana" w:hAnsi="Verdana" w:eastAsia="Calibri" w:cs="Times New Roman"/>
          <w:sz w:val="18"/>
          <w:szCs w:val="18"/>
        </w:rPr>
        <w:t>stelsel</w:t>
      </w:r>
      <w:r w:rsidRPr="00974E8F" w:rsidR="00974E8F">
        <w:rPr>
          <w:rFonts w:ascii="Verdana" w:hAnsi="Verdana" w:eastAsia="Calibri" w:cs="Times New Roman"/>
          <w:sz w:val="18"/>
          <w:szCs w:val="18"/>
        </w:rPr>
        <w:t xml:space="preserve"> wordt geïntroduceerd dat een koppeling legt tussen de ontvangst van EU-middelen en de naleving van de waarden van de Unie, waaronder respect voor de beginselen ten aanzien van rechtsstatelijkheid. In geval van een schending van dit </w:t>
      </w:r>
      <w:r w:rsidR="00974E8F">
        <w:rPr>
          <w:rFonts w:ascii="Verdana" w:hAnsi="Verdana" w:eastAsia="Calibri" w:cs="Times New Roman"/>
          <w:sz w:val="18"/>
          <w:szCs w:val="18"/>
        </w:rPr>
        <w:t>stelsel</w:t>
      </w:r>
      <w:r w:rsidRPr="00974E8F" w:rsidR="00974E8F">
        <w:rPr>
          <w:rFonts w:ascii="Verdana" w:hAnsi="Verdana" w:eastAsia="Calibri" w:cs="Times New Roman"/>
          <w:sz w:val="18"/>
          <w:szCs w:val="18"/>
        </w:rPr>
        <w:t xml:space="preserve"> zal de Commissie maatregelen voorstellen om deze aan te pakken. Over deze maatregelen zal de Raad met gekwalificeerde meerderheid besluiten. Afgesproken is dat de ER hier snel op zal terugkomen.</w:t>
      </w:r>
      <w:r w:rsidR="00974E8F">
        <w:rPr>
          <w:rFonts w:ascii="Verdana" w:hAnsi="Verdana" w:eastAsia="Calibri" w:cs="Times New Roman"/>
          <w:sz w:val="18"/>
          <w:szCs w:val="18"/>
        </w:rPr>
        <w:t xml:space="preserve"> </w:t>
      </w:r>
      <w:r w:rsidR="00091C8D">
        <w:rPr>
          <w:rFonts w:ascii="Verdana" w:hAnsi="Verdana" w:eastAsia="Calibri" w:cs="Times New Roman"/>
          <w:sz w:val="18"/>
          <w:szCs w:val="18"/>
        </w:rPr>
        <w:t xml:space="preserve">Het kabinet </w:t>
      </w:r>
      <w:r w:rsidRPr="00974E8F" w:rsidR="00974E8F">
        <w:rPr>
          <w:rFonts w:ascii="Verdana" w:hAnsi="Verdana" w:eastAsia="Calibri" w:cs="Times New Roman"/>
          <w:sz w:val="18"/>
          <w:szCs w:val="18"/>
        </w:rPr>
        <w:t>is hier positief over</w:t>
      </w:r>
      <w:r w:rsidR="00974E8F">
        <w:rPr>
          <w:rFonts w:ascii="Verdana" w:hAnsi="Verdana" w:eastAsia="Calibri" w:cs="Times New Roman"/>
          <w:sz w:val="18"/>
          <w:szCs w:val="18"/>
        </w:rPr>
        <w:t xml:space="preserve"> </w:t>
      </w:r>
      <w:r w:rsidRPr="00974E8F" w:rsidR="00974E8F">
        <w:rPr>
          <w:rFonts w:ascii="Verdana" w:hAnsi="Verdana" w:eastAsia="Calibri" w:cs="Times New Roman"/>
          <w:sz w:val="18"/>
          <w:szCs w:val="18"/>
        </w:rPr>
        <w:t xml:space="preserve">en heeft vertrouwen dat deze uitkomst daadwerkelijk zal kunnen leiden tot een effectieve conditionaliteit </w:t>
      </w:r>
      <w:r w:rsidR="00974E8F">
        <w:rPr>
          <w:rFonts w:ascii="Verdana" w:hAnsi="Verdana" w:eastAsia="Calibri" w:cs="Times New Roman"/>
          <w:sz w:val="18"/>
          <w:szCs w:val="18"/>
        </w:rPr>
        <w:t>ten aanzien van</w:t>
      </w:r>
      <w:r w:rsidRPr="00974E8F" w:rsidR="00974E8F">
        <w:rPr>
          <w:rFonts w:ascii="Verdana" w:hAnsi="Verdana" w:eastAsia="Calibri" w:cs="Times New Roman"/>
          <w:sz w:val="18"/>
          <w:szCs w:val="18"/>
        </w:rPr>
        <w:t xml:space="preserve"> rechtsstatelijkheid</w:t>
      </w:r>
      <w:r w:rsidR="008733D1">
        <w:rPr>
          <w:rFonts w:ascii="Verdana" w:hAnsi="Verdana" w:eastAsia="Calibri" w:cs="Times New Roman"/>
          <w:sz w:val="18"/>
          <w:szCs w:val="18"/>
        </w:rPr>
        <w:t>.</w:t>
      </w:r>
      <w:r w:rsidRPr="00D00D6B">
        <w:rPr>
          <w:rFonts w:ascii="Verdana" w:hAnsi="Verdana" w:eastAsia="Calibri" w:cs="Times New Roman"/>
          <w:sz w:val="18"/>
          <w:szCs w:val="18"/>
        </w:rPr>
        <w:t xml:space="preserve"> </w:t>
      </w:r>
      <w:r w:rsidR="00091C8D">
        <w:rPr>
          <w:rFonts w:ascii="Verdana" w:hAnsi="Verdana" w:eastAsia="Calibri" w:cs="Times New Roman"/>
          <w:sz w:val="18"/>
          <w:szCs w:val="18"/>
        </w:rPr>
        <w:t xml:space="preserve">Het kabinet zal zich </w:t>
      </w:r>
      <w:r w:rsidR="00974E8F">
        <w:rPr>
          <w:rFonts w:ascii="Verdana" w:hAnsi="Verdana" w:eastAsia="Calibri" w:cs="Times New Roman"/>
          <w:sz w:val="18"/>
          <w:szCs w:val="18"/>
        </w:rPr>
        <w:t xml:space="preserve">hiervoor </w:t>
      </w:r>
      <w:r w:rsidR="00091C8D">
        <w:rPr>
          <w:rFonts w:ascii="Verdana" w:hAnsi="Verdana" w:eastAsia="Calibri" w:cs="Times New Roman"/>
          <w:sz w:val="18"/>
          <w:szCs w:val="18"/>
        </w:rPr>
        <w:t xml:space="preserve">bij de verdere uitwerking </w:t>
      </w:r>
      <w:r w:rsidR="00974E8F">
        <w:rPr>
          <w:rFonts w:ascii="Verdana" w:hAnsi="Verdana" w:eastAsia="Calibri" w:cs="Times New Roman"/>
          <w:sz w:val="18"/>
          <w:szCs w:val="18"/>
        </w:rPr>
        <w:t xml:space="preserve">blijven </w:t>
      </w:r>
      <w:r w:rsidR="007E233E">
        <w:rPr>
          <w:rFonts w:ascii="Verdana" w:hAnsi="Verdana" w:eastAsia="Calibri" w:cs="Times New Roman"/>
          <w:sz w:val="18"/>
          <w:szCs w:val="18"/>
        </w:rPr>
        <w:t xml:space="preserve">inzetten, in lijn met de </w:t>
      </w:r>
      <w:r w:rsidRPr="007E233E" w:rsidR="007E233E">
        <w:rPr>
          <w:rFonts w:ascii="Verdana" w:hAnsi="Verdana" w:eastAsia="Calibri" w:cs="Times New Roman"/>
          <w:sz w:val="18"/>
          <w:szCs w:val="18"/>
        </w:rPr>
        <w:t>moties Van der Graaf c.s</w:t>
      </w:r>
      <w:r w:rsidR="003A0218">
        <w:rPr>
          <w:rFonts w:ascii="Verdana" w:hAnsi="Verdana" w:eastAsia="Calibri" w:cs="Times New Roman"/>
          <w:sz w:val="18"/>
          <w:szCs w:val="18"/>
        </w:rPr>
        <w:t>.</w:t>
      </w:r>
      <w:r w:rsidRPr="007E233E" w:rsidR="007E233E">
        <w:rPr>
          <w:rFonts w:ascii="Verdana" w:hAnsi="Verdana" w:eastAsia="Calibri" w:cs="Times New Roman"/>
          <w:sz w:val="18"/>
          <w:szCs w:val="18"/>
        </w:rPr>
        <w:t xml:space="preserve"> (Kamerstuk 21501-20, nr. 1515), Jetten/Van Ojik (Kamerstuk 35403, nr. 4) en</w:t>
      </w:r>
      <w:r w:rsidRPr="00884684" w:rsidR="007E233E">
        <w:rPr>
          <w:rFonts w:ascii="Verdana" w:hAnsi="Verdana" w:eastAsia="Calibri" w:cs="Times New Roman"/>
          <w:sz w:val="18"/>
          <w:szCs w:val="18"/>
        </w:rPr>
        <w:t xml:space="preserve"> Mulder/Omtzigt (</w:t>
      </w:r>
      <w:r w:rsidRPr="00884684" w:rsidR="00884684">
        <w:rPr>
          <w:rFonts w:ascii="Verdana" w:hAnsi="Verdana" w:eastAsia="Calibri" w:cs="Times New Roman"/>
          <w:sz w:val="18"/>
          <w:szCs w:val="18"/>
        </w:rPr>
        <w:t>Kamerstuk 35078, nr. 3</w:t>
      </w:r>
      <w:r w:rsidRPr="00884684" w:rsidR="007E233E">
        <w:rPr>
          <w:rFonts w:ascii="Verdana" w:hAnsi="Verdana" w:eastAsia="Calibri" w:cs="Times New Roman"/>
          <w:sz w:val="18"/>
          <w:szCs w:val="18"/>
        </w:rPr>
        <w:t>).</w:t>
      </w:r>
    </w:p>
    <w:p w:rsidR="00D00D6B" w:rsidP="00BB0631" w:rsidRDefault="001A4DA7" w14:paraId="066F5558" w14:textId="16CB4670">
      <w:pPr>
        <w:jc w:val="both"/>
        <w:rPr>
          <w:rFonts w:ascii="Verdana" w:hAnsi="Verdana" w:eastAsia="Calibri" w:cs="Times New Roman"/>
          <w:sz w:val="18"/>
          <w:szCs w:val="18"/>
        </w:rPr>
      </w:pPr>
      <w:r w:rsidRPr="001A4DA7">
        <w:rPr>
          <w:rFonts w:ascii="Verdana" w:hAnsi="Verdana" w:eastAsia="Calibri" w:cs="Times New Roman"/>
          <w:sz w:val="18"/>
          <w:szCs w:val="18"/>
        </w:rPr>
        <w:t xml:space="preserve">Verder wordt het Justitie, Rechten en Waardenfonds versterkt conform de Nederlandse inzet en in lijn met de moties-Jetten/Van Ojik (Kamerstuk 35403, nr. 4) </w:t>
      </w:r>
      <w:r w:rsidRPr="00884684">
        <w:rPr>
          <w:rFonts w:ascii="Verdana" w:hAnsi="Verdana" w:eastAsia="Calibri" w:cs="Times New Roman"/>
          <w:sz w:val="18"/>
          <w:szCs w:val="18"/>
        </w:rPr>
        <w:t>en Van Ojik/Drost (</w:t>
      </w:r>
      <w:r w:rsidRPr="00884684" w:rsidR="00884684">
        <w:rPr>
          <w:rFonts w:ascii="Verdana" w:hAnsi="Verdana" w:eastAsia="Calibri" w:cs="Times New Roman"/>
          <w:sz w:val="18"/>
          <w:szCs w:val="18"/>
        </w:rPr>
        <w:t>Kamerstuk 21501-20, nr. 1463</w:t>
      </w:r>
      <w:r w:rsidRPr="00884684">
        <w:rPr>
          <w:rFonts w:ascii="Verdana" w:hAnsi="Verdana" w:eastAsia="Calibri" w:cs="Times New Roman"/>
          <w:sz w:val="18"/>
          <w:szCs w:val="18"/>
        </w:rPr>
        <w:t>).</w:t>
      </w:r>
      <w:r>
        <w:rPr>
          <w:rFonts w:ascii="Verdana" w:hAnsi="Verdana" w:eastAsia="Calibri" w:cs="Times New Roman"/>
          <w:sz w:val="18"/>
          <w:szCs w:val="18"/>
        </w:rPr>
        <w:t xml:space="preserve"> </w:t>
      </w:r>
      <w:r w:rsidR="007E233E">
        <w:rPr>
          <w:rFonts w:ascii="Verdana" w:hAnsi="Verdana" w:eastAsia="Calibri" w:cs="Times New Roman"/>
          <w:sz w:val="18"/>
          <w:szCs w:val="18"/>
        </w:rPr>
        <w:t xml:space="preserve">Daarnaast is </w:t>
      </w:r>
      <w:r w:rsidR="007E3D6E">
        <w:rPr>
          <w:rFonts w:ascii="Verdana" w:hAnsi="Verdana" w:eastAsia="Calibri" w:cs="Times New Roman"/>
          <w:sz w:val="18"/>
          <w:szCs w:val="18"/>
        </w:rPr>
        <w:t>afgesproken dat</w:t>
      </w:r>
      <w:r w:rsidR="007E233E">
        <w:rPr>
          <w:rFonts w:ascii="Verdana" w:hAnsi="Verdana" w:eastAsia="Calibri" w:cs="Times New Roman"/>
          <w:sz w:val="18"/>
          <w:szCs w:val="18"/>
        </w:rPr>
        <w:t xml:space="preserve"> de Europese Commissie verdere maatregelen </w:t>
      </w:r>
      <w:r w:rsidR="007E3D6E">
        <w:rPr>
          <w:rFonts w:ascii="Verdana" w:hAnsi="Verdana" w:eastAsia="Calibri" w:cs="Times New Roman"/>
          <w:sz w:val="18"/>
          <w:szCs w:val="18"/>
        </w:rPr>
        <w:t xml:space="preserve">zal </w:t>
      </w:r>
      <w:r w:rsidR="007E233E">
        <w:rPr>
          <w:rFonts w:ascii="Verdana" w:hAnsi="Verdana" w:eastAsia="Calibri" w:cs="Times New Roman"/>
          <w:sz w:val="18"/>
          <w:szCs w:val="18"/>
        </w:rPr>
        <w:t>presenteren tegen fraude en onregelmatigheden</w:t>
      </w:r>
      <w:r>
        <w:rPr>
          <w:rFonts w:ascii="Verdana" w:hAnsi="Verdana" w:eastAsia="Calibri" w:cs="Times New Roman"/>
          <w:sz w:val="18"/>
          <w:szCs w:val="18"/>
        </w:rPr>
        <w:t>, zowel ten aanzien van het MFK als het herstelinstrument</w:t>
      </w:r>
      <w:r w:rsidR="008E0D65">
        <w:rPr>
          <w:rFonts w:ascii="Verdana" w:hAnsi="Verdana" w:eastAsia="Calibri" w:cs="Times New Roman"/>
          <w:sz w:val="18"/>
          <w:szCs w:val="18"/>
        </w:rPr>
        <w:t>. Hierbij is ook sterke betrokkenheid van o.a. de Europese Rekenkamer</w:t>
      </w:r>
      <w:r>
        <w:rPr>
          <w:rFonts w:ascii="Verdana" w:hAnsi="Verdana" w:eastAsia="Calibri" w:cs="Times New Roman"/>
          <w:sz w:val="18"/>
          <w:szCs w:val="18"/>
        </w:rPr>
        <w:t xml:space="preserve"> voorzien. In lijn met de motie Azarkan/Van Otterloo (Kamerstuk 2</w:t>
      </w:r>
      <w:r w:rsidRPr="001A4DA7">
        <w:rPr>
          <w:rFonts w:ascii="Verdana" w:hAnsi="Verdana" w:eastAsia="Calibri" w:cs="Times New Roman"/>
          <w:sz w:val="18"/>
          <w:szCs w:val="18"/>
        </w:rPr>
        <w:t>1501-20</w:t>
      </w:r>
      <w:r>
        <w:rPr>
          <w:rFonts w:ascii="Verdana" w:hAnsi="Verdana" w:eastAsia="Calibri" w:cs="Times New Roman"/>
          <w:sz w:val="18"/>
          <w:szCs w:val="18"/>
        </w:rPr>
        <w:t>, nr.</w:t>
      </w:r>
      <w:r w:rsidRPr="001A4DA7">
        <w:rPr>
          <w:rFonts w:ascii="Verdana" w:hAnsi="Verdana" w:eastAsia="Calibri" w:cs="Times New Roman"/>
          <w:sz w:val="18"/>
          <w:szCs w:val="18"/>
        </w:rPr>
        <w:t xml:space="preserve"> 1568</w:t>
      </w:r>
      <w:r>
        <w:rPr>
          <w:rFonts w:ascii="Verdana" w:hAnsi="Verdana" w:eastAsia="Calibri" w:cs="Times New Roman"/>
          <w:sz w:val="18"/>
          <w:szCs w:val="18"/>
        </w:rPr>
        <w:t xml:space="preserve">) zal het kabinet bij deze maatregelen ook de doelmatigheid van de bestedingen betrekken. </w:t>
      </w:r>
    </w:p>
    <w:p w:rsidRPr="00BB0631" w:rsidR="00BB0631" w:rsidP="00BB0631" w:rsidRDefault="00BE209F" w14:paraId="66B59ABD" w14:textId="79A7201A">
      <w:pPr>
        <w:jc w:val="both"/>
        <w:rPr>
          <w:rFonts w:ascii="Verdana" w:hAnsi="Verdana" w:eastAsia="Calibri" w:cs="Times New Roman"/>
          <w:sz w:val="18"/>
          <w:szCs w:val="18"/>
        </w:rPr>
      </w:pPr>
      <w:r w:rsidRPr="008A106E">
        <w:rPr>
          <w:rFonts w:ascii="Verdana" w:hAnsi="Verdana" w:eastAsia="Calibri" w:cs="Times New Roman"/>
          <w:sz w:val="18"/>
          <w:szCs w:val="18"/>
        </w:rPr>
        <w:t>Tot slot bevat h</w:t>
      </w:r>
      <w:r w:rsidRPr="00BB0631" w:rsidR="00BB0631">
        <w:rPr>
          <w:rFonts w:ascii="Verdana" w:hAnsi="Verdana" w:eastAsia="Calibri" w:cs="Times New Roman"/>
          <w:sz w:val="18"/>
          <w:szCs w:val="18"/>
        </w:rPr>
        <w:t>et MFK akkoord</w:t>
      </w:r>
      <w:r w:rsidRPr="00BB0631" w:rsidDel="007044CD" w:rsidR="00BB0631">
        <w:rPr>
          <w:rFonts w:ascii="Verdana" w:hAnsi="Verdana" w:eastAsia="Calibri" w:cs="Times New Roman"/>
          <w:sz w:val="18"/>
          <w:szCs w:val="18"/>
        </w:rPr>
        <w:t xml:space="preserve"> </w:t>
      </w:r>
      <w:r w:rsidRPr="00BB0631" w:rsidR="00BB0631">
        <w:rPr>
          <w:rFonts w:ascii="Verdana" w:hAnsi="Verdana" w:eastAsia="Calibri" w:cs="Times New Roman"/>
          <w:sz w:val="18"/>
          <w:szCs w:val="18"/>
        </w:rPr>
        <w:t xml:space="preserve">vijf speciale instrumenten voor onvoorziene omstandigheden. Het huidige Solidariteitsfonds en het huidige Noodhulpinstrument worden samengevoegd in een nieuw instrument. Met dit nieuwe instrument kan de Europese Commissie reageren op onvoorziene crises binnen en buiten de grenzen van de Europese Unie. Ook de huidige </w:t>
      </w:r>
      <w:r w:rsidRPr="007C635A" w:rsidR="00BB0631">
        <w:rPr>
          <w:rFonts w:ascii="Verdana" w:hAnsi="Verdana" w:eastAsia="Calibri" w:cs="Times New Roman"/>
          <w:i/>
          <w:sz w:val="18"/>
          <w:szCs w:val="18"/>
        </w:rPr>
        <w:t>Global Margin for Commitments</w:t>
      </w:r>
      <w:r w:rsidRPr="00BB0631" w:rsidR="00BB0631">
        <w:rPr>
          <w:rFonts w:ascii="Verdana" w:hAnsi="Verdana" w:eastAsia="Calibri" w:cs="Times New Roman"/>
          <w:sz w:val="18"/>
          <w:szCs w:val="18"/>
        </w:rPr>
        <w:t xml:space="preserve">, de </w:t>
      </w:r>
      <w:r w:rsidRPr="007C635A" w:rsidR="00BB0631">
        <w:rPr>
          <w:rFonts w:ascii="Verdana" w:hAnsi="Verdana" w:eastAsia="Calibri" w:cs="Times New Roman"/>
          <w:i/>
          <w:sz w:val="18"/>
          <w:szCs w:val="18"/>
        </w:rPr>
        <w:t>Global Margin for Payments</w:t>
      </w:r>
      <w:r w:rsidRPr="00BB0631" w:rsidR="00BB0631">
        <w:rPr>
          <w:rFonts w:ascii="Verdana" w:hAnsi="Verdana" w:eastAsia="Calibri" w:cs="Times New Roman"/>
          <w:sz w:val="18"/>
          <w:szCs w:val="18"/>
        </w:rPr>
        <w:t xml:space="preserve"> en de </w:t>
      </w:r>
      <w:r w:rsidRPr="007C635A" w:rsidR="00BB0631">
        <w:rPr>
          <w:rFonts w:ascii="Verdana" w:hAnsi="Verdana" w:eastAsia="Calibri" w:cs="Times New Roman"/>
          <w:i/>
          <w:sz w:val="18"/>
          <w:szCs w:val="18"/>
        </w:rPr>
        <w:t>Contingency Margin</w:t>
      </w:r>
      <w:r w:rsidRPr="00BB0631" w:rsidR="00BB0631">
        <w:rPr>
          <w:rFonts w:ascii="Verdana" w:hAnsi="Verdana" w:eastAsia="Calibri" w:cs="Times New Roman"/>
          <w:sz w:val="18"/>
          <w:szCs w:val="18"/>
        </w:rPr>
        <w:t xml:space="preserve"> worden samengevoegd in een nieuw instrument. Dit zogenoemde </w:t>
      </w:r>
      <w:r w:rsidRPr="007C635A" w:rsidR="00BB0631">
        <w:rPr>
          <w:rFonts w:ascii="Verdana" w:hAnsi="Verdana" w:eastAsia="Calibri" w:cs="Times New Roman"/>
          <w:i/>
          <w:sz w:val="18"/>
          <w:szCs w:val="18"/>
        </w:rPr>
        <w:t>Single Margin Instrument</w:t>
      </w:r>
      <w:r w:rsidRPr="00BB0631" w:rsidR="00BB0631">
        <w:rPr>
          <w:rFonts w:ascii="Verdana" w:hAnsi="Verdana" w:eastAsia="Calibri" w:cs="Times New Roman"/>
          <w:sz w:val="18"/>
          <w:szCs w:val="18"/>
        </w:rPr>
        <w:t xml:space="preserve"> maakt het mogelijk om budget te verschuiven tussen afzonderlijke begrotingscategorieën of tussen begrotingsjaren. Het huidige Flexibiliteitsinstrument blijft behouden. </w:t>
      </w:r>
      <w:r w:rsidR="009C61A4">
        <w:rPr>
          <w:rFonts w:ascii="Verdana" w:hAnsi="Verdana" w:eastAsia="Calibri" w:cs="Times New Roman"/>
          <w:sz w:val="18"/>
          <w:szCs w:val="18"/>
        </w:rPr>
        <w:t xml:space="preserve">Verder is 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009C61A4">
        <w:rPr>
          <w:rFonts w:ascii="Verdana" w:hAnsi="Verdana" w:eastAsia="Calibri" w:cs="Times New Roman"/>
          <w:sz w:val="18"/>
          <w:szCs w:val="18"/>
        </w:rPr>
        <w:t xml:space="preserve">euro gealloceerd aan een </w:t>
      </w:r>
      <w:r w:rsidR="007C635A">
        <w:rPr>
          <w:rFonts w:ascii="Verdana" w:hAnsi="Verdana" w:eastAsia="Calibri" w:cs="Times New Roman"/>
          <w:sz w:val="18"/>
          <w:szCs w:val="18"/>
        </w:rPr>
        <w:t>nieuwe specia</w:t>
      </w:r>
      <w:r w:rsidR="009C61A4">
        <w:rPr>
          <w:rFonts w:ascii="Verdana" w:hAnsi="Verdana" w:eastAsia="Calibri" w:cs="Times New Roman"/>
          <w:sz w:val="18"/>
          <w:szCs w:val="18"/>
        </w:rPr>
        <w:t>l</w:t>
      </w:r>
      <w:r w:rsidR="007C635A">
        <w:rPr>
          <w:rFonts w:ascii="Verdana" w:hAnsi="Verdana" w:eastAsia="Calibri" w:cs="Times New Roman"/>
          <w:sz w:val="18"/>
          <w:szCs w:val="18"/>
        </w:rPr>
        <w:t>e</w:t>
      </w:r>
      <w:r w:rsidR="009C61A4">
        <w:rPr>
          <w:rFonts w:ascii="Verdana" w:hAnsi="Verdana" w:eastAsia="Calibri" w:cs="Times New Roman"/>
          <w:sz w:val="18"/>
          <w:szCs w:val="18"/>
        </w:rPr>
        <w:t xml:space="preserve"> </w:t>
      </w:r>
      <w:r w:rsidRPr="007C635A" w:rsidR="009C61A4">
        <w:rPr>
          <w:rFonts w:ascii="Verdana" w:hAnsi="Verdana" w:eastAsia="Calibri" w:cs="Times New Roman"/>
          <w:i/>
          <w:sz w:val="18"/>
          <w:szCs w:val="18"/>
        </w:rPr>
        <w:t>Brexit Adjustment Reserve</w:t>
      </w:r>
      <w:r w:rsidR="009C61A4">
        <w:rPr>
          <w:rFonts w:ascii="Verdana" w:hAnsi="Verdana" w:eastAsia="Calibri" w:cs="Times New Roman"/>
          <w:sz w:val="18"/>
          <w:szCs w:val="18"/>
        </w:rPr>
        <w:t>, waarmee onvoorziene nadelige gevolgen van Brexit in de zwaarst getroffen lidstaten en sectoren kunnen worden verminderd.</w:t>
      </w:r>
      <w:r w:rsidRPr="00BB0631" w:rsidR="00BB0631">
        <w:rPr>
          <w:rFonts w:ascii="Verdana" w:hAnsi="Verdana" w:eastAsia="Calibri" w:cs="Times New Roman"/>
          <w:sz w:val="18"/>
          <w:szCs w:val="18"/>
        </w:rPr>
        <w:t xml:space="preserve"> </w:t>
      </w:r>
      <w:r w:rsidR="009C61A4">
        <w:rPr>
          <w:rFonts w:ascii="Verdana" w:hAnsi="Verdana" w:eastAsia="Calibri" w:cs="Times New Roman"/>
          <w:sz w:val="18"/>
          <w:szCs w:val="18"/>
        </w:rPr>
        <w:t xml:space="preserve">De invulling en verdeling hiervan is nog niet bekend. De Europese Commissie zal hiervoor later dit jaar een uitgewerkt voorstel presenteren. </w:t>
      </w:r>
      <w:r w:rsidRPr="00BB0631" w:rsidR="00BB0631">
        <w:rPr>
          <w:rFonts w:ascii="Verdana" w:hAnsi="Verdana" w:eastAsia="Calibri" w:cs="Times New Roman"/>
          <w:sz w:val="18"/>
          <w:szCs w:val="18"/>
        </w:rPr>
        <w:lastRenderedPageBreak/>
        <w:t xml:space="preserve">Nederland is tevreden over het samenvoegen van verschillende huidige instrumenten in twee nieuwe instrumenten. Dit vergroot de uitlegbaarheid en leidt tot verbetering van de transparantie van de speciale instrumenten in het algemeen. </w:t>
      </w:r>
    </w:p>
    <w:p w:rsidRPr="00BB0631" w:rsidR="00BB0631" w:rsidP="00BB0631" w:rsidRDefault="00BB0631" w14:paraId="5FFE4469" w14:textId="77777777">
      <w:pPr>
        <w:jc w:val="both"/>
        <w:rPr>
          <w:rFonts w:ascii="Verdana" w:hAnsi="Verdana" w:eastAsia="Calibri" w:cs="Times New Roman"/>
          <w:sz w:val="18"/>
          <w:szCs w:val="18"/>
          <w:u w:val="single"/>
        </w:rPr>
      </w:pPr>
      <w:r w:rsidRPr="00BB0631">
        <w:rPr>
          <w:rFonts w:ascii="Verdana" w:hAnsi="Verdana" w:eastAsia="Calibri" w:cs="Times New Roman"/>
          <w:sz w:val="18"/>
          <w:szCs w:val="18"/>
          <w:u w:val="single"/>
        </w:rPr>
        <w:t>Herstelinstrument “Next Generation EU”</w:t>
      </w:r>
    </w:p>
    <w:p w:rsidRPr="00BB0631" w:rsidR="00BB0631" w:rsidP="00BB0631" w:rsidRDefault="00BB0631" w14:paraId="389364BC" w14:textId="55E509C7">
      <w:pPr>
        <w:jc w:val="both"/>
        <w:rPr>
          <w:rFonts w:ascii="Verdana" w:hAnsi="Verdana" w:eastAsia="Calibri" w:cs="Times New Roman"/>
          <w:sz w:val="18"/>
          <w:szCs w:val="18"/>
        </w:rPr>
      </w:pPr>
      <w:r w:rsidRPr="00BB0631">
        <w:rPr>
          <w:rFonts w:ascii="Verdana" w:hAnsi="Verdana" w:eastAsia="Calibri" w:cs="Times New Roman"/>
          <w:sz w:val="18"/>
          <w:szCs w:val="18"/>
        </w:rPr>
        <w:t>De Europese Raad is overeengekomen om een tijdelijk en uitzonderlijk herstelinstrument “</w:t>
      </w:r>
      <w:r w:rsidRPr="005758BD">
        <w:rPr>
          <w:rFonts w:ascii="Verdana" w:hAnsi="Verdana" w:eastAsia="Calibri" w:cs="Times New Roman"/>
          <w:i/>
          <w:sz w:val="18"/>
          <w:szCs w:val="18"/>
        </w:rPr>
        <w:t>Next Generation EU</w:t>
      </w:r>
      <w:r w:rsidRPr="00BB0631">
        <w:rPr>
          <w:rFonts w:ascii="Verdana" w:hAnsi="Verdana" w:eastAsia="Calibri" w:cs="Times New Roman"/>
          <w:sz w:val="18"/>
          <w:szCs w:val="18"/>
        </w:rPr>
        <w:t xml:space="preserve">” op te richten met een omvang van </w:t>
      </w:r>
      <w:r w:rsidR="00010E8A">
        <w:rPr>
          <w:rFonts w:ascii="Verdana" w:hAnsi="Verdana" w:eastAsia="Calibri" w:cs="Times New Roman"/>
          <w:sz w:val="18"/>
          <w:szCs w:val="18"/>
        </w:rPr>
        <w:t xml:space="preserve">750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euro. Het doel van het herstelinstrument is om met investeringen en hervormingen het economisch herstel in lidstaten te bevorderen en tegelijkertijd de digitale en groene transities te ondersteunen. Het herstelinstrument heeft een looptijd van 3 jaar voor vastleggingen en van 6 jaar voor betalingen (uiterlijk 31 december 2026).</w:t>
      </w:r>
    </w:p>
    <w:p w:rsidRPr="00BB0631" w:rsidR="00BB0631" w:rsidP="00BB0631" w:rsidRDefault="00BB0631" w14:paraId="098C4C0E" w14:textId="3B3AB97F">
      <w:pPr>
        <w:jc w:val="both"/>
        <w:rPr>
          <w:rFonts w:ascii="Verdana" w:hAnsi="Verdana" w:eastAsia="Calibri" w:cs="Times New Roman"/>
          <w:sz w:val="18"/>
          <w:szCs w:val="18"/>
        </w:rPr>
      </w:pPr>
      <w:r w:rsidRPr="00BB0631">
        <w:rPr>
          <w:rFonts w:ascii="Verdana" w:hAnsi="Verdana" w:eastAsia="Calibri" w:cs="Times New Roman"/>
          <w:sz w:val="18"/>
          <w:szCs w:val="18"/>
        </w:rPr>
        <w:t>Het herstelinstrument bestaat uit een aantal onderdelen</w:t>
      </w:r>
      <w:r w:rsidRPr="0026548F">
        <w:rPr>
          <w:rFonts w:ascii="Verdana" w:hAnsi="Verdana" w:eastAsia="Calibri" w:cs="Times New Roman"/>
          <w:sz w:val="18"/>
          <w:szCs w:val="18"/>
        </w:rPr>
        <w:t xml:space="preserve">. Het grootste programma is de nieuw in te stellen </w:t>
      </w:r>
      <w:r w:rsidRPr="005758BD">
        <w:rPr>
          <w:rFonts w:ascii="Verdana" w:hAnsi="Verdana" w:eastAsia="Calibri" w:cs="Times New Roman"/>
          <w:i/>
          <w:sz w:val="18"/>
          <w:szCs w:val="18"/>
        </w:rPr>
        <w:t>Recovery and Resilience Facility</w:t>
      </w:r>
      <w:r w:rsidRPr="0026548F">
        <w:rPr>
          <w:rFonts w:ascii="Verdana" w:hAnsi="Verdana" w:eastAsia="Calibri" w:cs="Times New Roman"/>
          <w:sz w:val="18"/>
          <w:szCs w:val="18"/>
        </w:rPr>
        <w:t xml:space="preserve"> van </w:t>
      </w:r>
      <w:r w:rsidRPr="0026548F" w:rsidR="00010E8A">
        <w:rPr>
          <w:rFonts w:ascii="Verdana" w:hAnsi="Verdana" w:eastAsia="Calibri" w:cs="Times New Roman"/>
          <w:sz w:val="18"/>
          <w:szCs w:val="18"/>
        </w:rPr>
        <w:t xml:space="preserve">672,5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26548F" w:rsidR="00010E8A">
        <w:rPr>
          <w:rFonts w:ascii="Verdana" w:hAnsi="Verdana" w:eastAsia="Calibri" w:cs="Times New Roman"/>
          <w:sz w:val="18"/>
          <w:szCs w:val="18"/>
        </w:rPr>
        <w:t>euro</w:t>
      </w:r>
      <w:r w:rsidRPr="0026548F">
        <w:rPr>
          <w:rFonts w:ascii="Verdana" w:hAnsi="Verdana" w:eastAsia="Calibri" w:cs="Times New Roman"/>
          <w:sz w:val="18"/>
          <w:szCs w:val="18"/>
        </w:rPr>
        <w:t>. Daarnaast</w:t>
      </w:r>
      <w:r w:rsidRPr="00BB0631">
        <w:rPr>
          <w:rFonts w:ascii="Verdana" w:hAnsi="Verdana" w:eastAsia="Calibri" w:cs="Times New Roman"/>
          <w:sz w:val="18"/>
          <w:szCs w:val="18"/>
        </w:rPr>
        <w:t xml:space="preserve"> voorziet het herstelinstrument in tijdelijke additionele middelen voor een beperkt aantal EU-programma’s. Deze bedragen komen bovenop de budgetten die in het reguliere MFK zijn vastgelegd. De verdeling is in onderstaande tabel weergegeven.</w:t>
      </w:r>
      <w:r w:rsidRPr="0026548F" w:rsidR="0026548F">
        <w:rPr>
          <w:rFonts w:ascii="Verdana" w:hAnsi="Verdana" w:eastAsia="Calibri" w:cs="Times New Roman"/>
          <w:sz w:val="18"/>
          <w:szCs w:val="18"/>
        </w:rPr>
        <w:t xml:space="preserve"> </w:t>
      </w:r>
      <w:r w:rsidR="0026548F">
        <w:rPr>
          <w:rFonts w:ascii="Verdana" w:hAnsi="Verdana" w:eastAsia="Calibri" w:cs="Times New Roman"/>
          <w:sz w:val="18"/>
          <w:szCs w:val="18"/>
        </w:rPr>
        <w:t xml:space="preserve">In het oorspronkelijke Commissievoorstel was voorzien dat 500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0026548F">
        <w:rPr>
          <w:rFonts w:ascii="Verdana" w:hAnsi="Verdana" w:eastAsia="Calibri" w:cs="Times New Roman"/>
          <w:sz w:val="18"/>
          <w:szCs w:val="18"/>
        </w:rPr>
        <w:t xml:space="preserve">euro via subsidies zou worden verstrekt en 250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0026548F">
        <w:rPr>
          <w:rFonts w:ascii="Verdana" w:hAnsi="Verdana" w:eastAsia="Calibri" w:cs="Times New Roman"/>
          <w:sz w:val="18"/>
          <w:szCs w:val="18"/>
        </w:rPr>
        <w:t xml:space="preserve">euro via leningen. Door Nederlandse inzet is in het overeengekomen pakket het aandeel leningen fors </w:t>
      </w:r>
      <w:r w:rsidR="00E00B93">
        <w:rPr>
          <w:rFonts w:ascii="Verdana" w:hAnsi="Verdana" w:eastAsia="Calibri" w:cs="Times New Roman"/>
          <w:sz w:val="18"/>
          <w:szCs w:val="18"/>
        </w:rPr>
        <w:t xml:space="preserve">toegenomen </w:t>
      </w:r>
      <w:r w:rsidR="0026548F">
        <w:rPr>
          <w:rFonts w:ascii="Verdana" w:hAnsi="Verdana" w:eastAsia="Calibri" w:cs="Times New Roman"/>
          <w:sz w:val="18"/>
          <w:szCs w:val="18"/>
        </w:rPr>
        <w:t>ten koste van het subsidiedeel.</w:t>
      </w:r>
    </w:p>
    <w:tbl>
      <w:tblPr>
        <w:tblW w:w="7410" w:type="dxa"/>
        <w:jc w:val="center"/>
        <w:tblCellMar>
          <w:left w:w="70" w:type="dxa"/>
          <w:right w:w="70" w:type="dxa"/>
        </w:tblCellMar>
        <w:tblLook w:val="04A0" w:firstRow="1" w:lastRow="0" w:firstColumn="1" w:lastColumn="0" w:noHBand="0" w:noVBand="1"/>
      </w:tblPr>
      <w:tblGrid>
        <w:gridCol w:w="3099"/>
        <w:gridCol w:w="161"/>
        <w:gridCol w:w="1555"/>
        <w:gridCol w:w="1473"/>
        <w:gridCol w:w="960"/>
        <w:gridCol w:w="162"/>
      </w:tblGrid>
      <w:tr w:rsidRPr="00BB0631" w:rsidR="00BB0631" w:rsidTr="009560A4" w14:paraId="66FA65E8" w14:textId="77777777">
        <w:trPr>
          <w:trHeight w:val="300"/>
          <w:jc w:val="center"/>
        </w:trPr>
        <w:tc>
          <w:tcPr>
            <w:tcW w:w="7410" w:type="dxa"/>
            <w:gridSpan w:val="6"/>
            <w:tcBorders>
              <w:top w:val="single" w:color="auto" w:sz="4" w:space="0"/>
              <w:left w:val="single" w:color="auto" w:sz="4" w:space="0"/>
              <w:bottom w:val="nil"/>
              <w:right w:val="single" w:color="000000" w:sz="4" w:space="0"/>
            </w:tcBorders>
            <w:shd w:val="clear" w:color="000000" w:fill="002060"/>
            <w:noWrap/>
            <w:vAlign w:val="bottom"/>
            <w:hideMark/>
          </w:tcPr>
          <w:p w:rsidRPr="00BB0631" w:rsidR="00BB0631" w:rsidP="00BB0631" w:rsidRDefault="00BB0631" w14:paraId="664E5AB3" w14:textId="77777777">
            <w:pPr>
              <w:spacing w:after="0" w:line="240" w:lineRule="auto"/>
              <w:jc w:val="both"/>
              <w:rPr>
                <w:rFonts w:ascii="Calibri" w:hAnsi="Calibri" w:eastAsia="Times New Roman" w:cs="Calibri"/>
                <w:b/>
                <w:bCs/>
                <w:color w:val="FFFFFF"/>
                <w:lang w:eastAsia="nl-NL"/>
              </w:rPr>
            </w:pPr>
            <w:r w:rsidRPr="00BB0631">
              <w:rPr>
                <w:rFonts w:ascii="Calibri" w:hAnsi="Calibri" w:eastAsia="Times New Roman" w:cs="Calibri"/>
                <w:b/>
                <w:bCs/>
                <w:color w:val="FFFFFF"/>
                <w:lang w:eastAsia="nl-NL"/>
              </w:rPr>
              <w:t xml:space="preserve">Herstelinstrument </w:t>
            </w:r>
            <w:r w:rsidRPr="00BB0631">
              <w:rPr>
                <w:rFonts w:ascii="Calibri" w:hAnsi="Calibri" w:eastAsia="Times New Roman" w:cs="Calibri"/>
                <w:b/>
                <w:bCs/>
                <w:i/>
                <w:color w:val="FFFFFF"/>
                <w:lang w:eastAsia="nl-NL"/>
              </w:rPr>
              <w:t xml:space="preserve">Next Generation EU </w:t>
            </w:r>
            <w:r w:rsidRPr="00BB0631">
              <w:rPr>
                <w:rFonts w:ascii="Calibri" w:hAnsi="Calibri" w:eastAsia="Times New Roman" w:cs="Calibri"/>
                <w:b/>
                <w:bCs/>
                <w:color w:val="FFFFFF"/>
                <w:lang w:eastAsia="nl-NL"/>
              </w:rPr>
              <w:t>(in miljarden euro; prijzen 2018)</w:t>
            </w:r>
          </w:p>
        </w:tc>
      </w:tr>
      <w:tr w:rsidRPr="00BB0631" w:rsidR="00BB0631" w:rsidTr="009560A4" w14:paraId="1C81F677" w14:textId="77777777">
        <w:trPr>
          <w:trHeight w:val="415"/>
          <w:jc w:val="center"/>
        </w:trPr>
        <w:tc>
          <w:tcPr>
            <w:tcW w:w="3099" w:type="dxa"/>
            <w:tcBorders>
              <w:top w:val="nil"/>
              <w:left w:val="single" w:color="auto" w:sz="4" w:space="0"/>
              <w:bottom w:val="single" w:color="auto" w:sz="4" w:space="0"/>
              <w:right w:val="nil"/>
            </w:tcBorders>
            <w:shd w:val="clear" w:color="auto" w:fill="auto"/>
            <w:noWrap/>
            <w:vAlign w:val="bottom"/>
            <w:hideMark/>
          </w:tcPr>
          <w:p w:rsidRPr="00BB0631" w:rsidR="00BB0631" w:rsidP="00BB0631" w:rsidRDefault="00BB0631" w14:paraId="2F24702A"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 </w:t>
            </w:r>
          </w:p>
        </w:tc>
        <w:tc>
          <w:tcPr>
            <w:tcW w:w="161" w:type="dxa"/>
            <w:tcBorders>
              <w:top w:val="nil"/>
              <w:left w:val="nil"/>
              <w:bottom w:val="single" w:color="auto" w:sz="4" w:space="0"/>
              <w:right w:val="nil"/>
            </w:tcBorders>
            <w:shd w:val="clear" w:color="auto" w:fill="auto"/>
            <w:vAlign w:val="bottom"/>
            <w:hideMark/>
          </w:tcPr>
          <w:p w:rsidRPr="00BB0631" w:rsidR="00BB0631" w:rsidP="00BB0631" w:rsidRDefault="00BB0631" w14:paraId="23EFD0E7" w14:textId="77777777">
            <w:pPr>
              <w:spacing w:after="0" w:line="240" w:lineRule="auto"/>
              <w:jc w:val="both"/>
              <w:rPr>
                <w:rFonts w:ascii="Calibri" w:hAnsi="Calibri" w:eastAsia="Times New Roman" w:cs="Calibri"/>
                <w:b/>
                <w:bCs/>
                <w:color w:val="000000"/>
                <w:lang w:eastAsia="nl-NL"/>
              </w:rPr>
            </w:pPr>
          </w:p>
        </w:tc>
        <w:tc>
          <w:tcPr>
            <w:tcW w:w="1555" w:type="dxa"/>
            <w:tcBorders>
              <w:top w:val="nil"/>
              <w:left w:val="nil"/>
              <w:bottom w:val="single" w:color="auto" w:sz="4" w:space="0"/>
              <w:right w:val="nil"/>
            </w:tcBorders>
            <w:shd w:val="clear" w:color="auto" w:fill="auto"/>
            <w:vAlign w:val="bottom"/>
            <w:hideMark/>
          </w:tcPr>
          <w:p w:rsidRPr="00BB0631" w:rsidR="00BB0631" w:rsidP="00BB0631" w:rsidRDefault="00BB0631" w14:paraId="422DF8FF" w14:textId="77777777">
            <w:pPr>
              <w:spacing w:after="0" w:line="240" w:lineRule="auto"/>
              <w:jc w:val="both"/>
              <w:rPr>
                <w:rFonts w:ascii="Calibri" w:hAnsi="Calibri" w:eastAsia="Times New Roman" w:cs="Calibri"/>
                <w:b/>
                <w:bCs/>
                <w:color w:val="000000"/>
                <w:lang w:eastAsia="nl-NL"/>
              </w:rPr>
            </w:pPr>
            <w:r w:rsidRPr="00BB0631">
              <w:rPr>
                <w:rFonts w:ascii="Calibri" w:hAnsi="Calibri" w:eastAsia="Times New Roman" w:cs="Calibri"/>
                <w:b/>
                <w:bCs/>
                <w:color w:val="000000"/>
                <w:lang w:eastAsia="nl-NL"/>
              </w:rPr>
              <w:t>Leningen</w:t>
            </w:r>
          </w:p>
        </w:tc>
        <w:tc>
          <w:tcPr>
            <w:tcW w:w="1473" w:type="dxa"/>
            <w:tcBorders>
              <w:top w:val="nil"/>
              <w:left w:val="nil"/>
              <w:bottom w:val="single" w:color="auto" w:sz="4" w:space="0"/>
              <w:right w:val="nil"/>
            </w:tcBorders>
            <w:shd w:val="clear" w:color="auto" w:fill="auto"/>
            <w:vAlign w:val="bottom"/>
            <w:hideMark/>
          </w:tcPr>
          <w:p w:rsidRPr="00BB0631" w:rsidR="00BB0631" w:rsidP="00BB0631" w:rsidRDefault="00BB0631" w14:paraId="78B6289F" w14:textId="77777777">
            <w:pPr>
              <w:spacing w:after="0" w:line="240" w:lineRule="auto"/>
              <w:jc w:val="both"/>
              <w:rPr>
                <w:rFonts w:ascii="Calibri" w:hAnsi="Calibri" w:eastAsia="Times New Roman" w:cs="Calibri"/>
                <w:b/>
                <w:bCs/>
                <w:color w:val="000000"/>
                <w:lang w:eastAsia="nl-NL"/>
              </w:rPr>
            </w:pPr>
            <w:r w:rsidRPr="00BB0631">
              <w:rPr>
                <w:rFonts w:ascii="Calibri" w:hAnsi="Calibri" w:eastAsia="Times New Roman" w:cs="Calibri"/>
                <w:b/>
                <w:bCs/>
                <w:color w:val="000000"/>
                <w:lang w:eastAsia="nl-NL"/>
              </w:rPr>
              <w:t>Subsidies</w:t>
            </w:r>
          </w:p>
        </w:tc>
        <w:tc>
          <w:tcPr>
            <w:tcW w:w="960" w:type="dxa"/>
            <w:tcBorders>
              <w:top w:val="nil"/>
              <w:left w:val="nil"/>
              <w:bottom w:val="single" w:color="auto" w:sz="4" w:space="0"/>
              <w:right w:val="nil"/>
            </w:tcBorders>
            <w:shd w:val="clear" w:color="auto" w:fill="auto"/>
            <w:vAlign w:val="bottom"/>
            <w:hideMark/>
          </w:tcPr>
          <w:p w:rsidRPr="00BB0631" w:rsidR="00BB0631" w:rsidP="00BB0631" w:rsidRDefault="00BB0631" w14:paraId="7F4161BB" w14:textId="77777777">
            <w:pPr>
              <w:spacing w:after="0" w:line="240" w:lineRule="auto"/>
              <w:jc w:val="both"/>
              <w:rPr>
                <w:rFonts w:ascii="Calibri" w:hAnsi="Calibri" w:eastAsia="Times New Roman" w:cs="Calibri"/>
                <w:b/>
                <w:bCs/>
                <w:color w:val="000000"/>
                <w:lang w:eastAsia="nl-NL"/>
              </w:rPr>
            </w:pPr>
            <w:r w:rsidRPr="00BB0631">
              <w:rPr>
                <w:rFonts w:ascii="Calibri" w:hAnsi="Calibri" w:eastAsia="Times New Roman" w:cs="Calibri"/>
                <w:b/>
                <w:bCs/>
                <w:color w:val="000000"/>
                <w:lang w:eastAsia="nl-NL"/>
              </w:rPr>
              <w:t>Totaal</w:t>
            </w:r>
          </w:p>
        </w:tc>
        <w:tc>
          <w:tcPr>
            <w:tcW w:w="162" w:type="dxa"/>
            <w:tcBorders>
              <w:top w:val="nil"/>
              <w:left w:val="nil"/>
              <w:bottom w:val="single" w:color="auto" w:sz="4" w:space="0"/>
              <w:right w:val="single" w:color="auto" w:sz="4" w:space="0"/>
            </w:tcBorders>
            <w:shd w:val="clear" w:color="auto" w:fill="auto"/>
            <w:vAlign w:val="bottom"/>
            <w:hideMark/>
          </w:tcPr>
          <w:p w:rsidRPr="00BB0631" w:rsidR="00BB0631" w:rsidP="00BB0631" w:rsidRDefault="00BB0631" w14:paraId="0A4F3A73" w14:textId="77777777">
            <w:pPr>
              <w:spacing w:after="0" w:line="240" w:lineRule="auto"/>
              <w:jc w:val="both"/>
              <w:rPr>
                <w:rFonts w:ascii="Calibri" w:hAnsi="Calibri" w:eastAsia="Times New Roman" w:cs="Calibri"/>
                <w:b/>
                <w:bCs/>
                <w:color w:val="000000"/>
                <w:lang w:eastAsia="nl-NL"/>
              </w:rPr>
            </w:pPr>
          </w:p>
        </w:tc>
      </w:tr>
      <w:tr w:rsidRPr="00BB0631" w:rsidR="00BB0631" w:rsidTr="009560A4" w14:paraId="1FAC11D0"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40D8FEE9"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Recovery and Resilience Facility</w:t>
            </w:r>
          </w:p>
        </w:tc>
        <w:tc>
          <w:tcPr>
            <w:tcW w:w="161" w:type="dxa"/>
            <w:tcBorders>
              <w:top w:val="nil"/>
              <w:left w:val="nil"/>
              <w:bottom w:val="nil"/>
              <w:right w:val="nil"/>
            </w:tcBorders>
            <w:shd w:val="clear" w:color="auto" w:fill="auto"/>
            <w:noWrap/>
            <w:vAlign w:val="bottom"/>
          </w:tcPr>
          <w:p w:rsidRPr="00BB0631" w:rsidR="00BB0631" w:rsidP="00BB0631" w:rsidRDefault="00BB0631" w14:paraId="5FB7F5A7" w14:textId="77777777">
            <w:pPr>
              <w:spacing w:after="0" w:line="240" w:lineRule="auto"/>
              <w:jc w:val="both"/>
              <w:rPr>
                <w:rFonts w:ascii="Calibri" w:hAnsi="Calibri" w:eastAsia="Times New Roman" w:cs="Calibri"/>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2F57ECAC"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360</w:t>
            </w:r>
          </w:p>
        </w:tc>
        <w:tc>
          <w:tcPr>
            <w:tcW w:w="1473" w:type="dxa"/>
            <w:tcBorders>
              <w:top w:val="nil"/>
              <w:left w:val="nil"/>
              <w:bottom w:val="nil"/>
              <w:right w:val="nil"/>
            </w:tcBorders>
            <w:shd w:val="clear" w:color="auto" w:fill="auto"/>
            <w:noWrap/>
            <w:vAlign w:val="bottom"/>
          </w:tcPr>
          <w:p w:rsidRPr="00BB0631" w:rsidR="00BB0631" w:rsidP="00BB0631" w:rsidRDefault="00BB0631" w14:paraId="5B1F56A1"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312,5</w:t>
            </w:r>
          </w:p>
        </w:tc>
        <w:tc>
          <w:tcPr>
            <w:tcW w:w="960" w:type="dxa"/>
            <w:tcBorders>
              <w:top w:val="nil"/>
              <w:left w:val="nil"/>
              <w:bottom w:val="nil"/>
              <w:right w:val="nil"/>
            </w:tcBorders>
            <w:shd w:val="clear" w:color="auto" w:fill="auto"/>
            <w:noWrap/>
            <w:vAlign w:val="bottom"/>
          </w:tcPr>
          <w:p w:rsidRPr="00BB0631" w:rsidR="00BB0631" w:rsidP="00BB0631" w:rsidRDefault="00581EC0" w14:paraId="5C4B37A7" w14:textId="47DEA333">
            <w:pPr>
              <w:spacing w:after="0" w:line="240" w:lineRule="auto"/>
              <w:jc w:val="both"/>
              <w:rPr>
                <w:rFonts w:ascii="Calibri" w:hAnsi="Calibri" w:eastAsia="Times New Roman" w:cs="Calibri"/>
                <w:color w:val="000000"/>
                <w:lang w:eastAsia="nl-NL"/>
              </w:rPr>
            </w:pPr>
            <w:r>
              <w:rPr>
                <w:rFonts w:ascii="Calibri" w:hAnsi="Calibri" w:eastAsia="Times New Roman" w:cs="Calibri"/>
                <w:color w:val="000000"/>
                <w:lang w:eastAsia="nl-NL"/>
              </w:rPr>
              <w:t>672,5</w:t>
            </w:r>
          </w:p>
        </w:tc>
        <w:tc>
          <w:tcPr>
            <w:tcW w:w="162" w:type="dxa"/>
            <w:tcBorders>
              <w:top w:val="nil"/>
              <w:left w:val="nil"/>
              <w:bottom w:val="nil"/>
              <w:right w:val="single" w:color="auto" w:sz="4" w:space="0"/>
            </w:tcBorders>
            <w:shd w:val="clear" w:color="auto" w:fill="auto"/>
            <w:noWrap/>
            <w:vAlign w:val="bottom"/>
          </w:tcPr>
          <w:p w:rsidRPr="00BB0631" w:rsidR="00BB0631" w:rsidP="00BB0631" w:rsidRDefault="00BB0631" w14:paraId="4CA2E15A" w14:textId="77777777">
            <w:pPr>
              <w:spacing w:after="0" w:line="240" w:lineRule="auto"/>
              <w:jc w:val="both"/>
              <w:rPr>
                <w:rFonts w:ascii="Calibri" w:hAnsi="Calibri" w:eastAsia="Times New Roman" w:cs="Calibri"/>
                <w:color w:val="000000"/>
                <w:lang w:eastAsia="nl-NL"/>
              </w:rPr>
            </w:pPr>
          </w:p>
        </w:tc>
      </w:tr>
      <w:tr w:rsidRPr="00BB0631" w:rsidR="00BB0631" w:rsidTr="009560A4" w14:paraId="042C856B"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2734236B"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ReactEU</w:t>
            </w:r>
          </w:p>
        </w:tc>
        <w:tc>
          <w:tcPr>
            <w:tcW w:w="161" w:type="dxa"/>
            <w:tcBorders>
              <w:top w:val="nil"/>
              <w:left w:val="nil"/>
              <w:bottom w:val="nil"/>
              <w:right w:val="nil"/>
            </w:tcBorders>
            <w:shd w:val="clear" w:color="auto" w:fill="auto"/>
            <w:noWrap/>
            <w:vAlign w:val="bottom"/>
          </w:tcPr>
          <w:p w:rsidRPr="00BB0631" w:rsidR="00BB0631" w:rsidP="00BB0631" w:rsidRDefault="00BB0631" w14:paraId="163F84F5" w14:textId="77777777">
            <w:pPr>
              <w:spacing w:after="0" w:line="240" w:lineRule="auto"/>
              <w:jc w:val="both"/>
              <w:rPr>
                <w:rFonts w:ascii="Calibri" w:hAnsi="Calibri" w:eastAsia="Times New Roman" w:cs="Calibri"/>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1DDC709D" w14:textId="77777777">
            <w:pPr>
              <w:spacing w:after="0" w:line="240" w:lineRule="auto"/>
              <w:jc w:val="both"/>
              <w:rPr>
                <w:rFonts w:ascii="Calibri" w:hAnsi="Calibri" w:eastAsia="Times New Roman" w:cs="Calibri"/>
                <w:i/>
                <w:color w:val="000000"/>
                <w:lang w:eastAsia="nl-NL"/>
              </w:rPr>
            </w:pPr>
            <w:r w:rsidRPr="00BB0631">
              <w:rPr>
                <w:rFonts w:ascii="Calibri" w:hAnsi="Calibri" w:eastAsia="Times New Roman" w:cs="Calibri"/>
                <w:i/>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BB0631" w14:paraId="2CD9070F"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47,5</w:t>
            </w:r>
          </w:p>
        </w:tc>
        <w:tc>
          <w:tcPr>
            <w:tcW w:w="960" w:type="dxa"/>
            <w:tcBorders>
              <w:top w:val="nil"/>
              <w:left w:val="nil"/>
              <w:bottom w:val="nil"/>
              <w:right w:val="nil"/>
            </w:tcBorders>
            <w:shd w:val="clear" w:color="auto" w:fill="auto"/>
            <w:noWrap/>
            <w:vAlign w:val="bottom"/>
          </w:tcPr>
          <w:p w:rsidRPr="00BB0631" w:rsidR="00BB0631" w:rsidP="00BB0631" w:rsidRDefault="00BB0631" w14:paraId="1CF0A3FE"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47,5</w:t>
            </w:r>
          </w:p>
        </w:tc>
        <w:tc>
          <w:tcPr>
            <w:tcW w:w="162" w:type="dxa"/>
            <w:tcBorders>
              <w:top w:val="nil"/>
              <w:left w:val="nil"/>
              <w:bottom w:val="nil"/>
              <w:right w:val="single" w:color="auto" w:sz="4" w:space="0"/>
            </w:tcBorders>
            <w:shd w:val="clear" w:color="auto" w:fill="auto"/>
            <w:noWrap/>
            <w:vAlign w:val="bottom"/>
          </w:tcPr>
          <w:p w:rsidRPr="00BB0631" w:rsidR="00BB0631" w:rsidP="00BB0631" w:rsidRDefault="00BB0631" w14:paraId="56CFFD12" w14:textId="77777777">
            <w:pPr>
              <w:spacing w:after="0" w:line="240" w:lineRule="auto"/>
              <w:jc w:val="both"/>
              <w:rPr>
                <w:rFonts w:ascii="Calibri" w:hAnsi="Calibri" w:eastAsia="Times New Roman" w:cs="Calibri"/>
                <w:color w:val="000000"/>
                <w:lang w:eastAsia="nl-NL"/>
              </w:rPr>
            </w:pPr>
          </w:p>
        </w:tc>
      </w:tr>
      <w:tr w:rsidRPr="00BB0631" w:rsidR="00BB0631" w:rsidTr="009560A4" w14:paraId="62694AE8"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3B07003C"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Horizon Europe</w:t>
            </w:r>
          </w:p>
        </w:tc>
        <w:tc>
          <w:tcPr>
            <w:tcW w:w="161" w:type="dxa"/>
            <w:tcBorders>
              <w:top w:val="nil"/>
              <w:left w:val="nil"/>
              <w:bottom w:val="nil"/>
              <w:right w:val="nil"/>
            </w:tcBorders>
            <w:shd w:val="clear" w:color="auto" w:fill="auto"/>
            <w:noWrap/>
            <w:vAlign w:val="bottom"/>
          </w:tcPr>
          <w:p w:rsidRPr="00BB0631" w:rsidR="00BB0631" w:rsidP="00BB0631" w:rsidRDefault="00BB0631" w14:paraId="16A0D7A4" w14:textId="77777777">
            <w:pPr>
              <w:spacing w:after="0" w:line="240" w:lineRule="auto"/>
              <w:jc w:val="both"/>
              <w:rPr>
                <w:rFonts w:ascii="Calibri" w:hAnsi="Calibri" w:eastAsia="Times New Roman" w:cs="Calibri"/>
                <w:i/>
                <w:iCs/>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337D59E3" w14:textId="77777777">
            <w:pPr>
              <w:spacing w:after="0" w:line="240" w:lineRule="auto"/>
              <w:jc w:val="both"/>
              <w:rPr>
                <w:rFonts w:ascii="Calibri" w:hAnsi="Calibri" w:eastAsia="Times New Roman" w:cs="Calibri"/>
                <w:i/>
                <w:iCs/>
                <w:color w:val="000000"/>
                <w:lang w:eastAsia="nl-NL"/>
              </w:rPr>
            </w:pPr>
            <w:r w:rsidRPr="00BB0631">
              <w:rPr>
                <w:rFonts w:ascii="Calibri" w:hAnsi="Calibri" w:eastAsia="Times New Roman" w:cs="Calibri"/>
                <w:i/>
                <w:iCs/>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BB0631" w14:paraId="6AEE32DA"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5</w:t>
            </w:r>
          </w:p>
        </w:tc>
        <w:tc>
          <w:tcPr>
            <w:tcW w:w="960" w:type="dxa"/>
            <w:tcBorders>
              <w:top w:val="nil"/>
              <w:left w:val="nil"/>
              <w:bottom w:val="nil"/>
              <w:right w:val="nil"/>
            </w:tcBorders>
            <w:shd w:val="clear" w:color="auto" w:fill="auto"/>
            <w:noWrap/>
            <w:vAlign w:val="bottom"/>
          </w:tcPr>
          <w:p w:rsidRPr="00BB0631" w:rsidR="00BB0631" w:rsidP="00BB0631" w:rsidRDefault="00BB0631" w14:paraId="4F21C9C8"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5</w:t>
            </w:r>
          </w:p>
        </w:tc>
        <w:tc>
          <w:tcPr>
            <w:tcW w:w="162" w:type="dxa"/>
            <w:tcBorders>
              <w:top w:val="nil"/>
              <w:left w:val="nil"/>
              <w:bottom w:val="nil"/>
              <w:right w:val="single" w:color="auto" w:sz="4" w:space="0"/>
            </w:tcBorders>
            <w:shd w:val="clear" w:color="auto" w:fill="auto"/>
            <w:noWrap/>
            <w:vAlign w:val="bottom"/>
          </w:tcPr>
          <w:p w:rsidRPr="00BB0631" w:rsidR="00BB0631" w:rsidP="00BB0631" w:rsidRDefault="00BB0631" w14:paraId="5E46EFC5" w14:textId="77777777">
            <w:pPr>
              <w:spacing w:after="0" w:line="240" w:lineRule="auto"/>
              <w:jc w:val="both"/>
              <w:rPr>
                <w:rFonts w:ascii="Calibri" w:hAnsi="Calibri" w:eastAsia="Times New Roman" w:cs="Calibri"/>
                <w:color w:val="000000"/>
                <w:lang w:eastAsia="nl-NL"/>
              </w:rPr>
            </w:pPr>
          </w:p>
        </w:tc>
      </w:tr>
      <w:tr w:rsidRPr="00BB0631" w:rsidR="00BB0631" w:rsidTr="009560A4" w14:paraId="202549CB"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7C6B8729"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InvestEU</w:t>
            </w:r>
          </w:p>
        </w:tc>
        <w:tc>
          <w:tcPr>
            <w:tcW w:w="161" w:type="dxa"/>
            <w:tcBorders>
              <w:top w:val="nil"/>
              <w:left w:val="nil"/>
              <w:bottom w:val="nil"/>
              <w:right w:val="nil"/>
            </w:tcBorders>
            <w:shd w:val="clear" w:color="auto" w:fill="auto"/>
            <w:noWrap/>
            <w:vAlign w:val="bottom"/>
          </w:tcPr>
          <w:p w:rsidRPr="00BB0631" w:rsidR="00BB0631" w:rsidP="00BB0631" w:rsidRDefault="00BB0631" w14:paraId="442D2AC7" w14:textId="77777777">
            <w:pPr>
              <w:spacing w:after="0" w:line="240" w:lineRule="auto"/>
              <w:jc w:val="both"/>
              <w:rPr>
                <w:rFonts w:ascii="Calibri" w:hAnsi="Calibri" w:eastAsia="Times New Roman" w:cs="Calibri"/>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13CEE9F0" w14:textId="77777777">
            <w:pPr>
              <w:spacing w:after="0" w:line="240" w:lineRule="auto"/>
              <w:jc w:val="both"/>
              <w:rPr>
                <w:rFonts w:ascii="Calibri" w:hAnsi="Calibri" w:eastAsia="Times New Roman" w:cs="Calibri"/>
                <w:i/>
                <w:color w:val="000000"/>
                <w:lang w:eastAsia="nl-NL"/>
              </w:rPr>
            </w:pPr>
            <w:r w:rsidRPr="00BB0631">
              <w:rPr>
                <w:rFonts w:ascii="Calibri" w:hAnsi="Calibri" w:eastAsia="Times New Roman" w:cs="Calibri"/>
                <w:i/>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A946C1" w14:paraId="03F16745" w14:textId="675FCC0B">
            <w:pPr>
              <w:spacing w:after="0" w:line="240" w:lineRule="auto"/>
              <w:jc w:val="both"/>
              <w:rPr>
                <w:rFonts w:ascii="Calibri" w:hAnsi="Calibri" w:eastAsia="Times New Roman" w:cs="Calibri"/>
                <w:color w:val="000000"/>
                <w:lang w:eastAsia="nl-NL"/>
              </w:rPr>
            </w:pPr>
            <w:r>
              <w:rPr>
                <w:rFonts w:ascii="Calibri" w:hAnsi="Calibri" w:eastAsia="Times New Roman" w:cs="Calibri"/>
                <w:color w:val="000000"/>
                <w:lang w:eastAsia="nl-NL"/>
              </w:rPr>
              <w:t>5,6</w:t>
            </w:r>
          </w:p>
        </w:tc>
        <w:tc>
          <w:tcPr>
            <w:tcW w:w="960" w:type="dxa"/>
            <w:tcBorders>
              <w:top w:val="nil"/>
              <w:left w:val="nil"/>
              <w:bottom w:val="nil"/>
              <w:right w:val="nil"/>
            </w:tcBorders>
            <w:shd w:val="clear" w:color="auto" w:fill="auto"/>
            <w:noWrap/>
            <w:vAlign w:val="bottom"/>
          </w:tcPr>
          <w:p w:rsidRPr="00BB0631" w:rsidR="00BB0631" w:rsidP="00BB0631" w:rsidRDefault="00A946C1" w14:paraId="5F1375B1" w14:textId="7318DD31">
            <w:pPr>
              <w:spacing w:after="0" w:line="240" w:lineRule="auto"/>
              <w:jc w:val="both"/>
              <w:rPr>
                <w:rFonts w:ascii="Calibri" w:hAnsi="Calibri" w:eastAsia="Times New Roman" w:cs="Calibri"/>
                <w:color w:val="000000"/>
                <w:lang w:eastAsia="nl-NL"/>
              </w:rPr>
            </w:pPr>
            <w:r>
              <w:rPr>
                <w:rFonts w:ascii="Calibri" w:hAnsi="Calibri" w:eastAsia="Times New Roman" w:cs="Calibri"/>
                <w:color w:val="000000"/>
                <w:lang w:eastAsia="nl-NL"/>
              </w:rPr>
              <w:t>5,6</w:t>
            </w:r>
          </w:p>
        </w:tc>
        <w:tc>
          <w:tcPr>
            <w:tcW w:w="162" w:type="dxa"/>
            <w:tcBorders>
              <w:top w:val="nil"/>
              <w:left w:val="nil"/>
              <w:bottom w:val="nil"/>
              <w:right w:val="single" w:color="auto" w:sz="4" w:space="0"/>
            </w:tcBorders>
            <w:shd w:val="clear" w:color="auto" w:fill="auto"/>
            <w:noWrap/>
            <w:vAlign w:val="bottom"/>
          </w:tcPr>
          <w:p w:rsidRPr="00BB0631" w:rsidR="00BB0631" w:rsidP="00BB0631" w:rsidRDefault="00BB0631" w14:paraId="0896E6EA" w14:textId="77777777">
            <w:pPr>
              <w:spacing w:after="0" w:line="240" w:lineRule="auto"/>
              <w:jc w:val="both"/>
              <w:rPr>
                <w:rFonts w:ascii="Calibri" w:hAnsi="Calibri" w:eastAsia="Times New Roman" w:cs="Calibri"/>
                <w:color w:val="000000"/>
                <w:lang w:eastAsia="nl-NL"/>
              </w:rPr>
            </w:pPr>
          </w:p>
        </w:tc>
      </w:tr>
      <w:tr w:rsidRPr="00BB0631" w:rsidR="00BB0631" w:rsidTr="009560A4" w14:paraId="06A04464"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518CBFB8"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 xml:space="preserve">GLB - plattelandsontwikkeling </w:t>
            </w:r>
          </w:p>
        </w:tc>
        <w:tc>
          <w:tcPr>
            <w:tcW w:w="161" w:type="dxa"/>
            <w:tcBorders>
              <w:top w:val="nil"/>
              <w:left w:val="nil"/>
              <w:bottom w:val="nil"/>
              <w:right w:val="nil"/>
            </w:tcBorders>
            <w:shd w:val="clear" w:color="auto" w:fill="auto"/>
            <w:noWrap/>
            <w:vAlign w:val="bottom"/>
          </w:tcPr>
          <w:p w:rsidRPr="00BB0631" w:rsidR="00BB0631" w:rsidP="00BB0631" w:rsidRDefault="00BB0631" w14:paraId="1FA3E0EB" w14:textId="77777777">
            <w:pPr>
              <w:spacing w:after="0" w:line="240" w:lineRule="auto"/>
              <w:jc w:val="both"/>
              <w:rPr>
                <w:rFonts w:ascii="Calibri" w:hAnsi="Calibri" w:eastAsia="Times New Roman" w:cs="Calibri"/>
                <w:i/>
                <w:iCs/>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6CF86080" w14:textId="77777777">
            <w:pPr>
              <w:spacing w:after="0" w:line="240" w:lineRule="auto"/>
              <w:jc w:val="both"/>
              <w:rPr>
                <w:rFonts w:ascii="Calibri" w:hAnsi="Calibri" w:eastAsia="Times New Roman" w:cs="Calibri"/>
                <w:i/>
                <w:iCs/>
                <w:color w:val="000000"/>
                <w:lang w:eastAsia="nl-NL"/>
              </w:rPr>
            </w:pPr>
            <w:r w:rsidRPr="00BB0631">
              <w:rPr>
                <w:rFonts w:ascii="Calibri" w:hAnsi="Calibri" w:eastAsia="Times New Roman" w:cs="Calibri"/>
                <w:i/>
                <w:iCs/>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BB0631" w14:paraId="0F9AF322"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7,5</w:t>
            </w:r>
          </w:p>
        </w:tc>
        <w:tc>
          <w:tcPr>
            <w:tcW w:w="960" w:type="dxa"/>
            <w:tcBorders>
              <w:top w:val="nil"/>
              <w:left w:val="nil"/>
              <w:bottom w:val="nil"/>
              <w:right w:val="nil"/>
            </w:tcBorders>
            <w:shd w:val="clear" w:color="auto" w:fill="auto"/>
            <w:noWrap/>
            <w:vAlign w:val="bottom"/>
          </w:tcPr>
          <w:p w:rsidRPr="00BB0631" w:rsidR="00BB0631" w:rsidP="00BB0631" w:rsidRDefault="00BB0631" w14:paraId="466E10BB" w14:textId="77777777">
            <w:pPr>
              <w:spacing w:after="0" w:line="240" w:lineRule="auto"/>
              <w:jc w:val="both"/>
              <w:rPr>
                <w:rFonts w:ascii="Calibri" w:hAnsi="Calibri" w:eastAsia="Times New Roman" w:cs="Calibri"/>
                <w:iCs/>
                <w:color w:val="000000"/>
                <w:lang w:eastAsia="nl-NL"/>
              </w:rPr>
            </w:pPr>
            <w:r w:rsidRPr="00BB0631">
              <w:rPr>
                <w:rFonts w:ascii="Calibri" w:hAnsi="Calibri" w:eastAsia="Times New Roman" w:cs="Calibri"/>
                <w:iCs/>
                <w:color w:val="000000"/>
                <w:lang w:eastAsia="nl-NL"/>
              </w:rPr>
              <w:t>7,5</w:t>
            </w:r>
          </w:p>
        </w:tc>
        <w:tc>
          <w:tcPr>
            <w:tcW w:w="162" w:type="dxa"/>
            <w:tcBorders>
              <w:top w:val="nil"/>
              <w:left w:val="nil"/>
              <w:bottom w:val="nil"/>
              <w:right w:val="single" w:color="auto" w:sz="4" w:space="0"/>
            </w:tcBorders>
            <w:shd w:val="clear" w:color="auto" w:fill="auto"/>
            <w:noWrap/>
            <w:vAlign w:val="bottom"/>
          </w:tcPr>
          <w:p w:rsidRPr="00BB0631" w:rsidR="00BB0631" w:rsidP="00BB0631" w:rsidRDefault="00BB0631" w14:paraId="0784A450" w14:textId="77777777">
            <w:pPr>
              <w:spacing w:after="0" w:line="240" w:lineRule="auto"/>
              <w:jc w:val="both"/>
              <w:rPr>
                <w:rFonts w:ascii="Calibri" w:hAnsi="Calibri" w:eastAsia="Times New Roman" w:cs="Calibri"/>
                <w:color w:val="000000"/>
                <w:lang w:eastAsia="nl-NL"/>
              </w:rPr>
            </w:pPr>
          </w:p>
        </w:tc>
      </w:tr>
      <w:tr w:rsidRPr="00BB0631" w:rsidR="00BB0631" w:rsidTr="009560A4" w14:paraId="231D08E2"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4D6C7410"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JTF</w:t>
            </w:r>
          </w:p>
        </w:tc>
        <w:tc>
          <w:tcPr>
            <w:tcW w:w="161" w:type="dxa"/>
            <w:tcBorders>
              <w:top w:val="nil"/>
              <w:left w:val="nil"/>
              <w:bottom w:val="nil"/>
              <w:right w:val="nil"/>
            </w:tcBorders>
            <w:shd w:val="clear" w:color="auto" w:fill="auto"/>
            <w:noWrap/>
            <w:vAlign w:val="bottom"/>
          </w:tcPr>
          <w:p w:rsidRPr="00BB0631" w:rsidR="00BB0631" w:rsidP="00BB0631" w:rsidRDefault="00BB0631" w14:paraId="54AD6B71" w14:textId="77777777">
            <w:pPr>
              <w:spacing w:after="0" w:line="240" w:lineRule="auto"/>
              <w:jc w:val="both"/>
              <w:rPr>
                <w:rFonts w:ascii="Calibri" w:hAnsi="Calibri" w:eastAsia="Times New Roman" w:cs="Calibri"/>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1BFFC1E4" w14:textId="77777777">
            <w:pPr>
              <w:spacing w:after="0" w:line="240" w:lineRule="auto"/>
              <w:jc w:val="both"/>
              <w:rPr>
                <w:rFonts w:ascii="Calibri" w:hAnsi="Calibri" w:eastAsia="Times New Roman" w:cs="Calibri"/>
                <w:i/>
                <w:color w:val="000000"/>
                <w:lang w:eastAsia="nl-NL"/>
              </w:rPr>
            </w:pPr>
            <w:r w:rsidRPr="00BB0631">
              <w:rPr>
                <w:rFonts w:ascii="Calibri" w:hAnsi="Calibri" w:eastAsia="Times New Roman" w:cs="Calibri"/>
                <w:i/>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BB0631" w14:paraId="3DBE1AA0"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10</w:t>
            </w:r>
          </w:p>
        </w:tc>
        <w:tc>
          <w:tcPr>
            <w:tcW w:w="960" w:type="dxa"/>
            <w:tcBorders>
              <w:top w:val="nil"/>
              <w:left w:val="nil"/>
              <w:bottom w:val="nil"/>
              <w:right w:val="nil"/>
            </w:tcBorders>
            <w:shd w:val="clear" w:color="auto" w:fill="auto"/>
            <w:noWrap/>
            <w:vAlign w:val="bottom"/>
          </w:tcPr>
          <w:p w:rsidRPr="00BB0631" w:rsidR="00BB0631" w:rsidP="00BB0631" w:rsidRDefault="00BB0631" w14:paraId="41103AF3"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10</w:t>
            </w:r>
          </w:p>
        </w:tc>
        <w:tc>
          <w:tcPr>
            <w:tcW w:w="162" w:type="dxa"/>
            <w:tcBorders>
              <w:top w:val="nil"/>
              <w:left w:val="nil"/>
              <w:right w:val="single" w:color="auto" w:sz="4" w:space="0"/>
            </w:tcBorders>
            <w:shd w:val="clear" w:color="auto" w:fill="auto"/>
            <w:noWrap/>
            <w:vAlign w:val="bottom"/>
          </w:tcPr>
          <w:p w:rsidRPr="00BB0631" w:rsidR="00BB0631" w:rsidP="00BB0631" w:rsidRDefault="00BB0631" w14:paraId="26B2596A" w14:textId="77777777">
            <w:pPr>
              <w:spacing w:after="0" w:line="240" w:lineRule="auto"/>
              <w:jc w:val="both"/>
              <w:rPr>
                <w:rFonts w:ascii="Calibri" w:hAnsi="Calibri" w:eastAsia="Times New Roman" w:cs="Calibri"/>
                <w:color w:val="000000"/>
                <w:lang w:eastAsia="nl-NL"/>
              </w:rPr>
            </w:pPr>
          </w:p>
        </w:tc>
      </w:tr>
      <w:tr w:rsidRPr="00BB0631" w:rsidR="00BB0631" w:rsidTr="009560A4" w14:paraId="7F41BC64" w14:textId="77777777">
        <w:trPr>
          <w:trHeight w:val="300"/>
          <w:jc w:val="center"/>
        </w:trPr>
        <w:tc>
          <w:tcPr>
            <w:tcW w:w="3099" w:type="dxa"/>
            <w:tcBorders>
              <w:top w:val="nil"/>
              <w:left w:val="single" w:color="auto" w:sz="4" w:space="0"/>
              <w:bottom w:val="nil"/>
              <w:right w:val="nil"/>
            </w:tcBorders>
            <w:shd w:val="clear" w:color="auto" w:fill="auto"/>
            <w:noWrap/>
            <w:vAlign w:val="bottom"/>
            <w:hideMark/>
          </w:tcPr>
          <w:p w:rsidRPr="00BB0631" w:rsidR="00BB0631" w:rsidP="00BB0631" w:rsidRDefault="00BB0631" w14:paraId="2BEA839F"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RescEU</w:t>
            </w:r>
          </w:p>
        </w:tc>
        <w:tc>
          <w:tcPr>
            <w:tcW w:w="161" w:type="dxa"/>
            <w:tcBorders>
              <w:top w:val="nil"/>
              <w:left w:val="nil"/>
              <w:bottom w:val="nil"/>
              <w:right w:val="nil"/>
            </w:tcBorders>
            <w:shd w:val="clear" w:color="auto" w:fill="auto"/>
            <w:noWrap/>
            <w:vAlign w:val="bottom"/>
          </w:tcPr>
          <w:p w:rsidRPr="00BB0631" w:rsidR="00BB0631" w:rsidP="00BB0631" w:rsidRDefault="00BB0631" w14:paraId="5EC8231B" w14:textId="77777777">
            <w:pPr>
              <w:spacing w:after="0" w:line="240" w:lineRule="auto"/>
              <w:jc w:val="both"/>
              <w:rPr>
                <w:rFonts w:ascii="Calibri" w:hAnsi="Calibri" w:eastAsia="Times New Roman" w:cs="Calibri"/>
                <w:color w:val="000000"/>
                <w:lang w:eastAsia="nl-NL"/>
              </w:rPr>
            </w:pPr>
          </w:p>
        </w:tc>
        <w:tc>
          <w:tcPr>
            <w:tcW w:w="1555" w:type="dxa"/>
            <w:tcBorders>
              <w:top w:val="nil"/>
              <w:left w:val="nil"/>
              <w:bottom w:val="nil"/>
              <w:right w:val="nil"/>
            </w:tcBorders>
            <w:shd w:val="clear" w:color="auto" w:fill="auto"/>
            <w:noWrap/>
            <w:vAlign w:val="bottom"/>
          </w:tcPr>
          <w:p w:rsidRPr="00BB0631" w:rsidR="00BB0631" w:rsidP="00BB0631" w:rsidRDefault="00BB0631" w14:paraId="3EF7B36D" w14:textId="77777777">
            <w:pPr>
              <w:spacing w:after="0" w:line="240" w:lineRule="auto"/>
              <w:jc w:val="both"/>
              <w:rPr>
                <w:rFonts w:ascii="Calibri" w:hAnsi="Calibri" w:eastAsia="Times New Roman" w:cs="Calibri"/>
                <w:i/>
                <w:color w:val="000000"/>
                <w:lang w:eastAsia="nl-NL"/>
              </w:rPr>
            </w:pPr>
            <w:r w:rsidRPr="00BB0631">
              <w:rPr>
                <w:rFonts w:ascii="Calibri" w:hAnsi="Calibri" w:eastAsia="Times New Roman" w:cs="Calibri"/>
                <w:i/>
                <w:color w:val="000000"/>
                <w:lang w:eastAsia="nl-NL"/>
              </w:rPr>
              <w:t>-</w:t>
            </w:r>
          </w:p>
        </w:tc>
        <w:tc>
          <w:tcPr>
            <w:tcW w:w="1473" w:type="dxa"/>
            <w:tcBorders>
              <w:top w:val="nil"/>
              <w:left w:val="nil"/>
              <w:bottom w:val="nil"/>
              <w:right w:val="nil"/>
            </w:tcBorders>
            <w:shd w:val="clear" w:color="auto" w:fill="auto"/>
            <w:noWrap/>
            <w:vAlign w:val="bottom"/>
          </w:tcPr>
          <w:p w:rsidRPr="00BB0631" w:rsidR="00BB0631" w:rsidP="00BB0631" w:rsidRDefault="00BB0631" w14:paraId="3FAB36A9"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1,9</w:t>
            </w:r>
          </w:p>
        </w:tc>
        <w:tc>
          <w:tcPr>
            <w:tcW w:w="960" w:type="dxa"/>
            <w:tcBorders>
              <w:top w:val="nil"/>
              <w:left w:val="nil"/>
              <w:bottom w:val="nil"/>
              <w:right w:val="nil"/>
            </w:tcBorders>
            <w:shd w:val="clear" w:color="auto" w:fill="auto"/>
            <w:noWrap/>
            <w:vAlign w:val="bottom"/>
          </w:tcPr>
          <w:p w:rsidRPr="00BB0631" w:rsidR="00BB0631" w:rsidP="00BB0631" w:rsidRDefault="00BB0631" w14:paraId="265CD7F9" w14:textId="77777777">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color w:val="000000"/>
                <w:lang w:eastAsia="nl-NL"/>
              </w:rPr>
              <w:t>1,9</w:t>
            </w:r>
          </w:p>
        </w:tc>
        <w:tc>
          <w:tcPr>
            <w:tcW w:w="162" w:type="dxa"/>
            <w:tcBorders>
              <w:top w:val="nil"/>
              <w:left w:val="nil"/>
              <w:bottom w:val="single" w:color="auto" w:sz="4" w:space="0"/>
              <w:right w:val="single" w:color="auto" w:sz="4" w:space="0"/>
            </w:tcBorders>
            <w:shd w:val="clear" w:color="auto" w:fill="auto"/>
            <w:noWrap/>
            <w:vAlign w:val="bottom"/>
          </w:tcPr>
          <w:p w:rsidRPr="00BB0631" w:rsidR="00BB0631" w:rsidP="00BB0631" w:rsidRDefault="00BB0631" w14:paraId="52D6387C" w14:textId="77777777">
            <w:pPr>
              <w:spacing w:after="0" w:line="240" w:lineRule="auto"/>
              <w:jc w:val="both"/>
              <w:rPr>
                <w:rFonts w:ascii="Calibri" w:hAnsi="Calibri" w:eastAsia="Times New Roman" w:cs="Calibri"/>
                <w:color w:val="000000"/>
                <w:lang w:eastAsia="nl-NL"/>
              </w:rPr>
            </w:pPr>
          </w:p>
        </w:tc>
      </w:tr>
      <w:tr w:rsidRPr="00BB0631" w:rsidR="00A946C1" w:rsidTr="009560A4" w14:paraId="55B5E97F" w14:textId="77777777">
        <w:trPr>
          <w:trHeight w:val="300"/>
          <w:jc w:val="center"/>
        </w:trPr>
        <w:tc>
          <w:tcPr>
            <w:tcW w:w="3099" w:type="dxa"/>
            <w:tcBorders>
              <w:top w:val="single" w:color="auto" w:sz="4" w:space="0"/>
              <w:left w:val="single" w:color="auto" w:sz="4" w:space="0"/>
              <w:bottom w:val="single" w:color="auto" w:sz="4" w:space="0"/>
              <w:right w:val="nil"/>
            </w:tcBorders>
            <w:shd w:val="clear" w:color="auto" w:fill="auto"/>
            <w:noWrap/>
            <w:vAlign w:val="bottom"/>
            <w:hideMark/>
          </w:tcPr>
          <w:p w:rsidRPr="00BB0631" w:rsidR="00A946C1" w:rsidP="00BB0631" w:rsidRDefault="00A946C1" w14:paraId="17E5563F" w14:textId="5A845656">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b/>
                <w:bCs/>
                <w:color w:val="000000"/>
                <w:lang w:eastAsia="nl-NL"/>
              </w:rPr>
              <w:t xml:space="preserve">Totaal </w:t>
            </w:r>
          </w:p>
        </w:tc>
        <w:tc>
          <w:tcPr>
            <w:tcW w:w="161" w:type="dxa"/>
            <w:tcBorders>
              <w:top w:val="single" w:color="auto" w:sz="4" w:space="0"/>
              <w:left w:val="nil"/>
              <w:bottom w:val="single" w:color="auto" w:sz="4" w:space="0"/>
              <w:right w:val="nil"/>
            </w:tcBorders>
            <w:shd w:val="clear" w:color="auto" w:fill="auto"/>
            <w:noWrap/>
            <w:vAlign w:val="bottom"/>
          </w:tcPr>
          <w:p w:rsidRPr="00BB0631" w:rsidR="00A946C1" w:rsidP="00BB0631" w:rsidRDefault="00A946C1" w14:paraId="542A638F" w14:textId="77777777">
            <w:pPr>
              <w:spacing w:after="0" w:line="240" w:lineRule="auto"/>
              <w:jc w:val="both"/>
              <w:rPr>
                <w:rFonts w:ascii="Calibri" w:hAnsi="Calibri" w:eastAsia="Times New Roman" w:cs="Calibri"/>
                <w:color w:val="000000"/>
                <w:lang w:eastAsia="nl-NL"/>
              </w:rPr>
            </w:pPr>
          </w:p>
        </w:tc>
        <w:tc>
          <w:tcPr>
            <w:tcW w:w="1555" w:type="dxa"/>
            <w:tcBorders>
              <w:top w:val="single" w:color="auto" w:sz="4" w:space="0"/>
              <w:left w:val="nil"/>
              <w:bottom w:val="single" w:color="auto" w:sz="4" w:space="0"/>
              <w:right w:val="nil"/>
            </w:tcBorders>
            <w:shd w:val="clear" w:color="auto" w:fill="auto"/>
            <w:noWrap/>
            <w:vAlign w:val="bottom"/>
          </w:tcPr>
          <w:p w:rsidRPr="00BB0631" w:rsidR="00A946C1" w:rsidP="00BB0631" w:rsidRDefault="00A946C1" w14:paraId="793A5962" w14:textId="373E8AE2">
            <w:pPr>
              <w:spacing w:after="0" w:line="240" w:lineRule="auto"/>
              <w:jc w:val="both"/>
              <w:rPr>
                <w:rFonts w:ascii="Calibri" w:hAnsi="Calibri" w:eastAsia="Times New Roman" w:cs="Calibri"/>
                <w:i/>
                <w:color w:val="000000"/>
                <w:lang w:eastAsia="nl-NL"/>
              </w:rPr>
            </w:pPr>
            <w:r w:rsidRPr="00BB0631">
              <w:rPr>
                <w:rFonts w:ascii="Calibri" w:hAnsi="Calibri" w:eastAsia="Times New Roman" w:cs="Calibri"/>
                <w:b/>
                <w:bCs/>
                <w:color w:val="000000"/>
                <w:lang w:eastAsia="nl-NL"/>
              </w:rPr>
              <w:t>360</w:t>
            </w:r>
          </w:p>
        </w:tc>
        <w:tc>
          <w:tcPr>
            <w:tcW w:w="1473" w:type="dxa"/>
            <w:tcBorders>
              <w:top w:val="single" w:color="auto" w:sz="4" w:space="0"/>
              <w:left w:val="nil"/>
              <w:bottom w:val="single" w:color="auto" w:sz="4" w:space="0"/>
              <w:right w:val="nil"/>
            </w:tcBorders>
            <w:shd w:val="clear" w:color="auto" w:fill="auto"/>
            <w:noWrap/>
            <w:vAlign w:val="bottom"/>
          </w:tcPr>
          <w:p w:rsidRPr="00BB0631" w:rsidR="00A946C1" w:rsidP="00BB0631" w:rsidRDefault="00A946C1" w14:paraId="4E840F25" w14:textId="6D8BF5FF">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b/>
                <w:bCs/>
                <w:color w:val="000000"/>
                <w:lang w:eastAsia="nl-NL"/>
              </w:rPr>
              <w:t>390</w:t>
            </w:r>
          </w:p>
        </w:tc>
        <w:tc>
          <w:tcPr>
            <w:tcW w:w="960" w:type="dxa"/>
            <w:tcBorders>
              <w:top w:val="single" w:color="auto" w:sz="4" w:space="0"/>
              <w:left w:val="nil"/>
              <w:bottom w:val="single" w:color="auto" w:sz="4" w:space="0"/>
              <w:right w:val="nil"/>
            </w:tcBorders>
            <w:shd w:val="clear" w:color="auto" w:fill="auto"/>
            <w:noWrap/>
            <w:vAlign w:val="bottom"/>
          </w:tcPr>
          <w:p w:rsidRPr="00BB0631" w:rsidR="00A946C1" w:rsidP="00BB0631" w:rsidRDefault="00A946C1" w14:paraId="3B45D2BD" w14:textId="33CD3BB0">
            <w:pPr>
              <w:spacing w:after="0" w:line="240" w:lineRule="auto"/>
              <w:jc w:val="both"/>
              <w:rPr>
                <w:rFonts w:ascii="Calibri" w:hAnsi="Calibri" w:eastAsia="Times New Roman" w:cs="Calibri"/>
                <w:color w:val="000000"/>
                <w:lang w:eastAsia="nl-NL"/>
              </w:rPr>
            </w:pPr>
            <w:r w:rsidRPr="00BB0631">
              <w:rPr>
                <w:rFonts w:ascii="Calibri" w:hAnsi="Calibri" w:eastAsia="Times New Roman" w:cs="Calibri"/>
                <w:b/>
                <w:bCs/>
                <w:color w:val="000000"/>
                <w:lang w:eastAsia="nl-NL"/>
              </w:rPr>
              <w:t>750</w:t>
            </w:r>
          </w:p>
        </w:tc>
        <w:tc>
          <w:tcPr>
            <w:tcW w:w="162" w:type="dxa"/>
            <w:tcBorders>
              <w:top w:val="single" w:color="auto" w:sz="4" w:space="0"/>
              <w:left w:val="nil"/>
              <w:bottom w:val="single" w:color="auto" w:sz="4" w:space="0"/>
              <w:right w:val="single" w:color="auto" w:sz="4" w:space="0"/>
            </w:tcBorders>
            <w:shd w:val="clear" w:color="auto" w:fill="auto"/>
            <w:noWrap/>
            <w:vAlign w:val="bottom"/>
          </w:tcPr>
          <w:p w:rsidRPr="00BB0631" w:rsidR="00A946C1" w:rsidP="00BB0631" w:rsidRDefault="00A946C1" w14:paraId="00B25D67" w14:textId="77777777">
            <w:pPr>
              <w:spacing w:after="0" w:line="240" w:lineRule="auto"/>
              <w:jc w:val="both"/>
              <w:rPr>
                <w:rFonts w:ascii="Calibri" w:hAnsi="Calibri" w:eastAsia="Times New Roman" w:cs="Calibri"/>
                <w:color w:val="000000"/>
                <w:lang w:eastAsia="nl-NL"/>
              </w:rPr>
            </w:pPr>
          </w:p>
        </w:tc>
      </w:tr>
    </w:tbl>
    <w:p w:rsidRPr="00BB0631" w:rsidR="00BB0631" w:rsidP="00BB0631" w:rsidRDefault="00BB0631" w14:paraId="37F839A8" w14:textId="77777777">
      <w:pPr>
        <w:spacing w:after="0"/>
        <w:jc w:val="both"/>
        <w:rPr>
          <w:rFonts w:ascii="Verdana" w:hAnsi="Verdana" w:eastAsia="Calibri" w:cs="Times New Roman"/>
          <w:sz w:val="18"/>
          <w:szCs w:val="18"/>
        </w:rPr>
      </w:pPr>
    </w:p>
    <w:p w:rsidRPr="009F363F" w:rsidR="009F363F" w:rsidP="009F363F" w:rsidRDefault="009F363F" w14:paraId="49A98C34" w14:textId="77777777">
      <w:pPr>
        <w:spacing w:line="257" w:lineRule="atLeast"/>
        <w:jc w:val="both"/>
        <w:rPr>
          <w:sz w:val="18"/>
          <w:szCs w:val="18"/>
        </w:rPr>
      </w:pPr>
      <w:r w:rsidRPr="009F363F">
        <w:rPr>
          <w:rFonts w:ascii="Verdana" w:hAnsi="Verdana"/>
          <w:sz w:val="18"/>
          <w:szCs w:val="18"/>
        </w:rPr>
        <w:t>Om de economische weerbaarheid en veerkracht structureel te verbeteren, heeft het kabinet er op aangedrongen dat publieke investeringen vanuit het herstelpakket worden gekoppeld aan structurele hervormingen in lidstaten om de weerbaarheid en het groeipotentieel van de economie verder te vergroten. Om gebruik te maken van ondersteuning uit het RRF zullen lidstaten zelf nationale plannen formuleren met een hervormings- en investeringsagenda voor 2021-23. </w:t>
      </w:r>
    </w:p>
    <w:p w:rsidRPr="009F363F" w:rsidR="009F363F" w:rsidP="009F363F" w:rsidRDefault="009F363F" w14:paraId="0874812F" w14:textId="77777777">
      <w:pPr>
        <w:spacing w:line="257" w:lineRule="atLeast"/>
        <w:jc w:val="both"/>
        <w:rPr>
          <w:sz w:val="18"/>
          <w:szCs w:val="18"/>
        </w:rPr>
      </w:pPr>
      <w:r w:rsidRPr="009F363F">
        <w:rPr>
          <w:rFonts w:ascii="Verdana" w:hAnsi="Verdana"/>
          <w:sz w:val="18"/>
          <w:szCs w:val="18"/>
        </w:rPr>
        <w:t>Zoals met uw Kamer gedeeld is het voor Nederland van belang dat er een strikte, transparante en objectieve beoordeling is van de hervormings- en investeringsplannen en dat uitbetaling alleen volgt bij aantoonbare implementatie van de hervormingen, waarin lidstaten een doorslaggevend oordeel kunnen geven over de toekenning van de herstelsteun. Dit is voor Nederland essentieel om de garantie te hebben dat het herstelfonds wordt gebruikt om lidstaten sterker te maken. Het akkoord dat bereikt is over de governance van de RRF zorgt hiervoor. Er is op verzoek van Nederland een mogelijkheid gecreëerd voor individuele lidstaten om in het uiterste geval aan de noodrem te trekken als er onvoldoende voortgang wordt geboekt bij de uitvoering van hervormingen.</w:t>
      </w:r>
    </w:p>
    <w:p w:rsidRPr="009F363F" w:rsidR="009F363F" w:rsidP="009F363F" w:rsidRDefault="009F363F" w14:paraId="788C96D4" w14:textId="77777777">
      <w:pPr>
        <w:spacing w:line="257" w:lineRule="atLeast"/>
        <w:jc w:val="both"/>
        <w:rPr>
          <w:sz w:val="18"/>
          <w:szCs w:val="18"/>
        </w:rPr>
      </w:pPr>
      <w:r w:rsidRPr="009F363F">
        <w:rPr>
          <w:rFonts w:ascii="Verdana" w:hAnsi="Verdana"/>
          <w:sz w:val="18"/>
          <w:szCs w:val="18"/>
        </w:rPr>
        <w:t>De governance van de RRF werkt als volgt. Om in aanmerking te komen voor geld uit de RRF dienen lidstaten een plan in. De Commissie beoordeelt de inhoud van de ingediende plannen, waarbij de Commissie onder andere toetst aan de consistentie met de landenspecifieke aanbevelingen uit het Europees Semester en de bijdrage aan versterking van het groeipotentieel. Op grond van een voorstel van de Commissie, besluit de Raad over de goedkeuring van de ingediende plannen.</w:t>
      </w:r>
    </w:p>
    <w:p w:rsidRPr="009F363F" w:rsidR="009F363F" w:rsidP="009F363F" w:rsidRDefault="009F363F" w14:paraId="44832A0B" w14:textId="77777777">
      <w:pPr>
        <w:spacing w:line="257" w:lineRule="atLeast"/>
        <w:jc w:val="both"/>
        <w:rPr>
          <w:sz w:val="18"/>
          <w:szCs w:val="18"/>
        </w:rPr>
      </w:pPr>
      <w:r w:rsidRPr="009F363F">
        <w:rPr>
          <w:rFonts w:ascii="Verdana" w:hAnsi="Verdana"/>
          <w:sz w:val="18"/>
          <w:szCs w:val="18"/>
        </w:rPr>
        <w:t xml:space="preserve">Vervolgens geven de lidstaten uitvoering aan het goedgekeurde plan. De Commissie beoordeelt of bij de uitvoering van het plan aan de mijlpalen en doelen is voldaan. Een positieve beoordeling is </w:t>
      </w:r>
      <w:r w:rsidRPr="009F363F">
        <w:rPr>
          <w:rFonts w:ascii="Verdana" w:hAnsi="Verdana"/>
          <w:sz w:val="18"/>
          <w:szCs w:val="18"/>
        </w:rPr>
        <w:lastRenderedPageBreak/>
        <w:t>nodig om tot uitbetaling van een subsidie uit de RRF over te kunnen gaan. Over een concept van deze beoordeling zal de Commissie het Economisch en Financieel Comité (EFC) raadplegen. Het EFC zal een advies opstellen en moet daarbij streven naar consensus. Daarbij toetst het EFC of de door de Commissie in haar concept-beoordeling getrokken conclusies over het halen van de mijlpalen en doelen overeenkomen met zijn beeld hierover. Indien een of meerdere lidstaten van mening zijn dat dat niet het geval is, kan een lidstaat de voorzitter van de Europese Raad verzoeken om de kwestie op de agenda van de Europese Raad te zetten, voorzien van een onderbouwing waaruit blijkt dat desbetreffende mijlpaal niet of onvoldoende bereikt is. </w:t>
      </w:r>
    </w:p>
    <w:p w:rsidRPr="009F363F" w:rsidR="009F363F" w:rsidP="009F363F" w:rsidRDefault="009F363F" w14:paraId="0BE49074" w14:textId="051E8B4E">
      <w:pPr>
        <w:spacing w:line="257" w:lineRule="atLeast"/>
        <w:jc w:val="both"/>
        <w:rPr>
          <w:sz w:val="18"/>
          <w:szCs w:val="18"/>
        </w:rPr>
      </w:pPr>
      <w:r w:rsidRPr="009F363F">
        <w:rPr>
          <w:rFonts w:ascii="Verdana" w:hAnsi="Verdana"/>
          <w:sz w:val="18"/>
          <w:szCs w:val="18"/>
        </w:rPr>
        <w:t>Zolang de volgende Europese Raad de kwestie niet uitputtend heeft besproken, zal de Commissie geen besluit nemen over de beoordeling en uitbetaling. Het uitgangspunt is dat de procedure vanaf het moment van raadpleging van het EFC in de regel niet langer dan drie maanden duurt. Een langere periode is niet uitgesloten, indien dat noodzakelijk is. De procedure is afgesproken tussen alle leden van de Europese Raad, waar ook de voorzitter van de Europese Commissie deel van uitmaakt. Alle betrokkenen bij de afspraak hebben er baat bij dat de afgesproken procedure gaat functioneren zoals overeengekomen. Hierbij geldt dat de lidstaten tot een unaniem oordeel moeten komen. </w:t>
      </w:r>
    </w:p>
    <w:p w:rsidRPr="009F363F" w:rsidR="005F697D" w:rsidP="009F363F" w:rsidRDefault="009F363F" w14:paraId="58283E82" w14:textId="70486B12">
      <w:pPr>
        <w:spacing w:line="257" w:lineRule="atLeast"/>
        <w:jc w:val="both"/>
        <w:rPr>
          <w:rFonts w:ascii="Times New Roman" w:hAnsi="Times New Roman" w:cs="Times New Roman"/>
          <w:sz w:val="18"/>
          <w:szCs w:val="18"/>
        </w:rPr>
      </w:pPr>
      <w:r w:rsidRPr="009F363F">
        <w:rPr>
          <w:rFonts w:ascii="Verdana" w:hAnsi="Verdana" w:eastAsia="Times New Roman" w:cs="Times New Roman"/>
          <w:sz w:val="18"/>
          <w:szCs w:val="18"/>
        </w:rPr>
        <w:t>Indien onverhoopt de Europese Raad waar de kwestie wordt besproken niet tot een unaniem oordeel komt, ontstaat een nieuwe politieke situatie.  In zo’n geval ligt het voor de hand dat de Commissie weer voor de EFC-route kiest waarbij in het uiterste geval de noodremprocedure weer kan worden ingezet.</w:t>
      </w:r>
      <w:r w:rsidRPr="009F363F" w:rsidR="007D336A">
        <w:rPr>
          <w:rStyle w:val="FootnoteReference"/>
          <w:rFonts w:ascii="Verdana" w:hAnsi="Verdana" w:eastAsia="Calibri" w:cs="Calibri"/>
          <w:sz w:val="18"/>
          <w:szCs w:val="18"/>
        </w:rPr>
        <w:footnoteReference w:id="3"/>
      </w:r>
    </w:p>
    <w:p w:rsidRPr="009F363F" w:rsidR="00BB0631" w:rsidP="005F697D" w:rsidRDefault="00AC2193" w14:paraId="362D5810" w14:textId="6BB2303D">
      <w:pPr>
        <w:jc w:val="both"/>
        <w:rPr>
          <w:rFonts w:ascii="Verdana" w:hAnsi="Verdana" w:eastAsia="Calibri" w:cs="Times New Roman"/>
          <w:sz w:val="18"/>
          <w:szCs w:val="18"/>
        </w:rPr>
      </w:pPr>
      <w:r w:rsidRPr="009F363F">
        <w:rPr>
          <w:rFonts w:ascii="Verdana" w:hAnsi="Verdana" w:eastAsia="Calibri" w:cs="Times New Roman"/>
          <w:sz w:val="18"/>
          <w:szCs w:val="18"/>
        </w:rPr>
        <w:t>De middelen uit het RRF worden in twee fases verdeeld tussen de lidstaten. D</w:t>
      </w:r>
      <w:r w:rsidRPr="009F363F" w:rsidR="00BB0631">
        <w:rPr>
          <w:rFonts w:ascii="Verdana" w:hAnsi="Verdana" w:eastAsia="Calibri" w:cs="Times New Roman"/>
          <w:sz w:val="18"/>
          <w:szCs w:val="18"/>
        </w:rPr>
        <w:t xml:space="preserve">e allocatie </w:t>
      </w:r>
      <w:r w:rsidRPr="009F363F">
        <w:rPr>
          <w:rFonts w:ascii="Verdana" w:hAnsi="Verdana" w:eastAsia="Calibri" w:cs="Times New Roman"/>
          <w:sz w:val="18"/>
          <w:szCs w:val="18"/>
        </w:rPr>
        <w:t xml:space="preserve">voor </w:t>
      </w:r>
      <w:r w:rsidRPr="009F363F" w:rsidR="00BB0631">
        <w:rPr>
          <w:rFonts w:ascii="Verdana" w:hAnsi="Verdana" w:eastAsia="Calibri" w:cs="Times New Roman"/>
          <w:sz w:val="18"/>
          <w:szCs w:val="18"/>
        </w:rPr>
        <w:t>2021-</w:t>
      </w:r>
      <w:r w:rsidRPr="009F363F" w:rsidR="00AA4124">
        <w:rPr>
          <w:rFonts w:ascii="Verdana" w:hAnsi="Verdana" w:eastAsia="Calibri" w:cs="Times New Roman"/>
          <w:sz w:val="18"/>
          <w:szCs w:val="18"/>
        </w:rPr>
        <w:t>20</w:t>
      </w:r>
      <w:r w:rsidRPr="009F363F" w:rsidR="00BB0631">
        <w:rPr>
          <w:rFonts w:ascii="Verdana" w:hAnsi="Verdana" w:eastAsia="Calibri" w:cs="Times New Roman"/>
          <w:sz w:val="18"/>
          <w:szCs w:val="18"/>
        </w:rPr>
        <w:t xml:space="preserve">22 </w:t>
      </w:r>
      <w:r w:rsidRPr="009F363F">
        <w:rPr>
          <w:rFonts w:ascii="Verdana" w:hAnsi="Verdana" w:eastAsia="Calibri" w:cs="Times New Roman"/>
          <w:sz w:val="18"/>
          <w:szCs w:val="18"/>
        </w:rPr>
        <w:t xml:space="preserve">is </w:t>
      </w:r>
      <w:r w:rsidRPr="009F363F" w:rsidR="00BB0631">
        <w:rPr>
          <w:rFonts w:ascii="Verdana" w:hAnsi="Verdana" w:eastAsia="Calibri" w:cs="Times New Roman"/>
          <w:sz w:val="18"/>
          <w:szCs w:val="18"/>
        </w:rPr>
        <w:t>gebaseerd op werkloosheidscijfers (2015-2019), de omvang van de bevolking (2019</w:t>
      </w:r>
      <w:r w:rsidRPr="009F363F">
        <w:rPr>
          <w:rFonts w:ascii="Verdana" w:hAnsi="Verdana" w:eastAsia="Calibri" w:cs="Times New Roman"/>
          <w:sz w:val="18"/>
          <w:szCs w:val="18"/>
        </w:rPr>
        <w:t>) en het bbp per capita (2019).</w:t>
      </w:r>
      <w:r w:rsidRPr="009F363F" w:rsidR="00BB0631">
        <w:rPr>
          <w:rFonts w:ascii="Verdana" w:hAnsi="Verdana" w:eastAsia="Calibri" w:cs="Times New Roman"/>
          <w:sz w:val="18"/>
          <w:szCs w:val="18"/>
        </w:rPr>
        <w:t xml:space="preserve"> Voor de allocatie in 2023 geldt een aangepaste verdeelsleutel waarbij de factor werkloosheid wordt vervangen door (in gelijke delen) het bbp-verlies in 2020 en het cumulatieve bbp-verlies over de periode 2020-21 op basis van de cijfers die eind juni 2022 beschikbaar zijn. Door deze wijziging </w:t>
      </w:r>
      <w:r w:rsidRPr="009F363F">
        <w:rPr>
          <w:rFonts w:ascii="Verdana" w:hAnsi="Verdana" w:eastAsia="Calibri" w:cs="Times New Roman"/>
          <w:sz w:val="18"/>
          <w:szCs w:val="18"/>
        </w:rPr>
        <w:t xml:space="preserve">van het Commissievoorstel </w:t>
      </w:r>
      <w:r w:rsidRPr="009F363F" w:rsidR="00BB0631">
        <w:rPr>
          <w:rFonts w:ascii="Verdana" w:hAnsi="Verdana" w:eastAsia="Calibri" w:cs="Times New Roman"/>
          <w:sz w:val="18"/>
          <w:szCs w:val="18"/>
        </w:rPr>
        <w:t xml:space="preserve">wordt in lijn met de Nederlandse inzet </w:t>
      </w:r>
      <w:r w:rsidRPr="009F363F">
        <w:rPr>
          <w:rFonts w:ascii="Verdana" w:hAnsi="Verdana" w:eastAsia="Calibri" w:cs="Times New Roman"/>
          <w:sz w:val="18"/>
          <w:szCs w:val="18"/>
        </w:rPr>
        <w:t xml:space="preserve">de </w:t>
      </w:r>
      <w:r w:rsidRPr="009F363F" w:rsidR="00BB0631">
        <w:rPr>
          <w:rFonts w:ascii="Verdana" w:hAnsi="Verdana" w:eastAsia="Calibri" w:cs="Times New Roman"/>
          <w:sz w:val="18"/>
          <w:szCs w:val="18"/>
        </w:rPr>
        <w:t>daadwerkelijke impact van de crisis zwaarder meegewogen en worden de middelen zo sterker gericht op de meest getroffen lidstaten.</w:t>
      </w:r>
    </w:p>
    <w:p w:rsidRPr="00BB0631" w:rsidR="00BB0631" w:rsidP="00BB0631" w:rsidRDefault="00BB0631" w14:paraId="04981E2E" w14:textId="61F15964">
      <w:pPr>
        <w:jc w:val="both"/>
        <w:rPr>
          <w:rFonts w:ascii="Verdana" w:hAnsi="Verdana" w:eastAsia="Calibri" w:cs="Times New Roman"/>
          <w:sz w:val="18"/>
          <w:szCs w:val="18"/>
        </w:rPr>
      </w:pPr>
      <w:r w:rsidRPr="00BB0631">
        <w:rPr>
          <w:rFonts w:ascii="Verdana" w:hAnsi="Verdana" w:eastAsia="Calibri" w:cs="Times New Roman"/>
          <w:sz w:val="18"/>
          <w:szCs w:val="18"/>
        </w:rPr>
        <w:t xml:space="preserve">Het herstelpakket wordt conform het Commissievoorstel gefinancierd door leningen </w:t>
      </w:r>
      <w:r w:rsidR="00AA4124">
        <w:rPr>
          <w:rFonts w:ascii="Verdana" w:hAnsi="Verdana" w:eastAsia="Calibri" w:cs="Times New Roman"/>
          <w:sz w:val="18"/>
          <w:szCs w:val="18"/>
        </w:rPr>
        <w:t>die</w:t>
      </w:r>
      <w:r w:rsidRPr="00BB0631">
        <w:rPr>
          <w:rFonts w:ascii="Verdana" w:hAnsi="Verdana" w:eastAsia="Calibri" w:cs="Times New Roman"/>
          <w:sz w:val="18"/>
          <w:szCs w:val="18"/>
        </w:rPr>
        <w:t xml:space="preserve"> de Europese Commissie </w:t>
      </w:r>
      <w:r w:rsidR="00AA4124">
        <w:rPr>
          <w:rFonts w:ascii="Verdana" w:hAnsi="Verdana" w:eastAsia="Calibri" w:cs="Times New Roman"/>
          <w:sz w:val="18"/>
          <w:szCs w:val="18"/>
        </w:rPr>
        <w:t xml:space="preserve">namens de Europese Unie aangaat </w:t>
      </w:r>
      <w:r w:rsidRPr="00BB0631">
        <w:rPr>
          <w:rFonts w:ascii="Verdana" w:hAnsi="Verdana" w:eastAsia="Calibri" w:cs="Times New Roman"/>
          <w:sz w:val="18"/>
          <w:szCs w:val="18"/>
        </w:rPr>
        <w:t xml:space="preserve">op de kapitaalmarkt, om op korte termijn extra druk op nationale begrotingen te vermijden. </w:t>
      </w:r>
      <w:r w:rsidR="00AA4124">
        <w:rPr>
          <w:rFonts w:ascii="Verdana" w:hAnsi="Verdana" w:eastAsia="Calibri" w:cs="Times New Roman"/>
          <w:sz w:val="18"/>
          <w:szCs w:val="18"/>
        </w:rPr>
        <w:t xml:space="preserve">De Commissie kan voor het herstelpakket tot uiterlijk eind 2026 (netto) nieuwe leningen aangaan. Deze leningen kunnen uitsluitend gebruikt worden voor de financiering van programma’s om de gevolgen van </w:t>
      </w:r>
      <w:r w:rsidR="00511049">
        <w:rPr>
          <w:rFonts w:ascii="Verdana" w:hAnsi="Verdana" w:eastAsia="Calibri" w:cs="Times New Roman"/>
          <w:sz w:val="18"/>
          <w:szCs w:val="18"/>
        </w:rPr>
        <w:t>COVID-19</w:t>
      </w:r>
      <w:r w:rsidR="00AA4124">
        <w:rPr>
          <w:rFonts w:ascii="Verdana" w:hAnsi="Verdana" w:eastAsia="Calibri" w:cs="Times New Roman"/>
          <w:sz w:val="18"/>
          <w:szCs w:val="18"/>
        </w:rPr>
        <w:t xml:space="preserve"> het hoofd te bieden, conform de hierboven beschreven afspraken over </w:t>
      </w:r>
      <w:r w:rsidRPr="00A04134" w:rsidR="00AA4124">
        <w:rPr>
          <w:rFonts w:ascii="Verdana" w:hAnsi="Verdana" w:eastAsia="Calibri" w:cs="Times New Roman"/>
          <w:i/>
          <w:sz w:val="18"/>
          <w:szCs w:val="18"/>
        </w:rPr>
        <w:t>Next Generation EU</w:t>
      </w:r>
      <w:r w:rsidR="00AA4124">
        <w:rPr>
          <w:rFonts w:ascii="Verdana" w:hAnsi="Verdana" w:eastAsia="Calibri" w:cs="Times New Roman"/>
          <w:i/>
          <w:sz w:val="18"/>
          <w:szCs w:val="18"/>
        </w:rPr>
        <w:t>,</w:t>
      </w:r>
      <w:r w:rsidR="00AA4124">
        <w:rPr>
          <w:rFonts w:ascii="Verdana" w:hAnsi="Verdana" w:eastAsia="Calibri" w:cs="Times New Roman"/>
          <w:sz w:val="18"/>
          <w:szCs w:val="18"/>
        </w:rPr>
        <w:t xml:space="preserve"> zijn gemaximeerd op 750 miljard euro en dienen voor 2058 te zijn afgelost. De tijdelijke verhoging van het eigenmiddelenplafond mag ook uitsluitend gebruikt worden voor het zekerstellen van de financiële verplichtingen die voortvloeien uit </w:t>
      </w:r>
      <w:r w:rsidRPr="007C635A" w:rsidR="00AA4124">
        <w:rPr>
          <w:rFonts w:ascii="Verdana" w:hAnsi="Verdana" w:eastAsia="Calibri" w:cs="Times New Roman"/>
          <w:i/>
          <w:sz w:val="18"/>
          <w:szCs w:val="18"/>
        </w:rPr>
        <w:t>Next Generation EU</w:t>
      </w:r>
      <w:r w:rsidR="00AA4124">
        <w:rPr>
          <w:rFonts w:ascii="Verdana" w:hAnsi="Verdana" w:eastAsia="Calibri" w:cs="Times New Roman"/>
          <w:sz w:val="18"/>
          <w:szCs w:val="18"/>
        </w:rPr>
        <w:t xml:space="preserve">. </w:t>
      </w:r>
      <w:r w:rsidRPr="00BB0631">
        <w:rPr>
          <w:rFonts w:ascii="Verdana" w:hAnsi="Verdana" w:eastAsia="Calibri" w:cs="Times New Roman"/>
          <w:sz w:val="18"/>
          <w:szCs w:val="18"/>
        </w:rPr>
        <w:t xml:space="preserve">De aflossing </w:t>
      </w:r>
      <w:r w:rsidR="00053C8C">
        <w:rPr>
          <w:rFonts w:ascii="Verdana" w:hAnsi="Verdana" w:eastAsia="Calibri" w:cs="Times New Roman"/>
          <w:sz w:val="18"/>
          <w:szCs w:val="18"/>
        </w:rPr>
        <w:t>en rentebetalingen op</w:t>
      </w:r>
      <w:r w:rsidRPr="00BB0631" w:rsidR="00053C8C">
        <w:rPr>
          <w:rFonts w:ascii="Verdana" w:hAnsi="Verdana" w:eastAsia="Calibri" w:cs="Times New Roman"/>
          <w:sz w:val="18"/>
          <w:szCs w:val="18"/>
        </w:rPr>
        <w:t xml:space="preserve"> de </w:t>
      </w:r>
      <w:r w:rsidRPr="00BB0631">
        <w:rPr>
          <w:rFonts w:ascii="Verdana" w:hAnsi="Verdana" w:eastAsia="Calibri" w:cs="Times New Roman"/>
          <w:sz w:val="18"/>
          <w:szCs w:val="18"/>
        </w:rPr>
        <w:t xml:space="preserve">leningen voor het subsidiedeel </w:t>
      </w:r>
      <w:r w:rsidRPr="00BB0631" w:rsidR="00053C8C">
        <w:rPr>
          <w:rFonts w:ascii="Verdana" w:hAnsi="Verdana" w:eastAsia="Calibri" w:cs="Times New Roman"/>
          <w:sz w:val="18"/>
          <w:szCs w:val="18"/>
        </w:rPr>
        <w:t>z</w:t>
      </w:r>
      <w:r w:rsidR="00053C8C">
        <w:rPr>
          <w:rFonts w:ascii="Verdana" w:hAnsi="Verdana" w:eastAsia="Calibri" w:cs="Times New Roman"/>
          <w:sz w:val="18"/>
          <w:szCs w:val="18"/>
        </w:rPr>
        <w:t>u</w:t>
      </w:r>
      <w:r w:rsidRPr="00BB0631" w:rsidR="00053C8C">
        <w:rPr>
          <w:rFonts w:ascii="Verdana" w:hAnsi="Verdana" w:eastAsia="Calibri" w:cs="Times New Roman"/>
          <w:sz w:val="18"/>
          <w:szCs w:val="18"/>
        </w:rPr>
        <w:t>l</w:t>
      </w:r>
      <w:r w:rsidR="00053C8C">
        <w:rPr>
          <w:rFonts w:ascii="Verdana" w:hAnsi="Verdana" w:eastAsia="Calibri" w:cs="Times New Roman"/>
          <w:sz w:val="18"/>
          <w:szCs w:val="18"/>
        </w:rPr>
        <w:t>len</w:t>
      </w:r>
      <w:r w:rsidRPr="00BB0631">
        <w:rPr>
          <w:rFonts w:ascii="Verdana" w:hAnsi="Verdana" w:eastAsia="Calibri" w:cs="Times New Roman"/>
          <w:sz w:val="18"/>
          <w:szCs w:val="18"/>
        </w:rPr>
        <w:t xml:space="preserve"> tot uiterlijk </w:t>
      </w:r>
      <w:r w:rsidR="00AC2193">
        <w:rPr>
          <w:rFonts w:ascii="Verdana" w:hAnsi="Verdana" w:eastAsia="Calibri" w:cs="Times New Roman"/>
          <w:sz w:val="18"/>
          <w:szCs w:val="18"/>
        </w:rPr>
        <w:t xml:space="preserve">eind 2058 </w:t>
      </w:r>
      <w:r w:rsidRPr="00BB0631">
        <w:rPr>
          <w:rFonts w:ascii="Verdana" w:hAnsi="Verdana" w:eastAsia="Calibri" w:cs="Times New Roman"/>
          <w:sz w:val="18"/>
          <w:szCs w:val="18"/>
        </w:rPr>
        <w:t xml:space="preserve">plaatsvinden via </w:t>
      </w:r>
      <w:r w:rsidRPr="00BB0631" w:rsidR="00053C8C">
        <w:rPr>
          <w:rFonts w:ascii="Verdana" w:hAnsi="Verdana" w:eastAsia="Calibri" w:cs="Times New Roman"/>
          <w:sz w:val="18"/>
          <w:szCs w:val="18"/>
        </w:rPr>
        <w:t xml:space="preserve">de EU-begroting. </w:t>
      </w:r>
      <w:r w:rsidR="00053C8C">
        <w:rPr>
          <w:rFonts w:ascii="Verdana" w:hAnsi="Verdana" w:eastAsia="Calibri" w:cs="Times New Roman"/>
          <w:sz w:val="18"/>
          <w:szCs w:val="18"/>
        </w:rPr>
        <w:t xml:space="preserve">Het MFK-akkoord bevat een budget voor de rentebetalingen tot en met 2027. Als de envelop voor deze rentebetalingen groter is dan benodigd, zal het overschot voor het eind van het MFK worden benut voor de eerste aflossingen op de Unieleningen. Ook de opbrengst van eventuele nieuwe eigen middelen zullen worden gebruikt voor dergelijke aflossingen. Los hiervan start de aflossing van deze leningen in 2028 en zullen vanaf dan dus opgenomen worden in de EU-begroting. Tenzij hiervoor middels besparingen ruimte wordt gevonden in deze toekomstige begrotingen, zal dit leiden tot </w:t>
      </w:r>
      <w:r w:rsidRPr="00BB0631">
        <w:rPr>
          <w:rFonts w:ascii="Verdana" w:hAnsi="Verdana" w:eastAsia="Calibri" w:cs="Times New Roman"/>
          <w:sz w:val="18"/>
          <w:szCs w:val="18"/>
        </w:rPr>
        <w:t xml:space="preserve">hogere afdrachten van </w:t>
      </w:r>
      <w:r w:rsidR="00053C8C">
        <w:rPr>
          <w:rFonts w:ascii="Verdana" w:hAnsi="Verdana" w:eastAsia="Calibri" w:cs="Times New Roman"/>
          <w:sz w:val="18"/>
          <w:szCs w:val="18"/>
        </w:rPr>
        <w:t xml:space="preserve">de </w:t>
      </w:r>
      <w:r w:rsidRPr="00BB0631">
        <w:rPr>
          <w:rFonts w:ascii="Verdana" w:hAnsi="Verdana" w:eastAsia="Calibri" w:cs="Times New Roman"/>
          <w:sz w:val="18"/>
          <w:szCs w:val="18"/>
        </w:rPr>
        <w:t>lidstaten</w:t>
      </w:r>
      <w:r w:rsidR="00053C8C">
        <w:rPr>
          <w:rFonts w:ascii="Verdana" w:hAnsi="Verdana" w:eastAsia="Calibri" w:cs="Times New Roman"/>
          <w:sz w:val="18"/>
          <w:szCs w:val="18"/>
        </w:rPr>
        <w:t xml:space="preserve">. </w:t>
      </w:r>
      <w:r w:rsidR="006078FA">
        <w:rPr>
          <w:rFonts w:ascii="Verdana" w:hAnsi="Verdana"/>
          <w:sz w:val="18"/>
          <w:szCs w:val="18"/>
        </w:rPr>
        <w:t xml:space="preserve">Voor Nederland betekent dit een potentiële additionele afdracht van circa 1 </w:t>
      </w:r>
      <w:r w:rsidR="00C330C1">
        <w:rPr>
          <w:rFonts w:ascii="Verdana" w:hAnsi="Verdana" w:eastAsia="Calibri" w:cs="Times New Roman"/>
          <w:sz w:val="18"/>
          <w:szCs w:val="18"/>
        </w:rPr>
        <w:t>miljard</w:t>
      </w:r>
      <w:r w:rsidRPr="00BB0631" w:rsidR="006078FA">
        <w:rPr>
          <w:rFonts w:ascii="Verdana" w:hAnsi="Verdana" w:eastAsia="Calibri" w:cs="Times New Roman"/>
          <w:sz w:val="18"/>
          <w:szCs w:val="18"/>
        </w:rPr>
        <w:t xml:space="preserve"> </w:t>
      </w:r>
      <w:r w:rsidR="006078FA">
        <w:rPr>
          <w:rFonts w:ascii="Verdana" w:hAnsi="Verdana"/>
          <w:sz w:val="18"/>
          <w:szCs w:val="18"/>
        </w:rPr>
        <w:t xml:space="preserve">in 2028 die naar verwachting afneemt tot circa 0,8 </w:t>
      </w:r>
      <w:r w:rsidR="00C330C1">
        <w:rPr>
          <w:rFonts w:ascii="Verdana" w:hAnsi="Verdana" w:eastAsia="Calibri" w:cs="Times New Roman"/>
          <w:sz w:val="18"/>
          <w:szCs w:val="18"/>
        </w:rPr>
        <w:t>miljard</w:t>
      </w:r>
      <w:r w:rsidRPr="00BB0631" w:rsidR="006078FA">
        <w:rPr>
          <w:rFonts w:ascii="Verdana" w:hAnsi="Verdana" w:eastAsia="Calibri" w:cs="Times New Roman"/>
          <w:sz w:val="18"/>
          <w:szCs w:val="18"/>
        </w:rPr>
        <w:t xml:space="preserve"> </w:t>
      </w:r>
      <w:r w:rsidR="006078FA">
        <w:rPr>
          <w:rFonts w:ascii="Verdana" w:hAnsi="Verdana"/>
          <w:sz w:val="18"/>
          <w:szCs w:val="18"/>
        </w:rPr>
        <w:t>in 2058, omdat met het aflossen van de leningen ook de rentebetalingen zullen dalen.</w:t>
      </w:r>
      <w:r w:rsidR="006078FA">
        <w:rPr>
          <w:rFonts w:ascii="Verdana" w:hAnsi="Verdana" w:eastAsia="Calibri" w:cs="Times New Roman"/>
          <w:sz w:val="18"/>
          <w:szCs w:val="18"/>
        </w:rPr>
        <w:t xml:space="preserve"> </w:t>
      </w:r>
      <w:r w:rsidR="00053C8C">
        <w:rPr>
          <w:rFonts w:ascii="Verdana" w:hAnsi="Verdana" w:eastAsia="Calibri" w:cs="Times New Roman"/>
          <w:sz w:val="18"/>
          <w:szCs w:val="18"/>
        </w:rPr>
        <w:t xml:space="preserve">De aflossing en rentebetalingen op de leningen die worden gebruikt voor het verstrekken van leningen worden vanzelfsprekend afgelost met de rente en aflossing die de Unie zal ontvangen van de lidstaten die deze leningen bij de Unie zijn aangegaan. </w:t>
      </w:r>
      <w:r w:rsidRPr="00BB0631">
        <w:rPr>
          <w:rFonts w:ascii="Verdana" w:hAnsi="Verdana" w:eastAsia="Calibri" w:cs="Times New Roman"/>
          <w:sz w:val="18"/>
          <w:szCs w:val="18"/>
        </w:rPr>
        <w:t xml:space="preserve">Nederland heeft zich zeer kritisch opgesteld over een constructie waarbij uitgaven uit de EU-begroting worden </w:t>
      </w:r>
      <w:r w:rsidRPr="00BB0631">
        <w:rPr>
          <w:rFonts w:ascii="Verdana" w:hAnsi="Verdana" w:eastAsia="Calibri" w:cs="Times New Roman"/>
          <w:sz w:val="18"/>
          <w:szCs w:val="18"/>
        </w:rPr>
        <w:lastRenderedPageBreak/>
        <w:t>gefinancierd met leningen. Met de waarborgen ten aanzien van de tijdelijkheid en uitzonderlijkheid van deze constructie</w:t>
      </w:r>
      <w:r w:rsidR="00053C8C">
        <w:rPr>
          <w:rFonts w:ascii="Verdana" w:hAnsi="Verdana" w:eastAsia="Calibri" w:cs="Times New Roman"/>
          <w:sz w:val="18"/>
          <w:szCs w:val="18"/>
        </w:rPr>
        <w:t>, de aangepaste verhouding tussen subsidies en leningen</w:t>
      </w:r>
      <w:r w:rsidRPr="00BB0631">
        <w:rPr>
          <w:rFonts w:ascii="Verdana" w:hAnsi="Verdana" w:eastAsia="Calibri" w:cs="Times New Roman"/>
          <w:sz w:val="18"/>
          <w:szCs w:val="18"/>
        </w:rPr>
        <w:t xml:space="preserve"> en de verzwaarde besluitvorming</w:t>
      </w:r>
      <w:r w:rsidR="00EE56D6">
        <w:rPr>
          <w:rFonts w:ascii="Verdana" w:hAnsi="Verdana" w:eastAsia="Calibri" w:cs="Times New Roman"/>
          <w:sz w:val="18"/>
          <w:szCs w:val="18"/>
        </w:rPr>
        <w:t>s</w:t>
      </w:r>
      <w:r w:rsidRPr="00BB0631">
        <w:rPr>
          <w:rFonts w:ascii="Verdana" w:hAnsi="Verdana" w:eastAsia="Calibri" w:cs="Times New Roman"/>
          <w:sz w:val="18"/>
          <w:szCs w:val="18"/>
        </w:rPr>
        <w:t xml:space="preserve">procedure voor de uitkering van herstelsteun uit het RRF, is volgens het kabinet een aanvaardbaar kader </w:t>
      </w:r>
      <w:r w:rsidR="005F697D">
        <w:rPr>
          <w:rFonts w:ascii="Verdana" w:hAnsi="Verdana" w:eastAsia="Calibri" w:cs="Times New Roman"/>
          <w:sz w:val="18"/>
          <w:szCs w:val="18"/>
        </w:rPr>
        <w:t>tot stand gekomen</w:t>
      </w:r>
      <w:r w:rsidRPr="00BB0631">
        <w:rPr>
          <w:rFonts w:ascii="Verdana" w:hAnsi="Verdana" w:eastAsia="Calibri" w:cs="Times New Roman"/>
          <w:sz w:val="18"/>
          <w:szCs w:val="18"/>
        </w:rPr>
        <w:t xml:space="preserve">. </w:t>
      </w:r>
    </w:p>
    <w:p w:rsidR="00BB0631" w:rsidP="00BB0631" w:rsidRDefault="00BB0631" w14:paraId="29EB44EC" w14:textId="417397A4">
      <w:pPr>
        <w:jc w:val="both"/>
        <w:rPr>
          <w:rFonts w:ascii="Verdana" w:hAnsi="Verdana" w:eastAsia="Calibri" w:cs="Times New Roman"/>
          <w:sz w:val="18"/>
          <w:szCs w:val="18"/>
        </w:rPr>
      </w:pPr>
      <w:r w:rsidRPr="00BB0631">
        <w:rPr>
          <w:rFonts w:ascii="Verdana" w:hAnsi="Verdana" w:eastAsia="Calibri" w:cs="Times New Roman"/>
          <w:sz w:val="18"/>
          <w:szCs w:val="18"/>
        </w:rPr>
        <w:t>Het Commissievoorstel om als overbruggingsmaatregel tot de inwerkingtreding van het herstelinstrument het huidige MFK 2014-2020 aan te passen</w:t>
      </w:r>
      <w:r w:rsidR="006769E4">
        <w:rPr>
          <w:rFonts w:ascii="Verdana" w:hAnsi="Verdana" w:eastAsia="Calibri" w:cs="Times New Roman"/>
          <w:sz w:val="18"/>
          <w:szCs w:val="18"/>
        </w:rPr>
        <w:t>,</w:t>
      </w:r>
      <w:r w:rsidRPr="00BB0631">
        <w:rPr>
          <w:rFonts w:ascii="Verdana" w:hAnsi="Verdana" w:eastAsia="Calibri" w:cs="Times New Roman"/>
          <w:sz w:val="18"/>
          <w:szCs w:val="18"/>
        </w:rPr>
        <w:t xml:space="preserve"> is </w:t>
      </w:r>
      <w:r w:rsidR="00B714F5">
        <w:rPr>
          <w:rFonts w:ascii="Verdana" w:hAnsi="Verdana" w:eastAsia="Calibri" w:cs="Times New Roman"/>
          <w:sz w:val="18"/>
          <w:szCs w:val="18"/>
        </w:rPr>
        <w:t xml:space="preserve">in het akkoord </w:t>
      </w:r>
      <w:r w:rsidRPr="00BB0631">
        <w:rPr>
          <w:rFonts w:ascii="Verdana" w:hAnsi="Verdana" w:eastAsia="Calibri" w:cs="Times New Roman"/>
          <w:sz w:val="18"/>
          <w:szCs w:val="18"/>
        </w:rPr>
        <w:t xml:space="preserve">geschrapt. De Commissie had voorgesteld het vastleggingenplafond voor 2020 te verhogen met 11,5 </w:t>
      </w:r>
      <w:r w:rsidR="005C156B">
        <w:rPr>
          <w:rFonts w:ascii="Verdana" w:hAnsi="Verdana" w:eastAsia="Calibri" w:cs="Times New Roman"/>
          <w:sz w:val="18"/>
          <w:szCs w:val="18"/>
        </w:rPr>
        <w:t>miljard</w:t>
      </w:r>
      <w:r w:rsidRPr="00BB0631" w:rsidR="005C156B">
        <w:rPr>
          <w:rFonts w:ascii="Verdana" w:hAnsi="Verdana" w:eastAsia="Calibri" w:cs="Times New Roman"/>
          <w:sz w:val="18"/>
          <w:szCs w:val="18"/>
        </w:rPr>
        <w:t xml:space="preserve"> </w:t>
      </w:r>
      <w:r w:rsidRPr="00BB0631">
        <w:rPr>
          <w:rFonts w:ascii="Verdana" w:hAnsi="Verdana" w:eastAsia="Calibri" w:cs="Times New Roman"/>
          <w:sz w:val="18"/>
          <w:szCs w:val="18"/>
        </w:rPr>
        <w:t>euro</w:t>
      </w:r>
      <w:r w:rsidR="00E46BA0">
        <w:rPr>
          <w:rFonts w:ascii="Verdana" w:hAnsi="Verdana" w:eastAsia="Calibri" w:cs="Times New Roman"/>
          <w:sz w:val="18"/>
          <w:szCs w:val="18"/>
        </w:rPr>
        <w:t xml:space="preserve"> t.b.v. o.a. React-EU, NDICI en het Solvabiliteitsinstrument</w:t>
      </w:r>
      <w:r w:rsidRPr="00BB0631">
        <w:rPr>
          <w:rFonts w:ascii="Verdana" w:hAnsi="Verdana" w:eastAsia="Calibri" w:cs="Times New Roman"/>
          <w:sz w:val="18"/>
          <w:szCs w:val="18"/>
        </w:rPr>
        <w:t>.</w:t>
      </w:r>
      <w:r w:rsidR="00E46BA0">
        <w:rPr>
          <w:rFonts w:ascii="Verdana" w:hAnsi="Verdana" w:eastAsia="Calibri" w:cs="Times New Roman"/>
          <w:sz w:val="18"/>
          <w:szCs w:val="18"/>
        </w:rPr>
        <w:t xml:space="preserve"> </w:t>
      </w:r>
      <w:r w:rsidR="009013E6">
        <w:rPr>
          <w:rFonts w:ascii="Verdana" w:hAnsi="Verdana" w:eastAsia="Calibri" w:cs="Times New Roman"/>
          <w:sz w:val="18"/>
          <w:szCs w:val="18"/>
        </w:rPr>
        <w:t>Het</w:t>
      </w:r>
      <w:r w:rsidR="00E46BA0">
        <w:rPr>
          <w:rFonts w:ascii="Verdana" w:hAnsi="Verdana" w:eastAsia="Calibri" w:cs="Times New Roman"/>
          <w:sz w:val="18"/>
          <w:szCs w:val="18"/>
        </w:rPr>
        <w:t xml:space="preserve"> </w:t>
      </w:r>
      <w:r w:rsidR="009013E6">
        <w:rPr>
          <w:rFonts w:ascii="Verdana" w:hAnsi="Verdana" w:eastAsia="Calibri" w:cs="Times New Roman"/>
          <w:sz w:val="18"/>
          <w:szCs w:val="18"/>
        </w:rPr>
        <w:t xml:space="preserve">laatstgenoemde instrument </w:t>
      </w:r>
      <w:r w:rsidR="00053C8C">
        <w:rPr>
          <w:rFonts w:ascii="Verdana" w:hAnsi="Verdana" w:eastAsia="Calibri" w:cs="Times New Roman"/>
          <w:sz w:val="18"/>
          <w:szCs w:val="18"/>
        </w:rPr>
        <w:t xml:space="preserve">is vervallen </w:t>
      </w:r>
      <w:r w:rsidR="00E46BA0">
        <w:rPr>
          <w:rFonts w:ascii="Verdana" w:hAnsi="Verdana" w:eastAsia="Calibri" w:cs="Times New Roman"/>
          <w:sz w:val="18"/>
          <w:szCs w:val="18"/>
        </w:rPr>
        <w:t xml:space="preserve">in het definitieve </w:t>
      </w:r>
      <w:r w:rsidR="00053C8C">
        <w:rPr>
          <w:rFonts w:ascii="Verdana" w:hAnsi="Verdana" w:eastAsia="Calibri" w:cs="Times New Roman"/>
          <w:sz w:val="18"/>
          <w:szCs w:val="18"/>
        </w:rPr>
        <w:t>akkoord</w:t>
      </w:r>
      <w:r w:rsidR="00E46BA0">
        <w:rPr>
          <w:rFonts w:ascii="Verdana" w:hAnsi="Verdana" w:eastAsia="Calibri" w:cs="Times New Roman"/>
          <w:sz w:val="18"/>
          <w:szCs w:val="18"/>
        </w:rPr>
        <w:t>.</w:t>
      </w:r>
      <w:r w:rsidRPr="00BB0631">
        <w:rPr>
          <w:rFonts w:ascii="Verdana" w:hAnsi="Verdana" w:eastAsia="Calibri" w:cs="Times New Roman"/>
          <w:sz w:val="18"/>
          <w:szCs w:val="18"/>
        </w:rPr>
        <w:t xml:space="preserve"> </w:t>
      </w:r>
      <w:r w:rsidR="00053C8C">
        <w:rPr>
          <w:rFonts w:ascii="Verdana" w:hAnsi="Verdana" w:eastAsia="Calibri" w:cs="Times New Roman"/>
          <w:sz w:val="18"/>
          <w:szCs w:val="18"/>
        </w:rPr>
        <w:t>De Commissie had de overbruggingsmaatregel reeds verwerkt in haar voorstel voor de zesde aanvullende begroting voor 2020</w:t>
      </w:r>
      <w:r w:rsidRPr="00BB0631" w:rsidR="00053C8C">
        <w:rPr>
          <w:rFonts w:ascii="Verdana" w:hAnsi="Verdana" w:eastAsia="Calibri" w:cs="Times New Roman"/>
          <w:sz w:val="18"/>
          <w:szCs w:val="18"/>
        </w:rPr>
        <w:t>.</w:t>
      </w:r>
      <w:r w:rsidR="00053C8C">
        <w:rPr>
          <w:rFonts w:ascii="Verdana" w:hAnsi="Verdana" w:eastAsia="Calibri" w:cs="Times New Roman"/>
          <w:sz w:val="18"/>
          <w:szCs w:val="18"/>
        </w:rPr>
        <w:t xml:space="preserve"> Uw Kamer is op 15 juni over dit voorstel geïnformeerd</w:t>
      </w:r>
      <w:r w:rsidR="00F479D3">
        <w:rPr>
          <w:rFonts w:ascii="Verdana" w:hAnsi="Verdana" w:eastAsia="Calibri" w:cs="Times New Roman"/>
          <w:sz w:val="18"/>
          <w:szCs w:val="18"/>
        </w:rPr>
        <w:t>.</w:t>
      </w:r>
      <w:r w:rsidR="00053C8C">
        <w:rPr>
          <w:rStyle w:val="FootnoteReference"/>
          <w:rFonts w:ascii="Verdana" w:hAnsi="Verdana" w:eastAsia="Calibri" w:cs="Times New Roman"/>
          <w:sz w:val="18"/>
          <w:szCs w:val="18"/>
        </w:rPr>
        <w:footnoteReference w:id="4"/>
      </w:r>
      <w:r w:rsidR="00053C8C">
        <w:rPr>
          <w:rFonts w:ascii="Verdana" w:hAnsi="Verdana" w:eastAsia="Calibri" w:cs="Times New Roman"/>
          <w:sz w:val="18"/>
          <w:szCs w:val="18"/>
        </w:rPr>
        <w:t xml:space="preserve"> </w:t>
      </w:r>
      <w:r w:rsidR="00B714F5">
        <w:rPr>
          <w:rFonts w:ascii="Verdana" w:hAnsi="Verdana" w:eastAsia="Calibri" w:cs="Times New Roman"/>
          <w:sz w:val="18"/>
          <w:szCs w:val="18"/>
        </w:rPr>
        <w:t>Hierover zal nu verder worden onderhandeld met het Europees Parlement</w:t>
      </w:r>
      <w:r w:rsidR="00053C8C">
        <w:rPr>
          <w:rFonts w:ascii="Verdana" w:hAnsi="Verdana" w:eastAsia="Calibri" w:cs="Times New Roman"/>
          <w:sz w:val="18"/>
          <w:szCs w:val="18"/>
        </w:rPr>
        <w:t>. In plaats van de overbruggingsmaategel is nu de mogelijkheid gecreëerd om met terugwerkende kracht tot 1 februari jl. onder voorwaarden projecten uit het RRF en ReactEU-programma te betalen.</w:t>
      </w:r>
    </w:p>
    <w:p w:rsidRPr="00BB0631" w:rsidR="005D3529" w:rsidP="00BB0631" w:rsidRDefault="005D3529" w14:paraId="4F16DA69" w14:textId="0180B6E1">
      <w:pPr>
        <w:jc w:val="both"/>
        <w:rPr>
          <w:rFonts w:ascii="Verdana" w:hAnsi="Verdana" w:eastAsia="Calibri" w:cs="Times New Roman"/>
          <w:sz w:val="18"/>
          <w:szCs w:val="18"/>
        </w:rPr>
      </w:pPr>
      <w:r>
        <w:rPr>
          <w:rFonts w:ascii="Verdana" w:hAnsi="Verdana" w:eastAsia="Calibri" w:cs="Times New Roman"/>
          <w:sz w:val="18"/>
          <w:szCs w:val="18"/>
        </w:rPr>
        <w:t xml:space="preserve">Tot slot nodigt de Europese Raad de </w:t>
      </w:r>
      <w:r>
        <w:rPr>
          <w:rFonts w:ascii="Verdana" w:hAnsi="Verdana" w:eastAsia="Calibri" w:cs="Times New Roman"/>
          <w:i/>
          <w:sz w:val="18"/>
          <w:szCs w:val="18"/>
        </w:rPr>
        <w:t>Board of Governors</w:t>
      </w:r>
      <w:r>
        <w:rPr>
          <w:rFonts w:ascii="Verdana" w:hAnsi="Verdana" w:eastAsia="Calibri" w:cs="Times New Roman"/>
          <w:sz w:val="18"/>
          <w:szCs w:val="18"/>
        </w:rPr>
        <w:t xml:space="preserve"> van de Europese Investeringbank (EIB) uit om te bezien of de EIB voldoende </w:t>
      </w:r>
      <w:r w:rsidR="00B714F5">
        <w:rPr>
          <w:rFonts w:ascii="Verdana" w:hAnsi="Verdana" w:eastAsia="Calibri" w:cs="Times New Roman"/>
          <w:sz w:val="18"/>
          <w:szCs w:val="18"/>
        </w:rPr>
        <w:t>gekapitaliseerd is</w:t>
      </w:r>
      <w:r>
        <w:rPr>
          <w:rFonts w:ascii="Verdana" w:hAnsi="Verdana" w:eastAsia="Calibri" w:cs="Times New Roman"/>
          <w:sz w:val="18"/>
          <w:szCs w:val="18"/>
        </w:rPr>
        <w:t xml:space="preserve"> om de Commissieplannen uit te kunnen voeren en bij te dragen aan klimaat- en digitaliseringsdoelen</w:t>
      </w:r>
      <w:r w:rsidR="00B714F5">
        <w:rPr>
          <w:rFonts w:ascii="Verdana" w:hAnsi="Verdana" w:eastAsia="Calibri" w:cs="Times New Roman"/>
          <w:sz w:val="18"/>
          <w:szCs w:val="18"/>
        </w:rPr>
        <w:t xml:space="preserve"> van de Unie</w:t>
      </w:r>
      <w:r>
        <w:rPr>
          <w:rFonts w:ascii="Verdana" w:hAnsi="Verdana" w:eastAsia="Calibri" w:cs="Times New Roman"/>
          <w:sz w:val="18"/>
          <w:szCs w:val="18"/>
        </w:rPr>
        <w:t xml:space="preserve">. De </w:t>
      </w:r>
      <w:r>
        <w:rPr>
          <w:rFonts w:ascii="Verdana" w:hAnsi="Verdana" w:eastAsia="Calibri" w:cs="Times New Roman"/>
          <w:i/>
          <w:sz w:val="18"/>
          <w:szCs w:val="18"/>
        </w:rPr>
        <w:t>Board of Governors</w:t>
      </w:r>
      <w:r>
        <w:rPr>
          <w:rFonts w:ascii="Verdana" w:hAnsi="Verdana" w:eastAsia="Calibri" w:cs="Times New Roman"/>
          <w:sz w:val="18"/>
          <w:szCs w:val="18"/>
        </w:rPr>
        <w:t xml:space="preserve"> zal voor het eind van 2020 unaniem beslissen over de omvang en </w:t>
      </w:r>
      <w:r w:rsidR="00B714F5">
        <w:rPr>
          <w:rFonts w:ascii="Verdana" w:hAnsi="Verdana" w:eastAsia="Calibri" w:cs="Times New Roman"/>
          <w:sz w:val="18"/>
          <w:szCs w:val="18"/>
        </w:rPr>
        <w:t>modaliteiten van een mogelijke kapitaalverhoging</w:t>
      </w:r>
      <w:r>
        <w:rPr>
          <w:rFonts w:ascii="Verdana" w:hAnsi="Verdana" w:eastAsia="Calibri" w:cs="Times New Roman"/>
          <w:sz w:val="18"/>
          <w:szCs w:val="18"/>
        </w:rPr>
        <w:t xml:space="preserve">. Door het schrappen van de middelen voor het </w:t>
      </w:r>
      <w:r w:rsidRPr="005758BD">
        <w:rPr>
          <w:rFonts w:ascii="Verdana" w:hAnsi="Verdana" w:eastAsia="Calibri" w:cs="Times New Roman"/>
          <w:i/>
          <w:sz w:val="18"/>
          <w:szCs w:val="18"/>
        </w:rPr>
        <w:t>Solvency Support Instrument</w:t>
      </w:r>
      <w:r>
        <w:rPr>
          <w:rFonts w:ascii="Verdana" w:hAnsi="Verdana" w:eastAsia="Calibri" w:cs="Times New Roman"/>
          <w:sz w:val="18"/>
          <w:szCs w:val="18"/>
        </w:rPr>
        <w:t xml:space="preserve"> en een deel van de middelen voor InvestEU zal het benodigd additioneel kapitaal lager liggen dan eerder aan de Kamer gecommuniceerd. De exacte omvang is echter nog onbekend.</w:t>
      </w:r>
    </w:p>
    <w:p w:rsidRPr="00BB0631" w:rsidR="00053C8C" w:rsidP="00053C8C" w:rsidRDefault="00053C8C" w14:paraId="7DF6E148" w14:textId="77777777">
      <w:pPr>
        <w:jc w:val="both"/>
        <w:rPr>
          <w:rFonts w:ascii="Verdana" w:hAnsi="Verdana" w:eastAsia="Calibri" w:cs="Times New Roman"/>
          <w:sz w:val="18"/>
          <w:szCs w:val="18"/>
          <w:u w:val="single"/>
        </w:rPr>
      </w:pPr>
      <w:r>
        <w:rPr>
          <w:rFonts w:ascii="Verdana" w:hAnsi="Verdana" w:eastAsia="Calibri" w:cs="Times New Roman"/>
          <w:sz w:val="18"/>
          <w:szCs w:val="18"/>
          <w:u w:val="single"/>
        </w:rPr>
        <w:t>Financiering (Eigenmiddelenbesluit)</w:t>
      </w:r>
    </w:p>
    <w:p w:rsidRPr="00BB0631" w:rsidR="00053C8C" w:rsidP="00053C8C" w:rsidRDefault="00053C8C" w14:paraId="032D7D3F" w14:textId="4DC75799">
      <w:pPr>
        <w:jc w:val="both"/>
        <w:rPr>
          <w:rFonts w:ascii="Verdana" w:hAnsi="Verdana" w:eastAsia="Calibri" w:cs="Times New Roman"/>
          <w:sz w:val="18"/>
          <w:szCs w:val="18"/>
        </w:rPr>
      </w:pPr>
      <w:r w:rsidRPr="003613F1">
        <w:rPr>
          <w:rFonts w:ascii="Verdana" w:hAnsi="Verdana" w:eastAsia="Calibri" w:cs="Times New Roman"/>
          <w:sz w:val="18"/>
          <w:szCs w:val="18"/>
        </w:rPr>
        <w:t xml:space="preserve">In </w:t>
      </w:r>
      <w:r>
        <w:rPr>
          <w:rFonts w:ascii="Verdana" w:hAnsi="Verdana" w:eastAsia="Calibri" w:cs="Times New Roman"/>
          <w:sz w:val="18"/>
          <w:szCs w:val="18"/>
        </w:rPr>
        <w:t>een</w:t>
      </w:r>
      <w:r w:rsidRPr="003613F1">
        <w:rPr>
          <w:rFonts w:ascii="Verdana" w:hAnsi="Verdana" w:eastAsia="Calibri" w:cs="Times New Roman"/>
          <w:sz w:val="18"/>
          <w:szCs w:val="18"/>
        </w:rPr>
        <w:t xml:space="preserve"> nieuw</w:t>
      </w:r>
      <w:r w:rsidRPr="00BB0631">
        <w:rPr>
          <w:rFonts w:ascii="Verdana" w:hAnsi="Verdana" w:eastAsia="Calibri" w:cs="Times New Roman"/>
          <w:sz w:val="18"/>
          <w:szCs w:val="18"/>
        </w:rPr>
        <w:t xml:space="preserve"> Eigenmiddelenbesluit (EMB) </w:t>
      </w:r>
      <w:r>
        <w:rPr>
          <w:rFonts w:ascii="Verdana" w:hAnsi="Verdana" w:eastAsia="Calibri" w:cs="Times New Roman"/>
          <w:sz w:val="18"/>
          <w:szCs w:val="18"/>
        </w:rPr>
        <w:t>zullen</w:t>
      </w:r>
      <w:r w:rsidRPr="00BB0631">
        <w:rPr>
          <w:rFonts w:ascii="Verdana" w:hAnsi="Verdana" w:eastAsia="Calibri" w:cs="Times New Roman"/>
          <w:sz w:val="18"/>
          <w:szCs w:val="18"/>
        </w:rPr>
        <w:t xml:space="preserve"> de afspraken </w:t>
      </w:r>
      <w:r>
        <w:rPr>
          <w:rFonts w:ascii="Verdana" w:hAnsi="Verdana" w:eastAsia="Calibri" w:cs="Times New Roman"/>
          <w:sz w:val="18"/>
          <w:szCs w:val="18"/>
        </w:rPr>
        <w:t xml:space="preserve">worden </w:t>
      </w:r>
      <w:r w:rsidRPr="00BB0631">
        <w:rPr>
          <w:rFonts w:ascii="Verdana" w:hAnsi="Verdana" w:eastAsia="Calibri" w:cs="Times New Roman"/>
          <w:sz w:val="18"/>
          <w:szCs w:val="18"/>
        </w:rPr>
        <w:t>vastgelegd voor de financiering van de Europese begroting</w:t>
      </w:r>
      <w:r>
        <w:rPr>
          <w:rFonts w:ascii="Verdana" w:hAnsi="Verdana" w:eastAsia="Calibri" w:cs="Times New Roman"/>
          <w:sz w:val="18"/>
          <w:szCs w:val="18"/>
        </w:rPr>
        <w:t xml:space="preserve"> vanaf 2021</w:t>
      </w:r>
      <w:r w:rsidRPr="00BB0631">
        <w:rPr>
          <w:rFonts w:ascii="Verdana" w:hAnsi="Verdana" w:eastAsia="Calibri" w:cs="Times New Roman"/>
          <w:sz w:val="18"/>
          <w:szCs w:val="18"/>
        </w:rPr>
        <w:t xml:space="preserve">. </w:t>
      </w:r>
      <w:r>
        <w:rPr>
          <w:rFonts w:ascii="Verdana" w:hAnsi="Verdana" w:eastAsia="Calibri" w:cs="Times New Roman"/>
          <w:sz w:val="18"/>
          <w:szCs w:val="18"/>
        </w:rPr>
        <w:t>De Europese Raad is overeengekomen dat</w:t>
      </w:r>
      <w:r w:rsidRPr="00BB0631">
        <w:rPr>
          <w:rFonts w:ascii="Verdana" w:hAnsi="Verdana" w:eastAsia="Calibri" w:cs="Times New Roman"/>
          <w:sz w:val="18"/>
          <w:szCs w:val="18"/>
        </w:rPr>
        <w:t xml:space="preserve"> </w:t>
      </w:r>
      <w:r>
        <w:rPr>
          <w:rFonts w:ascii="Verdana" w:hAnsi="Verdana" w:eastAsia="Calibri" w:cs="Times New Roman"/>
          <w:sz w:val="18"/>
          <w:szCs w:val="18"/>
        </w:rPr>
        <w:t xml:space="preserve">in </w:t>
      </w:r>
      <w:r w:rsidRPr="00BB0631">
        <w:rPr>
          <w:rFonts w:ascii="Verdana" w:hAnsi="Verdana" w:eastAsia="Calibri" w:cs="Times New Roman"/>
          <w:sz w:val="18"/>
          <w:szCs w:val="18"/>
        </w:rPr>
        <w:t xml:space="preserve">het nieuwe EMB het plafond voor </w:t>
      </w:r>
      <w:r>
        <w:rPr>
          <w:rFonts w:ascii="Verdana" w:hAnsi="Verdana" w:eastAsia="Calibri" w:cs="Times New Roman"/>
          <w:sz w:val="18"/>
          <w:szCs w:val="18"/>
        </w:rPr>
        <w:t>betalingen</w:t>
      </w:r>
      <w:r w:rsidRPr="00BB0631">
        <w:rPr>
          <w:rFonts w:ascii="Verdana" w:hAnsi="Verdana" w:eastAsia="Calibri" w:cs="Times New Roman"/>
          <w:sz w:val="18"/>
          <w:szCs w:val="18"/>
        </w:rPr>
        <w:t xml:space="preserve"> </w:t>
      </w:r>
      <w:r>
        <w:rPr>
          <w:rFonts w:ascii="Verdana" w:hAnsi="Verdana" w:eastAsia="Calibri" w:cs="Times New Roman"/>
          <w:sz w:val="18"/>
          <w:szCs w:val="18"/>
        </w:rPr>
        <w:t xml:space="preserve">wordt </w:t>
      </w:r>
      <w:r w:rsidRPr="00BB0631">
        <w:rPr>
          <w:rFonts w:ascii="Verdana" w:hAnsi="Verdana" w:eastAsia="Calibri" w:cs="Times New Roman"/>
          <w:sz w:val="18"/>
          <w:szCs w:val="18"/>
        </w:rPr>
        <w:t xml:space="preserve">vastgesteld op </w:t>
      </w:r>
      <w:r>
        <w:rPr>
          <w:rFonts w:ascii="Verdana" w:hAnsi="Verdana" w:eastAsia="Calibri" w:cs="Times New Roman"/>
          <w:sz w:val="18"/>
          <w:szCs w:val="18"/>
        </w:rPr>
        <w:t>1,4</w:t>
      </w:r>
      <w:r w:rsidRPr="00BB0631">
        <w:rPr>
          <w:rFonts w:ascii="Verdana" w:hAnsi="Verdana" w:eastAsia="Calibri" w:cs="Times New Roman"/>
          <w:sz w:val="18"/>
          <w:szCs w:val="18"/>
        </w:rPr>
        <w:t xml:space="preserve">% van het Europese </w:t>
      </w:r>
      <w:r>
        <w:rPr>
          <w:rFonts w:ascii="Verdana" w:hAnsi="Verdana" w:eastAsia="Calibri" w:cs="Times New Roman"/>
          <w:sz w:val="18"/>
          <w:szCs w:val="18"/>
        </w:rPr>
        <w:t>bni</w:t>
      </w:r>
      <w:r w:rsidRPr="00BB0631">
        <w:rPr>
          <w:rFonts w:ascii="Verdana" w:hAnsi="Verdana" w:eastAsia="Calibri" w:cs="Times New Roman"/>
          <w:sz w:val="18"/>
          <w:szCs w:val="18"/>
        </w:rPr>
        <w:t xml:space="preserve"> (betalingen).</w:t>
      </w:r>
      <w:r>
        <w:rPr>
          <w:rFonts w:ascii="Verdana" w:hAnsi="Verdana" w:eastAsia="Calibri" w:cs="Times New Roman"/>
          <w:sz w:val="18"/>
          <w:szCs w:val="18"/>
        </w:rPr>
        <w:t xml:space="preserve"> Het plafond voor vastleggingen ligt op 1,46% bni.</w:t>
      </w:r>
      <w:r w:rsidRPr="00BB0631">
        <w:rPr>
          <w:rFonts w:ascii="Verdana" w:hAnsi="Verdana" w:eastAsia="Calibri" w:cs="Times New Roman"/>
          <w:sz w:val="18"/>
          <w:szCs w:val="18"/>
        </w:rPr>
        <w:t xml:space="preserve"> De ruimte </w:t>
      </w:r>
      <w:r>
        <w:rPr>
          <w:rFonts w:ascii="Verdana" w:hAnsi="Verdana" w:eastAsia="Calibri" w:cs="Times New Roman"/>
          <w:sz w:val="18"/>
          <w:szCs w:val="18"/>
        </w:rPr>
        <w:t xml:space="preserve">(marge) </w:t>
      </w:r>
      <w:r w:rsidRPr="00BB0631">
        <w:rPr>
          <w:rFonts w:ascii="Verdana" w:hAnsi="Verdana" w:eastAsia="Calibri" w:cs="Times New Roman"/>
          <w:sz w:val="18"/>
          <w:szCs w:val="18"/>
        </w:rPr>
        <w:t xml:space="preserve">tussen dit plafond en het MFK-plafond dient onder andere als garantie </w:t>
      </w:r>
      <w:r>
        <w:rPr>
          <w:rFonts w:ascii="Verdana" w:hAnsi="Verdana" w:eastAsia="Calibri" w:cs="Times New Roman"/>
          <w:sz w:val="18"/>
          <w:szCs w:val="18"/>
        </w:rPr>
        <w:t xml:space="preserve">dat de Europese Unie aan al haar financiële verplichtingen kan voldoen, met name de rente- en aflossingsverplichtingen die voortvloeien uit schulden die de Unie aangaat ten behoeve van het verstrekken van leningen aan lidstaten in het kader van de betalingsbalanssteun voor lidstaten die de euro niet als munt hebben, het Europees Financieel Stabilisatiemechanisme  (EFSM) en het </w:t>
      </w:r>
      <w:r w:rsidRPr="00B16B53">
        <w:rPr>
          <w:rFonts w:ascii="Verdana" w:hAnsi="Verdana" w:eastAsia="Calibri" w:cs="Times New Roman"/>
          <w:sz w:val="18"/>
          <w:szCs w:val="18"/>
        </w:rPr>
        <w:t>Europees instrument voor tijdelijke steun om het risico op werkloosheid te beperken in een noodtoestand (SURE) als gevolg van de COVID-19-uitbraak</w:t>
      </w:r>
      <w:r w:rsidRPr="00BB0631">
        <w:rPr>
          <w:rFonts w:ascii="Verdana" w:hAnsi="Verdana" w:eastAsia="Calibri" w:cs="Times New Roman"/>
          <w:sz w:val="18"/>
          <w:szCs w:val="18"/>
        </w:rPr>
        <w:t>.</w:t>
      </w:r>
      <w:r>
        <w:rPr>
          <w:rFonts w:ascii="Verdana" w:hAnsi="Verdana" w:eastAsia="Calibri" w:cs="Times New Roman"/>
          <w:sz w:val="18"/>
          <w:szCs w:val="18"/>
        </w:rPr>
        <w:t xml:space="preserve"> Daarnaast dient de marge voor de financiering van speciale instrumenten op de EU-begroting.</w:t>
      </w:r>
      <w:r w:rsidRPr="00BB0631">
        <w:rPr>
          <w:rFonts w:ascii="Verdana" w:hAnsi="Verdana" w:eastAsia="Calibri" w:cs="Times New Roman"/>
          <w:sz w:val="18"/>
          <w:szCs w:val="18"/>
        </w:rPr>
        <w:t xml:space="preserve"> </w:t>
      </w:r>
      <w:r w:rsidR="00D455EF">
        <w:rPr>
          <w:rFonts w:ascii="Verdana" w:hAnsi="Verdana" w:eastAsia="Calibri" w:cs="Times New Roman"/>
          <w:sz w:val="18"/>
          <w:szCs w:val="18"/>
        </w:rPr>
        <w:t xml:space="preserve">Volgens </w:t>
      </w:r>
      <w:r w:rsidRPr="00BB0631">
        <w:rPr>
          <w:rFonts w:ascii="Verdana" w:hAnsi="Verdana" w:eastAsia="Calibri" w:cs="Times New Roman"/>
          <w:sz w:val="18"/>
          <w:szCs w:val="18"/>
        </w:rPr>
        <w:t xml:space="preserve">Nederland </w:t>
      </w:r>
      <w:r w:rsidR="00D455EF">
        <w:rPr>
          <w:rFonts w:ascii="Verdana" w:hAnsi="Verdana" w:eastAsia="Calibri" w:cs="Times New Roman"/>
          <w:sz w:val="18"/>
          <w:szCs w:val="18"/>
        </w:rPr>
        <w:t xml:space="preserve">zou </w:t>
      </w:r>
      <w:r w:rsidRPr="00BB0631">
        <w:rPr>
          <w:rFonts w:ascii="Verdana" w:hAnsi="Verdana" w:eastAsia="Calibri" w:cs="Times New Roman"/>
          <w:sz w:val="18"/>
          <w:szCs w:val="18"/>
        </w:rPr>
        <w:t xml:space="preserve">een lagere marge </w:t>
      </w:r>
      <w:r w:rsidR="00D455EF">
        <w:rPr>
          <w:rFonts w:ascii="Verdana" w:hAnsi="Verdana" w:eastAsia="Calibri" w:cs="Times New Roman"/>
          <w:sz w:val="18"/>
          <w:szCs w:val="18"/>
        </w:rPr>
        <w:t xml:space="preserve">ook </w:t>
      </w:r>
      <w:r w:rsidRPr="00BB0631">
        <w:rPr>
          <w:rFonts w:ascii="Verdana" w:hAnsi="Verdana" w:eastAsia="Calibri" w:cs="Times New Roman"/>
          <w:sz w:val="18"/>
          <w:szCs w:val="18"/>
        </w:rPr>
        <w:t>voldoende zijn voor de benoemde garantstelling.</w:t>
      </w:r>
    </w:p>
    <w:p w:rsidRPr="00BB0631" w:rsidR="00053C8C" w:rsidP="00053C8C" w:rsidRDefault="00053C8C" w14:paraId="032A978F" w14:textId="589A9F74">
      <w:pPr>
        <w:jc w:val="both"/>
        <w:rPr>
          <w:rFonts w:ascii="Verdana" w:hAnsi="Verdana" w:eastAsia="Calibri" w:cs="Times New Roman"/>
          <w:sz w:val="18"/>
          <w:szCs w:val="18"/>
        </w:rPr>
      </w:pPr>
      <w:r w:rsidRPr="00BB0631">
        <w:rPr>
          <w:rFonts w:ascii="Verdana" w:hAnsi="Verdana" w:eastAsia="Calibri" w:cs="Times New Roman"/>
          <w:sz w:val="18"/>
          <w:szCs w:val="18"/>
        </w:rPr>
        <w:t xml:space="preserve">Voor de garandering van de </w:t>
      </w:r>
      <w:r>
        <w:rPr>
          <w:rFonts w:ascii="Verdana" w:hAnsi="Verdana" w:eastAsia="Calibri" w:cs="Times New Roman"/>
          <w:sz w:val="18"/>
          <w:szCs w:val="18"/>
        </w:rPr>
        <w:t xml:space="preserve">financiële verplichtingen op de </w:t>
      </w:r>
      <w:r w:rsidRPr="00BB0631">
        <w:rPr>
          <w:rFonts w:ascii="Verdana" w:hAnsi="Verdana" w:eastAsia="Calibri" w:cs="Times New Roman"/>
          <w:sz w:val="18"/>
          <w:szCs w:val="18"/>
        </w:rPr>
        <w:t xml:space="preserve">leningen voor de financiering van </w:t>
      </w:r>
      <w:r w:rsidRPr="00A04134">
        <w:rPr>
          <w:rFonts w:ascii="Verdana" w:hAnsi="Verdana" w:eastAsia="Calibri" w:cs="Times New Roman"/>
          <w:i/>
          <w:sz w:val="18"/>
          <w:szCs w:val="18"/>
        </w:rPr>
        <w:t>Next Generation EU</w:t>
      </w:r>
      <w:r w:rsidRPr="00BB0631">
        <w:rPr>
          <w:rFonts w:ascii="Verdana" w:hAnsi="Verdana" w:eastAsia="Calibri" w:cs="Times New Roman"/>
          <w:sz w:val="18"/>
          <w:szCs w:val="18"/>
        </w:rPr>
        <w:t xml:space="preserve">, wordt een tijdelijke en specifieke </w:t>
      </w:r>
      <w:r>
        <w:rPr>
          <w:rFonts w:ascii="Verdana" w:hAnsi="Verdana" w:eastAsia="Calibri" w:cs="Times New Roman"/>
          <w:sz w:val="18"/>
          <w:szCs w:val="18"/>
        </w:rPr>
        <w:t>(geoormerkte) verhoging van</w:t>
      </w:r>
      <w:r w:rsidRPr="00BB0631">
        <w:rPr>
          <w:rFonts w:ascii="Verdana" w:hAnsi="Verdana" w:eastAsia="Calibri" w:cs="Times New Roman"/>
          <w:sz w:val="18"/>
          <w:szCs w:val="18"/>
        </w:rPr>
        <w:t xml:space="preserve"> het plafond voor de eigen middelen opgenomen. Deze dient enkel en alleen </w:t>
      </w:r>
      <w:r>
        <w:rPr>
          <w:rFonts w:ascii="Verdana" w:hAnsi="Verdana" w:eastAsia="Calibri" w:cs="Times New Roman"/>
          <w:sz w:val="18"/>
          <w:szCs w:val="18"/>
        </w:rPr>
        <w:t>als zekerheid</w:t>
      </w:r>
      <w:r w:rsidRPr="00BB0631">
        <w:rPr>
          <w:rFonts w:ascii="Verdana" w:hAnsi="Verdana" w:eastAsia="Calibri" w:cs="Times New Roman"/>
          <w:sz w:val="18"/>
          <w:szCs w:val="18"/>
        </w:rPr>
        <w:t xml:space="preserve"> voor </w:t>
      </w:r>
      <w:r>
        <w:rPr>
          <w:rFonts w:ascii="Verdana" w:hAnsi="Verdana" w:eastAsia="Calibri" w:cs="Times New Roman"/>
          <w:sz w:val="18"/>
          <w:szCs w:val="18"/>
        </w:rPr>
        <w:t xml:space="preserve">de rente- en </w:t>
      </w:r>
      <w:r w:rsidRPr="0070454D">
        <w:rPr>
          <w:rFonts w:ascii="Verdana" w:hAnsi="Verdana" w:eastAsia="Calibri" w:cs="Times New Roman"/>
          <w:sz w:val="18"/>
          <w:szCs w:val="18"/>
        </w:rPr>
        <w:t>aflossingsverplichtingen op de leningen die voor het herstelinstrument worden aangegaan en loopt af zodra de laatste lening voor dit programma is terugbetaald (uiterlijk 2058). De omvang van deze marge bedraagt 0,6% van het Europese bni. Het kabinet is van mening dat een lagere marge afdoende was geweest, maar omdat het gebruik deze specifieke verhoging van het eigenmiddelenplafond op</w:t>
      </w:r>
      <w:r>
        <w:rPr>
          <w:rFonts w:ascii="Verdana" w:hAnsi="Verdana" w:eastAsia="Calibri" w:cs="Times New Roman"/>
          <w:sz w:val="18"/>
          <w:szCs w:val="18"/>
        </w:rPr>
        <w:t xml:space="preserve"> de j</w:t>
      </w:r>
      <w:r w:rsidR="00F01242">
        <w:rPr>
          <w:rFonts w:ascii="Verdana" w:hAnsi="Verdana" w:eastAsia="Calibri" w:cs="Times New Roman"/>
          <w:sz w:val="18"/>
          <w:szCs w:val="18"/>
        </w:rPr>
        <w:t xml:space="preserve">uiste manier begrensd is, </w:t>
      </w:r>
      <w:r>
        <w:rPr>
          <w:rFonts w:ascii="Verdana" w:hAnsi="Verdana" w:eastAsia="Calibri" w:cs="Times New Roman"/>
          <w:sz w:val="18"/>
          <w:szCs w:val="18"/>
        </w:rPr>
        <w:t>zal de relatief hoge omvang ervan geen ongewenste of onvoorziene financiële consequenties hebben</w:t>
      </w:r>
      <w:r w:rsidRPr="00BB0631">
        <w:rPr>
          <w:rFonts w:ascii="Verdana" w:hAnsi="Verdana" w:eastAsia="Calibri" w:cs="Times New Roman"/>
          <w:sz w:val="18"/>
          <w:szCs w:val="18"/>
        </w:rPr>
        <w:t xml:space="preserve">. </w:t>
      </w:r>
    </w:p>
    <w:p w:rsidRPr="00BB0631" w:rsidR="00053C8C" w:rsidP="00053C8C" w:rsidRDefault="00053C8C" w14:paraId="1404E8E0" w14:textId="1CCD0FBA">
      <w:pPr>
        <w:jc w:val="both"/>
        <w:rPr>
          <w:rFonts w:ascii="Verdana" w:hAnsi="Verdana" w:eastAsia="Calibri" w:cs="Times New Roman"/>
          <w:sz w:val="18"/>
          <w:szCs w:val="18"/>
        </w:rPr>
      </w:pPr>
      <w:r>
        <w:rPr>
          <w:rFonts w:ascii="Verdana" w:hAnsi="Verdana" w:eastAsia="Calibri" w:cs="Times New Roman"/>
          <w:sz w:val="18"/>
          <w:szCs w:val="18"/>
        </w:rPr>
        <w:t>Over de categorieën van eigen middelen heeft de Europese Raad besloten dat i</w:t>
      </w:r>
      <w:r w:rsidRPr="00BB0631">
        <w:rPr>
          <w:rFonts w:ascii="Verdana" w:hAnsi="Verdana" w:eastAsia="Calibri" w:cs="Times New Roman"/>
          <w:sz w:val="18"/>
          <w:szCs w:val="18"/>
        </w:rPr>
        <w:t>n het nieuwe EMB de</w:t>
      </w:r>
      <w:r>
        <w:rPr>
          <w:rFonts w:ascii="Verdana" w:hAnsi="Verdana" w:eastAsia="Calibri" w:cs="Times New Roman"/>
          <w:sz w:val="18"/>
          <w:szCs w:val="18"/>
        </w:rPr>
        <w:t xml:space="preserve"> bestaande</w:t>
      </w:r>
      <w:r w:rsidRPr="00BB0631">
        <w:rPr>
          <w:rFonts w:ascii="Verdana" w:hAnsi="Verdana" w:eastAsia="Calibri" w:cs="Times New Roman"/>
          <w:sz w:val="18"/>
          <w:szCs w:val="18"/>
        </w:rPr>
        <w:t xml:space="preserve"> </w:t>
      </w:r>
      <w:r>
        <w:rPr>
          <w:rFonts w:ascii="Verdana" w:hAnsi="Verdana" w:eastAsia="Calibri" w:cs="Times New Roman"/>
          <w:sz w:val="18"/>
          <w:szCs w:val="18"/>
        </w:rPr>
        <w:t>btw</w:t>
      </w:r>
      <w:r w:rsidRPr="00BB0631">
        <w:rPr>
          <w:rFonts w:ascii="Verdana" w:hAnsi="Verdana" w:eastAsia="Calibri" w:cs="Times New Roman"/>
          <w:sz w:val="18"/>
          <w:szCs w:val="18"/>
        </w:rPr>
        <w:t xml:space="preserve">-grondslag vereenvoudigd </w:t>
      </w:r>
      <w:r>
        <w:rPr>
          <w:rFonts w:ascii="Verdana" w:hAnsi="Verdana" w:eastAsia="Calibri" w:cs="Times New Roman"/>
          <w:sz w:val="18"/>
          <w:szCs w:val="18"/>
        </w:rPr>
        <w:t xml:space="preserve">wordt </w:t>
      </w:r>
      <w:r w:rsidRPr="00BB0631">
        <w:rPr>
          <w:rFonts w:ascii="Verdana" w:hAnsi="Verdana" w:eastAsia="Calibri" w:cs="Times New Roman"/>
          <w:sz w:val="18"/>
          <w:szCs w:val="18"/>
        </w:rPr>
        <w:t xml:space="preserve">conform het Commissievoorstel uit mei 2020. Het uniforme heffingspercentage van 0,3% blijft ongewijzigd. De korting die Nederland in het huidige EMB op de </w:t>
      </w:r>
      <w:r>
        <w:rPr>
          <w:rFonts w:ascii="Verdana" w:hAnsi="Verdana" w:eastAsia="Calibri" w:cs="Times New Roman"/>
          <w:sz w:val="18"/>
          <w:szCs w:val="18"/>
        </w:rPr>
        <w:t>btw</w:t>
      </w:r>
      <w:r w:rsidRPr="00BB0631">
        <w:rPr>
          <w:rFonts w:ascii="Verdana" w:hAnsi="Verdana" w:eastAsia="Calibri" w:cs="Times New Roman"/>
          <w:sz w:val="18"/>
          <w:szCs w:val="18"/>
        </w:rPr>
        <w:t>-afdracht heeft, wordt in het nieuwe EMB omgezet naar de lumpsumkorting.</w:t>
      </w:r>
      <w:r>
        <w:rPr>
          <w:rFonts w:ascii="Verdana" w:hAnsi="Verdana" w:eastAsia="Calibri" w:cs="Times New Roman"/>
          <w:sz w:val="18"/>
          <w:szCs w:val="18"/>
        </w:rPr>
        <w:t xml:space="preserve"> Vereenvoudiging van de btw-afdracht was onderdeel van de Nederlandse inzet. Voor de afschaffing ervan, wat ook op Nederlandse steun had kunnen rekenen, was er onvoldoende draagvlak.</w:t>
      </w:r>
      <w:r w:rsidRPr="00BB0631">
        <w:rPr>
          <w:rFonts w:ascii="Verdana" w:hAnsi="Verdana" w:eastAsia="Calibri" w:cs="Times New Roman"/>
          <w:sz w:val="18"/>
          <w:szCs w:val="18"/>
        </w:rPr>
        <w:t xml:space="preserve"> De </w:t>
      </w:r>
      <w:r>
        <w:rPr>
          <w:rFonts w:ascii="Verdana" w:hAnsi="Verdana" w:eastAsia="Calibri" w:cs="Times New Roman"/>
          <w:sz w:val="18"/>
          <w:szCs w:val="18"/>
        </w:rPr>
        <w:t>bni</w:t>
      </w:r>
      <w:r w:rsidRPr="00BB0631">
        <w:rPr>
          <w:rFonts w:ascii="Verdana" w:hAnsi="Verdana" w:eastAsia="Calibri" w:cs="Times New Roman"/>
          <w:sz w:val="18"/>
          <w:szCs w:val="18"/>
        </w:rPr>
        <w:t xml:space="preserve">-afdracht blijft ongewijzigd in het nieuwe EMB en blijft het sluitstuk van de Europese afdrachten. Dat wil zeggen dat alle overgebleven uitgaven die niet gedekt kunnen worden door de opbrengst van </w:t>
      </w:r>
      <w:r w:rsidRPr="00BB0631">
        <w:rPr>
          <w:rFonts w:ascii="Verdana" w:hAnsi="Verdana" w:eastAsia="Calibri" w:cs="Times New Roman"/>
          <w:sz w:val="18"/>
          <w:szCs w:val="18"/>
        </w:rPr>
        <w:lastRenderedPageBreak/>
        <w:t xml:space="preserve">invoerrechten, BTW en de nieuwe plastic-grondslag, door de </w:t>
      </w:r>
      <w:r>
        <w:rPr>
          <w:rFonts w:ascii="Verdana" w:hAnsi="Verdana" w:eastAsia="Calibri" w:cs="Times New Roman"/>
          <w:sz w:val="18"/>
          <w:szCs w:val="18"/>
        </w:rPr>
        <w:t>bni</w:t>
      </w:r>
      <w:r w:rsidRPr="00BB0631">
        <w:rPr>
          <w:rFonts w:ascii="Verdana" w:hAnsi="Verdana" w:eastAsia="Calibri" w:cs="Times New Roman"/>
          <w:sz w:val="18"/>
          <w:szCs w:val="18"/>
        </w:rPr>
        <w:t xml:space="preserve">-afdracht van de lidstaten, naar rato van het nationale aandeel in het Europese </w:t>
      </w:r>
      <w:r>
        <w:rPr>
          <w:rFonts w:ascii="Verdana" w:hAnsi="Verdana" w:eastAsia="Calibri" w:cs="Times New Roman"/>
          <w:sz w:val="18"/>
          <w:szCs w:val="18"/>
        </w:rPr>
        <w:t>bni,</w:t>
      </w:r>
      <w:r w:rsidRPr="00BB0631">
        <w:rPr>
          <w:rFonts w:ascii="Verdana" w:hAnsi="Verdana" w:eastAsia="Calibri" w:cs="Times New Roman"/>
          <w:sz w:val="18"/>
          <w:szCs w:val="18"/>
        </w:rPr>
        <w:t xml:space="preserve"> worden afgedragen. Vanwege de COVID-crisis is de raming van de nationale </w:t>
      </w:r>
      <w:r>
        <w:rPr>
          <w:rFonts w:ascii="Verdana" w:hAnsi="Verdana" w:eastAsia="Calibri" w:cs="Times New Roman"/>
          <w:sz w:val="18"/>
          <w:szCs w:val="18"/>
        </w:rPr>
        <w:t>bni’s</w:t>
      </w:r>
      <w:r w:rsidRPr="00BB0631">
        <w:rPr>
          <w:rFonts w:ascii="Verdana" w:hAnsi="Verdana" w:eastAsia="Calibri" w:cs="Times New Roman"/>
          <w:sz w:val="18"/>
          <w:szCs w:val="18"/>
        </w:rPr>
        <w:t xml:space="preserve"> met meer onzekerheid omgeven dan gebruikelijk. In eerste instantie wordt de </w:t>
      </w:r>
      <w:r>
        <w:rPr>
          <w:rFonts w:ascii="Verdana" w:hAnsi="Verdana" w:eastAsia="Calibri" w:cs="Times New Roman"/>
          <w:sz w:val="18"/>
          <w:szCs w:val="18"/>
        </w:rPr>
        <w:t>bni</w:t>
      </w:r>
      <w:r w:rsidRPr="00BB0631">
        <w:rPr>
          <w:rFonts w:ascii="Verdana" w:hAnsi="Verdana" w:eastAsia="Calibri" w:cs="Times New Roman"/>
          <w:sz w:val="18"/>
          <w:szCs w:val="18"/>
        </w:rPr>
        <w:t>-afdracht gedaan op basis van raming, en deze wordt jaarlijks achteraf gecorrigeerd op basis van realisaties</w:t>
      </w:r>
      <w:r>
        <w:rPr>
          <w:rFonts w:ascii="Verdana" w:hAnsi="Verdana" w:eastAsia="Calibri" w:cs="Times New Roman"/>
          <w:sz w:val="18"/>
          <w:szCs w:val="18"/>
        </w:rPr>
        <w:t xml:space="preserve"> (nacalculatie)</w:t>
      </w:r>
      <w:r w:rsidRPr="00BB0631">
        <w:rPr>
          <w:rFonts w:ascii="Verdana" w:hAnsi="Verdana" w:eastAsia="Calibri" w:cs="Times New Roman"/>
          <w:sz w:val="18"/>
          <w:szCs w:val="18"/>
        </w:rPr>
        <w:t xml:space="preserve">. Een grotere onzekerheid bij de raming van de </w:t>
      </w:r>
      <w:r>
        <w:rPr>
          <w:rFonts w:ascii="Verdana" w:hAnsi="Verdana" w:eastAsia="Calibri" w:cs="Times New Roman"/>
          <w:sz w:val="18"/>
          <w:szCs w:val="18"/>
        </w:rPr>
        <w:t>bni</w:t>
      </w:r>
      <w:r w:rsidRPr="00BB0631">
        <w:rPr>
          <w:rFonts w:ascii="Verdana" w:hAnsi="Verdana" w:eastAsia="Calibri" w:cs="Times New Roman"/>
          <w:sz w:val="18"/>
          <w:szCs w:val="18"/>
        </w:rPr>
        <w:t xml:space="preserve">-afdracht kan de komende jaren dus ook deels tot uitdrukking komen tot grotere </w:t>
      </w:r>
      <w:r>
        <w:rPr>
          <w:rFonts w:ascii="Verdana" w:hAnsi="Verdana" w:eastAsia="Calibri" w:cs="Times New Roman"/>
          <w:sz w:val="18"/>
          <w:szCs w:val="18"/>
        </w:rPr>
        <w:t>bijstellingen naar aanleiding van de nacalculatie</w:t>
      </w:r>
      <w:r w:rsidRPr="00BB0631">
        <w:rPr>
          <w:rFonts w:ascii="Verdana" w:hAnsi="Verdana" w:eastAsia="Calibri" w:cs="Times New Roman"/>
          <w:sz w:val="18"/>
          <w:szCs w:val="18"/>
        </w:rPr>
        <w:t>.</w:t>
      </w:r>
    </w:p>
    <w:p w:rsidRPr="003613F1" w:rsidR="00053C8C" w:rsidP="00053C8C" w:rsidRDefault="00053C8C" w14:paraId="1B668C06" w14:textId="36E72EDC">
      <w:pPr>
        <w:jc w:val="both"/>
        <w:rPr>
          <w:rFonts w:ascii="Verdana" w:hAnsi="Verdana" w:eastAsia="Calibri" w:cs="Times New Roman"/>
          <w:sz w:val="18"/>
          <w:szCs w:val="18"/>
        </w:rPr>
      </w:pPr>
      <w:r>
        <w:rPr>
          <w:rFonts w:ascii="Verdana" w:hAnsi="Verdana" w:eastAsia="Calibri" w:cs="Times New Roman"/>
          <w:sz w:val="18"/>
          <w:szCs w:val="18"/>
        </w:rPr>
        <w:t>De Europese Raad heeft afgesproken dat de Europese Unie in de komende jaren zal werken aan de hervorming van het stelsel van eigen middelen en de introductie van nieuwe eigen middelen. Daartoe zal als eerste stap i</w:t>
      </w:r>
      <w:r w:rsidRPr="00BB0631">
        <w:rPr>
          <w:rFonts w:ascii="Verdana" w:hAnsi="Verdana" w:eastAsia="Calibri" w:cs="Times New Roman"/>
          <w:sz w:val="18"/>
          <w:szCs w:val="18"/>
        </w:rPr>
        <w:t>n het EMB een nieuw</w:t>
      </w:r>
      <w:r>
        <w:rPr>
          <w:rFonts w:ascii="Verdana" w:hAnsi="Verdana" w:eastAsia="Calibri" w:cs="Times New Roman"/>
          <w:sz w:val="18"/>
          <w:szCs w:val="18"/>
        </w:rPr>
        <w:t>e grondslag op basis van niet-</w:t>
      </w:r>
      <w:r w:rsidRPr="00BB0631">
        <w:rPr>
          <w:rFonts w:ascii="Verdana" w:hAnsi="Verdana" w:eastAsia="Calibri" w:cs="Times New Roman"/>
          <w:sz w:val="18"/>
          <w:szCs w:val="18"/>
        </w:rPr>
        <w:t>gerecycled plasticafval opgenomen</w:t>
      </w:r>
      <w:r>
        <w:rPr>
          <w:rFonts w:ascii="Verdana" w:hAnsi="Verdana" w:eastAsia="Calibri" w:cs="Times New Roman"/>
          <w:sz w:val="18"/>
          <w:szCs w:val="18"/>
        </w:rPr>
        <w:t xml:space="preserve"> worden</w:t>
      </w:r>
      <w:r w:rsidRPr="00BB0631">
        <w:rPr>
          <w:rFonts w:ascii="Verdana" w:hAnsi="Verdana" w:eastAsia="Calibri" w:cs="Times New Roman"/>
          <w:sz w:val="18"/>
          <w:szCs w:val="18"/>
        </w:rPr>
        <w:t xml:space="preserve">; deze grondslag zal per 1 januari 2021 worden ingevoerd. </w:t>
      </w:r>
      <w:r>
        <w:rPr>
          <w:rFonts w:ascii="Verdana" w:hAnsi="Verdana" w:eastAsia="Calibri" w:cs="Times New Roman"/>
          <w:sz w:val="18"/>
          <w:szCs w:val="18"/>
        </w:rPr>
        <w:t xml:space="preserve">Een grondslag is een verdeelsleutel op basis waarvan lidstaten afdragen aan de EU-begroting. Het is geen Europese belasting. </w:t>
      </w:r>
      <w:r w:rsidRPr="00BB0631">
        <w:rPr>
          <w:rFonts w:ascii="Verdana" w:hAnsi="Verdana" w:eastAsia="Calibri" w:cs="Times New Roman"/>
          <w:sz w:val="18"/>
          <w:szCs w:val="18"/>
        </w:rPr>
        <w:t>Het kabinet acht het invoeren van een afdracht op basis van niet-gerecycled plastic aanvaardbaar als onderdeel van het totaalpakket. Deze nieuwe afdracht sluit daarnaast aan bij de klimaatdoelstellingen van het kabinet.</w:t>
      </w:r>
      <w:r>
        <w:rPr>
          <w:rFonts w:ascii="Verdana" w:hAnsi="Verdana" w:eastAsia="Calibri" w:cs="Times New Roman"/>
          <w:sz w:val="18"/>
          <w:szCs w:val="18"/>
        </w:rPr>
        <w:t xml:space="preserve"> Voorts zal de Commissie i</w:t>
      </w:r>
      <w:r w:rsidRPr="00BB0631">
        <w:rPr>
          <w:rFonts w:ascii="Verdana" w:hAnsi="Verdana" w:eastAsia="Calibri" w:cs="Times New Roman"/>
          <w:sz w:val="18"/>
          <w:szCs w:val="18"/>
        </w:rPr>
        <w:t xml:space="preserve">n de eerste helft van 2021 met een voorstel te komen voor de introductie van </w:t>
      </w:r>
      <w:r>
        <w:rPr>
          <w:rFonts w:ascii="Verdana" w:hAnsi="Verdana" w:eastAsia="Calibri" w:cs="Times New Roman"/>
          <w:sz w:val="18"/>
          <w:szCs w:val="18"/>
        </w:rPr>
        <w:t xml:space="preserve">nieuwe eigen middelen in de vorm van </w:t>
      </w:r>
      <w:r w:rsidRPr="00BB0631">
        <w:rPr>
          <w:rFonts w:ascii="Verdana" w:hAnsi="Verdana" w:eastAsia="Calibri" w:cs="Times New Roman"/>
          <w:sz w:val="18"/>
          <w:szCs w:val="18"/>
        </w:rPr>
        <w:t xml:space="preserve">een </w:t>
      </w:r>
      <w:r w:rsidRPr="00A04134">
        <w:rPr>
          <w:rFonts w:ascii="Verdana" w:hAnsi="Verdana" w:eastAsia="Calibri" w:cs="Times New Roman"/>
          <w:i/>
          <w:sz w:val="18"/>
          <w:szCs w:val="18"/>
        </w:rPr>
        <w:t>Carbon Border Adjustment Mechanism</w:t>
      </w:r>
      <w:r w:rsidRPr="00BB0631">
        <w:rPr>
          <w:rFonts w:ascii="Verdana" w:hAnsi="Verdana" w:eastAsia="Calibri" w:cs="Times New Roman"/>
          <w:sz w:val="18"/>
          <w:szCs w:val="18"/>
        </w:rPr>
        <w:t xml:space="preserve"> en een </w:t>
      </w:r>
      <w:r w:rsidRPr="00A04134">
        <w:rPr>
          <w:rFonts w:ascii="Verdana" w:hAnsi="Verdana" w:eastAsia="Calibri" w:cs="Times New Roman"/>
          <w:i/>
          <w:sz w:val="18"/>
          <w:szCs w:val="18"/>
        </w:rPr>
        <w:t>Digitax</w:t>
      </w:r>
      <w:r>
        <w:rPr>
          <w:rFonts w:ascii="Verdana" w:hAnsi="Verdana" w:eastAsia="Calibri" w:cs="Times New Roman"/>
          <w:sz w:val="18"/>
          <w:szCs w:val="18"/>
        </w:rPr>
        <w:t>, met als doel om deze uiterlijk aan het begin van 2023 in te voeren</w:t>
      </w:r>
      <w:r w:rsidRPr="00BB0631">
        <w:rPr>
          <w:rFonts w:ascii="Verdana" w:hAnsi="Verdana" w:eastAsia="Calibri" w:cs="Times New Roman"/>
          <w:sz w:val="18"/>
          <w:szCs w:val="18"/>
        </w:rPr>
        <w:t xml:space="preserve">. Ook </w:t>
      </w:r>
      <w:r>
        <w:rPr>
          <w:rFonts w:ascii="Verdana" w:hAnsi="Verdana" w:eastAsia="Calibri" w:cs="Times New Roman"/>
          <w:sz w:val="18"/>
          <w:szCs w:val="18"/>
        </w:rPr>
        <w:t xml:space="preserve">heeft de Raad de </w:t>
      </w:r>
      <w:r w:rsidRPr="00BB0631">
        <w:rPr>
          <w:rFonts w:ascii="Verdana" w:hAnsi="Verdana" w:eastAsia="Calibri" w:cs="Times New Roman"/>
          <w:sz w:val="18"/>
          <w:szCs w:val="18"/>
        </w:rPr>
        <w:t xml:space="preserve">Commissie </w:t>
      </w:r>
      <w:r>
        <w:rPr>
          <w:rFonts w:ascii="Verdana" w:hAnsi="Verdana" w:eastAsia="Calibri" w:cs="Times New Roman"/>
          <w:sz w:val="18"/>
          <w:szCs w:val="18"/>
        </w:rPr>
        <w:t xml:space="preserve">uitgenodigd om </w:t>
      </w:r>
      <w:r w:rsidRPr="00BB0631">
        <w:rPr>
          <w:rFonts w:ascii="Verdana" w:hAnsi="Verdana" w:eastAsia="Calibri" w:cs="Times New Roman"/>
          <w:sz w:val="18"/>
          <w:szCs w:val="18"/>
        </w:rPr>
        <w:t xml:space="preserve">een aangepast voorstel </w:t>
      </w:r>
      <w:r>
        <w:rPr>
          <w:rFonts w:ascii="Verdana" w:hAnsi="Verdana" w:eastAsia="Calibri" w:cs="Times New Roman"/>
          <w:sz w:val="18"/>
          <w:szCs w:val="18"/>
        </w:rPr>
        <w:t xml:space="preserve">te </w:t>
      </w:r>
      <w:r w:rsidRPr="00BB0631">
        <w:rPr>
          <w:rFonts w:ascii="Verdana" w:hAnsi="Verdana" w:eastAsia="Calibri" w:cs="Times New Roman"/>
          <w:sz w:val="18"/>
          <w:szCs w:val="18"/>
        </w:rPr>
        <w:t>presenteren voor een afdracht op basis van ETS</w:t>
      </w:r>
      <w:r>
        <w:rPr>
          <w:rFonts w:ascii="Verdana" w:hAnsi="Verdana" w:eastAsia="Calibri" w:cs="Times New Roman"/>
          <w:sz w:val="18"/>
          <w:szCs w:val="18"/>
        </w:rPr>
        <w:t>, waarbij mogelijk ook de luchtvaart en schaapvaart betrokken zullen worden.</w:t>
      </w:r>
      <w:r w:rsidRPr="00BB0631">
        <w:rPr>
          <w:rFonts w:ascii="Verdana" w:hAnsi="Verdana" w:eastAsia="Calibri" w:cs="Times New Roman"/>
          <w:sz w:val="18"/>
          <w:szCs w:val="18"/>
        </w:rPr>
        <w:t xml:space="preserve"> </w:t>
      </w:r>
      <w:r>
        <w:rPr>
          <w:rFonts w:ascii="Verdana" w:hAnsi="Verdana" w:eastAsia="Calibri" w:cs="Times New Roman"/>
          <w:sz w:val="18"/>
          <w:szCs w:val="18"/>
        </w:rPr>
        <w:t xml:space="preserve">De Unie zal </w:t>
      </w:r>
      <w:r w:rsidRPr="00BB0631">
        <w:rPr>
          <w:rFonts w:ascii="Verdana" w:hAnsi="Verdana" w:eastAsia="Calibri" w:cs="Times New Roman"/>
          <w:sz w:val="18"/>
          <w:szCs w:val="18"/>
        </w:rPr>
        <w:t xml:space="preserve">gedurende het volgende MFK werken aan </w:t>
      </w:r>
      <w:r>
        <w:rPr>
          <w:rFonts w:ascii="Verdana" w:hAnsi="Verdana" w:eastAsia="Calibri" w:cs="Times New Roman"/>
          <w:sz w:val="18"/>
          <w:szCs w:val="18"/>
        </w:rPr>
        <w:t xml:space="preserve">verdere </w:t>
      </w:r>
      <w:r w:rsidRPr="00BB0631">
        <w:rPr>
          <w:rFonts w:ascii="Verdana" w:hAnsi="Verdana" w:eastAsia="Calibri" w:cs="Times New Roman"/>
          <w:sz w:val="18"/>
          <w:szCs w:val="18"/>
        </w:rPr>
        <w:t>voorstellen voor nieuwe eigen middelen</w:t>
      </w:r>
      <w:r>
        <w:rPr>
          <w:rFonts w:ascii="Verdana" w:hAnsi="Verdana" w:eastAsia="Calibri" w:cs="Times New Roman"/>
          <w:sz w:val="18"/>
          <w:szCs w:val="18"/>
        </w:rPr>
        <w:t xml:space="preserve">, waarbij de Raad heeft opgemerkt dat daar ook een </w:t>
      </w:r>
      <w:r w:rsidRPr="00A04134">
        <w:rPr>
          <w:rFonts w:ascii="Verdana" w:hAnsi="Verdana" w:eastAsia="Calibri" w:cs="Times New Roman"/>
          <w:i/>
          <w:sz w:val="18"/>
          <w:szCs w:val="18"/>
        </w:rPr>
        <w:t>Financial Transaction Tax</w:t>
      </w:r>
      <w:r>
        <w:rPr>
          <w:rFonts w:ascii="Verdana" w:hAnsi="Verdana" w:eastAsia="Calibri" w:cs="Times New Roman"/>
          <w:sz w:val="18"/>
          <w:szCs w:val="18"/>
        </w:rPr>
        <w:t xml:space="preserve"> bij zou kunnen horen</w:t>
      </w:r>
      <w:r w:rsidRPr="00BB0631">
        <w:rPr>
          <w:rFonts w:ascii="Verdana" w:hAnsi="Verdana" w:eastAsia="Calibri" w:cs="Times New Roman"/>
          <w:sz w:val="18"/>
          <w:szCs w:val="18"/>
        </w:rPr>
        <w:t xml:space="preserve">. </w:t>
      </w:r>
      <w:r>
        <w:rPr>
          <w:rFonts w:ascii="Verdana" w:hAnsi="Verdana" w:eastAsia="Calibri" w:cs="Times New Roman"/>
          <w:sz w:val="18"/>
          <w:szCs w:val="18"/>
        </w:rPr>
        <w:t xml:space="preserve">Het </w:t>
      </w:r>
      <w:r w:rsidR="006769E4">
        <w:rPr>
          <w:rFonts w:ascii="Verdana" w:hAnsi="Verdana" w:eastAsia="Calibri" w:cs="Times New Roman"/>
          <w:sz w:val="18"/>
          <w:szCs w:val="18"/>
        </w:rPr>
        <w:t>kabinet</w:t>
      </w:r>
      <w:r>
        <w:rPr>
          <w:rFonts w:ascii="Verdana" w:hAnsi="Verdana" w:eastAsia="Calibri" w:cs="Times New Roman"/>
          <w:sz w:val="18"/>
          <w:szCs w:val="18"/>
        </w:rPr>
        <w:t xml:space="preserve"> heeft zich steeds terughoudend opgesteld over de introductie van nieuwe eigen middelen. Deze passen niet bij een eenvoudige en transparante financiering van de begroting van de Europese Unie. Een overgrote meerderheid van de lidstaten hecht echter juist zeer veel waarde aan de introductie van nieuwe eigen middelen. Nederland heeft daarom toch ingestemd met het verkennen van opties voor nieuwe categorieën van eigen middelen. De t</w:t>
      </w:r>
      <w:r w:rsidRPr="00BB0631">
        <w:rPr>
          <w:rFonts w:ascii="Verdana" w:hAnsi="Verdana" w:eastAsia="Calibri" w:cs="Times New Roman"/>
          <w:sz w:val="18"/>
          <w:szCs w:val="18"/>
        </w:rPr>
        <w:t xml:space="preserve">oekomstige voorstellen voor nieuwe eigen middelen apprecieert </w:t>
      </w:r>
      <w:r>
        <w:rPr>
          <w:rFonts w:ascii="Verdana" w:hAnsi="Verdana" w:eastAsia="Calibri" w:cs="Times New Roman"/>
          <w:sz w:val="18"/>
          <w:szCs w:val="18"/>
        </w:rPr>
        <w:t>het kabinet</w:t>
      </w:r>
      <w:r w:rsidRPr="00BB0631">
        <w:rPr>
          <w:rFonts w:ascii="Verdana" w:hAnsi="Verdana" w:eastAsia="Calibri" w:cs="Times New Roman"/>
          <w:sz w:val="18"/>
          <w:szCs w:val="18"/>
        </w:rPr>
        <w:t xml:space="preserve"> te </w:t>
      </w:r>
      <w:r w:rsidRPr="003613F1">
        <w:rPr>
          <w:rFonts w:ascii="Verdana" w:hAnsi="Verdana" w:eastAsia="Calibri" w:cs="Times New Roman"/>
          <w:sz w:val="18"/>
          <w:szCs w:val="18"/>
        </w:rPr>
        <w:t>zijner tijd</w:t>
      </w:r>
      <w:r>
        <w:rPr>
          <w:rFonts w:ascii="Verdana" w:hAnsi="Verdana" w:eastAsia="Calibri" w:cs="Times New Roman"/>
          <w:sz w:val="18"/>
          <w:szCs w:val="18"/>
        </w:rPr>
        <w:t>, waarbij de bestaande terughoudendheid een belangrijk uitgangspunt zal zijn</w:t>
      </w:r>
      <w:r w:rsidRPr="003613F1">
        <w:rPr>
          <w:rFonts w:ascii="Verdana" w:hAnsi="Verdana" w:eastAsia="Calibri" w:cs="Times New Roman"/>
          <w:sz w:val="18"/>
          <w:szCs w:val="18"/>
        </w:rPr>
        <w:t>.</w:t>
      </w:r>
    </w:p>
    <w:p w:rsidRPr="00BB0631" w:rsidR="00053C8C" w:rsidP="00053C8C" w:rsidRDefault="00053C8C" w14:paraId="48168C4D" w14:textId="77777777">
      <w:pPr>
        <w:jc w:val="both"/>
        <w:rPr>
          <w:rFonts w:ascii="Verdana" w:hAnsi="Verdana" w:eastAsia="Calibri" w:cs="Times New Roman"/>
          <w:sz w:val="18"/>
          <w:szCs w:val="18"/>
        </w:rPr>
      </w:pPr>
      <w:r w:rsidRPr="00BB0631">
        <w:rPr>
          <w:rFonts w:ascii="Verdana" w:hAnsi="Verdana" w:eastAsia="Calibri" w:cs="Times New Roman"/>
          <w:sz w:val="18"/>
          <w:szCs w:val="18"/>
        </w:rPr>
        <w:t xml:space="preserve">In het nieuwe EMB </w:t>
      </w:r>
      <w:r>
        <w:rPr>
          <w:rFonts w:ascii="Verdana" w:hAnsi="Verdana" w:eastAsia="Calibri" w:cs="Times New Roman"/>
          <w:sz w:val="18"/>
          <w:szCs w:val="18"/>
        </w:rPr>
        <w:t xml:space="preserve">zullen </w:t>
      </w:r>
      <w:r w:rsidRPr="00BB0631">
        <w:rPr>
          <w:rFonts w:ascii="Verdana" w:hAnsi="Verdana" w:eastAsia="Calibri" w:cs="Times New Roman"/>
          <w:sz w:val="18"/>
          <w:szCs w:val="18"/>
        </w:rPr>
        <w:t>ook nieuwe kortingen opgenomen</w:t>
      </w:r>
      <w:r>
        <w:rPr>
          <w:rFonts w:ascii="Verdana" w:hAnsi="Verdana" w:eastAsia="Calibri" w:cs="Times New Roman"/>
          <w:sz w:val="18"/>
          <w:szCs w:val="18"/>
        </w:rPr>
        <w:t xml:space="preserve"> worden</w:t>
      </w:r>
      <w:r w:rsidRPr="00BB0631">
        <w:rPr>
          <w:rFonts w:ascii="Verdana" w:hAnsi="Verdana" w:eastAsia="Calibri" w:cs="Times New Roman"/>
          <w:sz w:val="18"/>
          <w:szCs w:val="18"/>
        </w:rPr>
        <w:t xml:space="preserve">. De huidige kortingen – </w:t>
      </w:r>
      <w:r>
        <w:rPr>
          <w:rFonts w:ascii="Verdana" w:hAnsi="Verdana" w:eastAsia="Calibri" w:cs="Times New Roman"/>
          <w:sz w:val="18"/>
          <w:szCs w:val="18"/>
        </w:rPr>
        <w:t>bni</w:t>
      </w:r>
      <w:r w:rsidRPr="00BB0631">
        <w:rPr>
          <w:rFonts w:ascii="Verdana" w:hAnsi="Verdana" w:eastAsia="Calibri" w:cs="Times New Roman"/>
          <w:sz w:val="18"/>
          <w:szCs w:val="18"/>
        </w:rPr>
        <w:t xml:space="preserve">-korting, </w:t>
      </w:r>
      <w:r>
        <w:rPr>
          <w:rFonts w:ascii="Verdana" w:hAnsi="Verdana" w:eastAsia="Calibri" w:cs="Times New Roman"/>
          <w:sz w:val="18"/>
          <w:szCs w:val="18"/>
        </w:rPr>
        <w:t>btw</w:t>
      </w:r>
      <w:r w:rsidRPr="00BB0631">
        <w:rPr>
          <w:rFonts w:ascii="Verdana" w:hAnsi="Verdana" w:eastAsia="Calibri" w:cs="Times New Roman"/>
          <w:sz w:val="18"/>
          <w:szCs w:val="18"/>
        </w:rPr>
        <w:t xml:space="preserve">-korting en de korting op de financiering van de korting voor het Verenigd Koninkrijk –worden </w:t>
      </w:r>
      <w:r>
        <w:rPr>
          <w:rFonts w:ascii="Verdana" w:hAnsi="Verdana" w:eastAsia="Calibri" w:cs="Times New Roman"/>
          <w:sz w:val="18"/>
          <w:szCs w:val="18"/>
        </w:rPr>
        <w:t>opgevolgd</w:t>
      </w:r>
      <w:r w:rsidRPr="00BB0631">
        <w:rPr>
          <w:rFonts w:ascii="Verdana" w:hAnsi="Verdana" w:eastAsia="Calibri" w:cs="Times New Roman"/>
          <w:sz w:val="18"/>
          <w:szCs w:val="18"/>
        </w:rPr>
        <w:t xml:space="preserve"> door een lumpsumkorting voor Nederland, Zweden, Denemarken, Oostenrijk en Duitsland. Voor Nederland bedraagt de korting </w:t>
      </w:r>
      <w:r>
        <w:rPr>
          <w:rFonts w:ascii="Verdana" w:hAnsi="Verdana" w:eastAsia="Calibri" w:cs="Times New Roman"/>
          <w:sz w:val="18"/>
          <w:szCs w:val="18"/>
        </w:rPr>
        <w:t>1,921</w:t>
      </w:r>
      <w:r w:rsidRPr="00BB0631">
        <w:rPr>
          <w:rFonts w:ascii="Verdana" w:hAnsi="Verdana" w:eastAsia="Calibri" w:cs="Times New Roman"/>
          <w:sz w:val="18"/>
          <w:szCs w:val="18"/>
        </w:rPr>
        <w:t xml:space="preserve"> miljard euro over de periode van het volgende MFK</w:t>
      </w:r>
      <w:r>
        <w:rPr>
          <w:rFonts w:ascii="Verdana" w:hAnsi="Verdana" w:eastAsia="Calibri" w:cs="Times New Roman"/>
          <w:sz w:val="18"/>
          <w:szCs w:val="18"/>
        </w:rPr>
        <w:t xml:space="preserve"> (in prijzen van het jaar 2020)</w:t>
      </w:r>
      <w:r w:rsidRPr="00BB0631">
        <w:rPr>
          <w:rFonts w:ascii="Verdana" w:hAnsi="Verdana" w:eastAsia="Calibri" w:cs="Times New Roman"/>
          <w:sz w:val="18"/>
          <w:szCs w:val="18"/>
        </w:rPr>
        <w:t>. De</w:t>
      </w:r>
      <w:r>
        <w:rPr>
          <w:rFonts w:ascii="Verdana" w:hAnsi="Verdana" w:eastAsia="Calibri" w:cs="Times New Roman"/>
          <w:sz w:val="18"/>
          <w:szCs w:val="18"/>
        </w:rPr>
        <w:t>ze</w:t>
      </w:r>
      <w:r w:rsidRPr="00BB0631">
        <w:rPr>
          <w:rFonts w:ascii="Verdana" w:hAnsi="Verdana" w:eastAsia="Calibri" w:cs="Times New Roman"/>
          <w:sz w:val="18"/>
          <w:szCs w:val="18"/>
        </w:rPr>
        <w:t xml:space="preserve"> korting</w:t>
      </w:r>
      <w:r>
        <w:rPr>
          <w:rFonts w:ascii="Verdana" w:hAnsi="Verdana" w:eastAsia="Calibri" w:cs="Times New Roman"/>
          <w:sz w:val="18"/>
          <w:szCs w:val="18"/>
        </w:rPr>
        <w:t>en</w:t>
      </w:r>
      <w:r w:rsidRPr="00BB0631">
        <w:rPr>
          <w:rFonts w:ascii="Verdana" w:hAnsi="Verdana" w:eastAsia="Calibri" w:cs="Times New Roman"/>
          <w:sz w:val="18"/>
          <w:szCs w:val="18"/>
        </w:rPr>
        <w:t xml:space="preserve"> drag</w:t>
      </w:r>
      <w:r>
        <w:rPr>
          <w:rFonts w:ascii="Verdana" w:hAnsi="Verdana" w:eastAsia="Calibri" w:cs="Times New Roman"/>
          <w:sz w:val="18"/>
          <w:szCs w:val="18"/>
        </w:rPr>
        <w:t>en</w:t>
      </w:r>
      <w:r w:rsidRPr="00BB0631">
        <w:rPr>
          <w:rFonts w:ascii="Verdana" w:hAnsi="Verdana" w:eastAsia="Calibri" w:cs="Times New Roman"/>
          <w:sz w:val="18"/>
          <w:szCs w:val="18"/>
        </w:rPr>
        <w:t xml:space="preserve"> bij aan een rechtvaardige verdeling van de financiering van het MFK</w:t>
      </w:r>
      <w:r>
        <w:rPr>
          <w:rFonts w:ascii="Verdana" w:hAnsi="Verdana" w:eastAsia="Calibri" w:cs="Times New Roman"/>
          <w:sz w:val="18"/>
          <w:szCs w:val="18"/>
        </w:rPr>
        <w:t xml:space="preserve"> en waren daarom een belangrijk onderdeel van de Nederlandse inzet</w:t>
      </w:r>
      <w:r w:rsidRPr="00BB0631">
        <w:rPr>
          <w:rFonts w:ascii="Verdana" w:hAnsi="Verdana" w:eastAsia="Calibri" w:cs="Times New Roman"/>
          <w:sz w:val="18"/>
          <w:szCs w:val="18"/>
        </w:rPr>
        <w:t xml:space="preserve">. </w:t>
      </w:r>
    </w:p>
    <w:p w:rsidRPr="00BB0631" w:rsidR="00053C8C" w:rsidP="00053C8C" w:rsidRDefault="00053C8C" w14:paraId="24115099" w14:textId="77777777">
      <w:pPr>
        <w:jc w:val="both"/>
        <w:rPr>
          <w:rFonts w:ascii="Verdana" w:hAnsi="Verdana" w:eastAsia="Calibri" w:cs="Times New Roman"/>
          <w:sz w:val="18"/>
          <w:szCs w:val="18"/>
        </w:rPr>
      </w:pPr>
      <w:r w:rsidRPr="00BB0631">
        <w:rPr>
          <w:rFonts w:ascii="Verdana" w:hAnsi="Verdana" w:eastAsia="Calibri" w:cs="Times New Roman"/>
          <w:sz w:val="18"/>
          <w:szCs w:val="18"/>
        </w:rPr>
        <w:t xml:space="preserve">De Europese Commissie stelde eerder voor de vergoeding voor de inning van de invoerrechten, de zgn. perceptiekostenvergoeding, te halveren tot 10%. </w:t>
      </w:r>
      <w:r>
        <w:rPr>
          <w:rFonts w:ascii="Verdana" w:hAnsi="Verdana" w:eastAsia="Calibri" w:cs="Times New Roman"/>
          <w:sz w:val="18"/>
          <w:szCs w:val="18"/>
        </w:rPr>
        <w:t>De Europese Raad heeft afgesproken dat i</w:t>
      </w:r>
      <w:r w:rsidRPr="00BB0631">
        <w:rPr>
          <w:rFonts w:ascii="Verdana" w:hAnsi="Verdana" w:eastAsia="Calibri" w:cs="Times New Roman"/>
          <w:sz w:val="18"/>
          <w:szCs w:val="18"/>
        </w:rPr>
        <w:t xml:space="preserve">n de perceptiekostenvergoeding </w:t>
      </w:r>
      <w:r>
        <w:rPr>
          <w:rFonts w:ascii="Verdana" w:hAnsi="Verdana" w:eastAsia="Calibri" w:cs="Times New Roman"/>
          <w:sz w:val="18"/>
          <w:szCs w:val="18"/>
        </w:rPr>
        <w:t xml:space="preserve">in </w:t>
      </w:r>
      <w:r w:rsidRPr="00BB0631">
        <w:rPr>
          <w:rFonts w:ascii="Verdana" w:hAnsi="Verdana" w:eastAsia="Calibri" w:cs="Times New Roman"/>
          <w:sz w:val="18"/>
          <w:szCs w:val="18"/>
        </w:rPr>
        <w:t xml:space="preserve">het nieuwe EMB wordt </w:t>
      </w:r>
      <w:r>
        <w:rPr>
          <w:rFonts w:ascii="Verdana" w:hAnsi="Verdana" w:eastAsia="Calibri" w:cs="Times New Roman"/>
          <w:sz w:val="18"/>
          <w:szCs w:val="18"/>
        </w:rPr>
        <w:t>verhoogd tot 25%</w:t>
      </w:r>
      <w:r w:rsidRPr="00BB0631">
        <w:rPr>
          <w:rFonts w:ascii="Verdana" w:hAnsi="Verdana" w:eastAsia="Calibri" w:cs="Times New Roman"/>
          <w:sz w:val="18"/>
          <w:szCs w:val="18"/>
        </w:rPr>
        <w:t xml:space="preserve"> (</w:t>
      </w:r>
      <w:r>
        <w:rPr>
          <w:rFonts w:ascii="Verdana" w:hAnsi="Verdana" w:eastAsia="Calibri" w:cs="Times New Roman"/>
          <w:sz w:val="18"/>
          <w:szCs w:val="18"/>
        </w:rPr>
        <w:t>huidige percentage is 20%)</w:t>
      </w:r>
      <w:r w:rsidRPr="00BB0631">
        <w:rPr>
          <w:rFonts w:ascii="Verdana" w:hAnsi="Verdana" w:eastAsia="Calibri" w:cs="Times New Roman"/>
          <w:sz w:val="18"/>
          <w:szCs w:val="18"/>
        </w:rPr>
        <w:t>, wat met name</w:t>
      </w:r>
      <w:r>
        <w:rPr>
          <w:rFonts w:ascii="Verdana" w:hAnsi="Verdana" w:eastAsia="Calibri" w:cs="Times New Roman"/>
          <w:sz w:val="18"/>
          <w:szCs w:val="18"/>
        </w:rPr>
        <w:t xml:space="preserve"> belangrijk is voor landen waar relatief veel goederen de Unie binnenkomen, zoals Nederland en België</w:t>
      </w:r>
      <w:r w:rsidRPr="00BB0631">
        <w:rPr>
          <w:rFonts w:ascii="Verdana" w:hAnsi="Verdana" w:eastAsia="Calibri" w:cs="Times New Roman"/>
          <w:sz w:val="18"/>
          <w:szCs w:val="18"/>
        </w:rPr>
        <w:t xml:space="preserve">. </w:t>
      </w:r>
    </w:p>
    <w:p w:rsidRPr="00BB0631" w:rsidR="00BB0631" w:rsidP="00BB0631" w:rsidRDefault="00BB0631" w14:paraId="0344B0B8" w14:textId="77777777">
      <w:pPr>
        <w:jc w:val="both"/>
        <w:rPr>
          <w:rFonts w:ascii="Verdana" w:hAnsi="Verdana" w:eastAsia="Calibri" w:cs="Times New Roman"/>
          <w:sz w:val="18"/>
          <w:szCs w:val="18"/>
          <w:u w:val="single"/>
        </w:rPr>
      </w:pPr>
      <w:r w:rsidRPr="003613F1">
        <w:rPr>
          <w:rFonts w:ascii="Verdana" w:hAnsi="Verdana" w:eastAsia="Calibri" w:cs="Times New Roman"/>
          <w:sz w:val="18"/>
          <w:szCs w:val="18"/>
          <w:u w:val="single"/>
        </w:rPr>
        <w:t>Gevolgen voor de Nederlandse afdrachten</w:t>
      </w:r>
      <w:r w:rsidRPr="00BB0631">
        <w:rPr>
          <w:rFonts w:ascii="Verdana" w:hAnsi="Verdana" w:eastAsia="Calibri" w:cs="Times New Roman"/>
          <w:sz w:val="18"/>
          <w:szCs w:val="18"/>
          <w:u w:val="single"/>
        </w:rPr>
        <w:t xml:space="preserve"> </w:t>
      </w:r>
    </w:p>
    <w:p w:rsidRPr="00BB0631" w:rsidR="00053C8C" w:rsidP="00053C8C" w:rsidRDefault="00053C8C" w14:paraId="0D48DEB3" w14:textId="2AB204CA">
      <w:pPr>
        <w:jc w:val="both"/>
        <w:rPr>
          <w:rFonts w:ascii="Verdana" w:hAnsi="Verdana" w:eastAsia="Calibri" w:cs="Times New Roman"/>
          <w:sz w:val="18"/>
          <w:szCs w:val="18"/>
        </w:rPr>
      </w:pPr>
      <w:r w:rsidRPr="00BB0631">
        <w:rPr>
          <w:rFonts w:ascii="Verdana" w:hAnsi="Verdana" w:eastAsia="Calibri" w:cs="Times New Roman"/>
          <w:sz w:val="18"/>
          <w:szCs w:val="18"/>
        </w:rPr>
        <w:t xml:space="preserve">Als gevolg van het akkoord over het MFK en het EMB </w:t>
      </w:r>
      <w:r>
        <w:rPr>
          <w:rFonts w:ascii="Verdana" w:hAnsi="Verdana" w:eastAsia="Calibri" w:cs="Times New Roman"/>
          <w:sz w:val="18"/>
          <w:szCs w:val="18"/>
        </w:rPr>
        <w:t xml:space="preserve">nemen de </w:t>
      </w:r>
      <w:r w:rsidRPr="00BB0631">
        <w:rPr>
          <w:rFonts w:ascii="Verdana" w:hAnsi="Verdana" w:eastAsia="Calibri" w:cs="Times New Roman"/>
          <w:sz w:val="18"/>
          <w:szCs w:val="18"/>
        </w:rPr>
        <w:t xml:space="preserve">Nederlandse afdrachten </w:t>
      </w:r>
      <w:r>
        <w:rPr>
          <w:rFonts w:ascii="Verdana" w:hAnsi="Verdana" w:eastAsia="Calibri" w:cs="Times New Roman"/>
          <w:sz w:val="18"/>
          <w:szCs w:val="18"/>
        </w:rPr>
        <w:t xml:space="preserve">aan de Europese Unie </w:t>
      </w:r>
      <w:r w:rsidRPr="00BB0631">
        <w:rPr>
          <w:rFonts w:ascii="Verdana" w:hAnsi="Verdana" w:eastAsia="Calibri" w:cs="Times New Roman"/>
          <w:sz w:val="18"/>
          <w:szCs w:val="18"/>
        </w:rPr>
        <w:t>over de periode van het volgende MFK</w:t>
      </w:r>
      <w:r>
        <w:rPr>
          <w:rFonts w:ascii="Verdana" w:hAnsi="Verdana" w:eastAsia="Calibri" w:cs="Times New Roman"/>
          <w:sz w:val="18"/>
          <w:szCs w:val="18"/>
        </w:rPr>
        <w:t xml:space="preserve"> als geheel niet meer toe dan reeds in de Rijksbegroting was voorzien</w:t>
      </w:r>
      <w:r w:rsidRPr="00BB0631">
        <w:rPr>
          <w:rFonts w:ascii="Verdana" w:hAnsi="Verdana" w:eastAsia="Calibri" w:cs="Times New Roman"/>
          <w:sz w:val="18"/>
          <w:szCs w:val="18"/>
        </w:rPr>
        <w:t>.</w:t>
      </w:r>
      <w:r>
        <w:rPr>
          <w:rFonts w:ascii="Verdana" w:hAnsi="Verdana" w:eastAsia="Calibri" w:cs="Times New Roman"/>
          <w:sz w:val="18"/>
          <w:szCs w:val="18"/>
        </w:rPr>
        <w:t xml:space="preserve"> Hierin was reeds rekening gehouden met economische groei en inflatie.</w:t>
      </w:r>
      <w:r w:rsidRPr="00BB0631">
        <w:rPr>
          <w:rFonts w:ascii="Verdana" w:hAnsi="Verdana" w:eastAsia="Calibri" w:cs="Times New Roman"/>
          <w:sz w:val="18"/>
          <w:szCs w:val="18"/>
        </w:rPr>
        <w:t xml:space="preserve"> </w:t>
      </w:r>
      <w:r>
        <w:rPr>
          <w:rFonts w:ascii="Verdana" w:hAnsi="Verdana" w:eastAsia="Calibri" w:cs="Times New Roman"/>
          <w:sz w:val="18"/>
          <w:szCs w:val="18"/>
        </w:rPr>
        <w:t xml:space="preserve">In de eerste jaren van het MFK liggen de betalingen echter relatief hoog, onder andere door betalingen die nog voortvloeien uit vastleggingen die nog tijdens het huidige MFK zijn gedaan. Ook wil de Commissie voortvarend van start gaan met de nieuwe prioriteiten om snel beleid te kunnen voeren in reactie op de COVID-19 crisis. Hierdoor zullen de afdrachten in 2021 en 2022 waarschijnlijk iets hoger liggen dan nu in de Rijksbegroting is voorzien, terwijl de afdrachten in latere jaren juist wat lager zullen liggen dan eerder voorzien. Het Verenigd Koninkrijk zal </w:t>
      </w:r>
      <w:r w:rsidR="00F01242">
        <w:rPr>
          <w:rFonts w:ascii="Verdana" w:hAnsi="Verdana" w:eastAsia="Calibri" w:cs="Times New Roman"/>
          <w:sz w:val="18"/>
          <w:szCs w:val="18"/>
        </w:rPr>
        <w:t>op grond van het T</w:t>
      </w:r>
      <w:r>
        <w:rPr>
          <w:rFonts w:ascii="Verdana" w:hAnsi="Verdana" w:eastAsia="Calibri" w:cs="Times New Roman"/>
          <w:sz w:val="18"/>
          <w:szCs w:val="18"/>
        </w:rPr>
        <w:t xml:space="preserve">erugtrekkingsakkoord de komende jaren nog meebetalen aan betalingen uit hoofde van vastleggingen die nog onder het huidige MFK zijn gedaan. Deze financiële afwikkeling zal samen met de gevolgen van het volgende MFK en het nieuwe EMB bij Miljoenennota 2021 in de raming van de afdrachten in de begroting van Buitenlandse Zaken worden verwerkt. </w:t>
      </w:r>
    </w:p>
    <w:p w:rsidRPr="00DB0103" w:rsidR="00053C8C" w:rsidP="00053C8C" w:rsidRDefault="00053C8C" w14:paraId="3F942815" w14:textId="416B0006">
      <w:pPr>
        <w:jc w:val="both"/>
        <w:rPr>
          <w:rFonts w:ascii="Verdana" w:hAnsi="Verdana" w:eastAsia="Calibri" w:cs="Times New Roman"/>
          <w:sz w:val="18"/>
          <w:szCs w:val="18"/>
        </w:rPr>
      </w:pPr>
      <w:r>
        <w:rPr>
          <w:rFonts w:ascii="Verdana" w:hAnsi="Verdana" w:eastAsia="Calibri" w:cs="Times New Roman"/>
          <w:sz w:val="18"/>
          <w:szCs w:val="18"/>
        </w:rPr>
        <w:t>Het over het geheel genomen neutrale budgettaire resultaat is het saldo van een aantal onderliggende aanpassingen.</w:t>
      </w:r>
      <w:r w:rsidRPr="00BB0631">
        <w:rPr>
          <w:rFonts w:ascii="Verdana" w:hAnsi="Verdana" w:eastAsia="Calibri" w:cs="Times New Roman"/>
          <w:sz w:val="18"/>
          <w:szCs w:val="18"/>
        </w:rPr>
        <w:t xml:space="preserve"> De omvang van het volgende MFK ligt weliswaar iets lager dan het </w:t>
      </w:r>
      <w:r w:rsidRPr="00BB0631">
        <w:rPr>
          <w:rFonts w:ascii="Verdana" w:hAnsi="Verdana" w:eastAsia="Calibri" w:cs="Times New Roman"/>
          <w:sz w:val="18"/>
          <w:szCs w:val="18"/>
        </w:rPr>
        <w:lastRenderedPageBreak/>
        <w:t>huidige MFK (prijzen</w:t>
      </w:r>
      <w:r>
        <w:rPr>
          <w:rFonts w:ascii="Verdana" w:hAnsi="Verdana" w:eastAsia="Calibri" w:cs="Times New Roman"/>
          <w:sz w:val="18"/>
          <w:szCs w:val="18"/>
        </w:rPr>
        <w:t xml:space="preserve"> van het jaar 2018</w:t>
      </w:r>
      <w:r w:rsidRPr="00BB0631">
        <w:rPr>
          <w:rFonts w:ascii="Verdana" w:hAnsi="Verdana" w:eastAsia="Calibri" w:cs="Times New Roman"/>
          <w:sz w:val="18"/>
          <w:szCs w:val="18"/>
        </w:rPr>
        <w:t xml:space="preserve">), maar dit MFK wordt na het vertrek van het Verenigd Koninkrijk gefinancierd door 27 lidstaten. </w:t>
      </w:r>
      <w:r>
        <w:rPr>
          <w:rFonts w:ascii="Verdana" w:hAnsi="Verdana" w:eastAsia="Calibri" w:cs="Times New Roman"/>
          <w:sz w:val="18"/>
          <w:szCs w:val="18"/>
        </w:rPr>
        <w:t>Daardoor stijgt het Nederlandse aandeel in de financiering van het MFK, wat</w:t>
      </w:r>
      <w:r w:rsidRPr="00BB0631">
        <w:rPr>
          <w:rFonts w:ascii="Verdana" w:hAnsi="Verdana" w:eastAsia="Calibri" w:cs="Times New Roman"/>
          <w:sz w:val="18"/>
          <w:szCs w:val="18"/>
        </w:rPr>
        <w:t xml:space="preserve"> een opwaarts effect</w:t>
      </w:r>
      <w:r>
        <w:rPr>
          <w:rFonts w:ascii="Verdana" w:hAnsi="Verdana" w:eastAsia="Calibri" w:cs="Times New Roman"/>
          <w:sz w:val="18"/>
          <w:szCs w:val="18"/>
        </w:rPr>
        <w:t xml:space="preserve"> h</w:t>
      </w:r>
      <w:r w:rsidR="00F01242">
        <w:rPr>
          <w:rFonts w:ascii="Verdana" w:hAnsi="Verdana" w:eastAsia="Calibri" w:cs="Times New Roman"/>
          <w:sz w:val="18"/>
          <w:szCs w:val="18"/>
        </w:rPr>
        <w:t>e</w:t>
      </w:r>
      <w:r>
        <w:rPr>
          <w:rFonts w:ascii="Verdana" w:hAnsi="Verdana" w:eastAsia="Calibri" w:cs="Times New Roman"/>
          <w:sz w:val="18"/>
          <w:szCs w:val="18"/>
        </w:rPr>
        <w:t>eft</w:t>
      </w:r>
      <w:r w:rsidRPr="00BB0631">
        <w:rPr>
          <w:rFonts w:ascii="Verdana" w:hAnsi="Verdana" w:eastAsia="Calibri" w:cs="Times New Roman"/>
          <w:sz w:val="18"/>
          <w:szCs w:val="18"/>
        </w:rPr>
        <w:t xml:space="preserve"> op de omvang van de afdrachten. De omvang van de nieuwe Nederlandse korting, die groter is dan de huidige korting, </w:t>
      </w:r>
      <w:r>
        <w:rPr>
          <w:rFonts w:ascii="Verdana" w:hAnsi="Verdana" w:eastAsia="Calibri" w:cs="Times New Roman"/>
          <w:sz w:val="18"/>
          <w:szCs w:val="18"/>
        </w:rPr>
        <w:t>heeft daar tegenover een neerwaarts effect</w:t>
      </w:r>
      <w:r w:rsidRPr="00BB0631">
        <w:rPr>
          <w:rFonts w:ascii="Verdana" w:hAnsi="Verdana" w:eastAsia="Calibri" w:cs="Times New Roman"/>
          <w:sz w:val="18"/>
          <w:szCs w:val="18"/>
        </w:rPr>
        <w:t xml:space="preserve"> </w:t>
      </w:r>
      <w:r>
        <w:rPr>
          <w:rFonts w:ascii="Verdana" w:hAnsi="Verdana" w:eastAsia="Calibri" w:cs="Times New Roman"/>
          <w:sz w:val="18"/>
          <w:szCs w:val="18"/>
        </w:rPr>
        <w:t>op de Nederlandse</w:t>
      </w:r>
      <w:r w:rsidRPr="00BB0631">
        <w:rPr>
          <w:rFonts w:ascii="Verdana" w:hAnsi="Verdana" w:eastAsia="Calibri" w:cs="Times New Roman"/>
          <w:sz w:val="18"/>
          <w:szCs w:val="18"/>
        </w:rPr>
        <w:t xml:space="preserve"> afdrachten. Ook de introductie van een afdracht op basis van niet gerecycled plastic verpakkingsafval leidt </w:t>
      </w:r>
      <w:r>
        <w:rPr>
          <w:rFonts w:ascii="Verdana" w:hAnsi="Verdana" w:eastAsia="Calibri" w:cs="Times New Roman"/>
          <w:sz w:val="18"/>
          <w:szCs w:val="18"/>
        </w:rPr>
        <w:t xml:space="preserve">voor Nederland </w:t>
      </w:r>
      <w:r w:rsidRPr="00BB0631">
        <w:rPr>
          <w:rFonts w:ascii="Verdana" w:hAnsi="Verdana" w:eastAsia="Calibri" w:cs="Times New Roman"/>
          <w:sz w:val="18"/>
          <w:szCs w:val="18"/>
        </w:rPr>
        <w:t xml:space="preserve">tot lagere afdrachten. Dit laatste effect wordt verklaard door het relatief kleinere Nederlandse aandeel in de afdracht op basis van plastic dan op basis van het </w:t>
      </w:r>
      <w:r>
        <w:rPr>
          <w:rFonts w:ascii="Verdana" w:hAnsi="Verdana" w:eastAsia="Calibri" w:cs="Times New Roman"/>
          <w:sz w:val="18"/>
          <w:szCs w:val="18"/>
        </w:rPr>
        <w:t>bni</w:t>
      </w:r>
      <w:r w:rsidRPr="00BB0631">
        <w:rPr>
          <w:rFonts w:ascii="Verdana" w:hAnsi="Verdana" w:eastAsia="Calibri" w:cs="Times New Roman"/>
          <w:sz w:val="18"/>
          <w:szCs w:val="18"/>
        </w:rPr>
        <w:t>.</w:t>
      </w:r>
      <w:r>
        <w:rPr>
          <w:rFonts w:ascii="Verdana" w:hAnsi="Verdana" w:eastAsia="Calibri" w:cs="Times New Roman"/>
          <w:sz w:val="18"/>
          <w:szCs w:val="18"/>
        </w:rPr>
        <w:t xml:space="preserve"> Als laatste leidt de verhoging van de perceptiekostenvergoeding tot een neerwaarts effect op de Nederlandse afdrachten.</w:t>
      </w:r>
      <w:r w:rsidR="00FF133C">
        <w:rPr>
          <w:rFonts w:ascii="Verdana" w:hAnsi="Verdana" w:eastAsia="Calibri" w:cs="Times New Roman"/>
          <w:sz w:val="18"/>
          <w:szCs w:val="18"/>
        </w:rPr>
        <w:t xml:space="preserve"> Deze uitkomsten zijn in lijn met de moties Bisschop/Leijten (Kamerstuk 21501-20, nr. 1306) en Baudet (Kamerstuk 21501-20, nr. 1306).</w:t>
      </w:r>
    </w:p>
    <w:p w:rsidRPr="00F01242" w:rsidR="00053C8C" w:rsidP="00053C8C" w:rsidRDefault="00053C8C" w14:paraId="31D28A2B" w14:textId="593F272A">
      <w:pPr>
        <w:jc w:val="both"/>
        <w:rPr>
          <w:rFonts w:ascii="Verdana" w:hAnsi="Verdana" w:eastAsia="Calibri" w:cs="Times New Roman"/>
          <w:sz w:val="18"/>
          <w:szCs w:val="18"/>
        </w:rPr>
      </w:pPr>
      <w:r w:rsidRPr="00BB0631">
        <w:rPr>
          <w:rFonts w:ascii="Verdana" w:hAnsi="Verdana" w:eastAsia="Calibri" w:cs="Times New Roman"/>
          <w:sz w:val="18"/>
          <w:szCs w:val="18"/>
        </w:rPr>
        <w:t xml:space="preserve">De budgettaire effecten van </w:t>
      </w:r>
      <w:r>
        <w:rPr>
          <w:rFonts w:ascii="Verdana" w:hAnsi="Verdana" w:eastAsia="Calibri" w:cs="Times New Roman"/>
          <w:sz w:val="18"/>
          <w:szCs w:val="18"/>
        </w:rPr>
        <w:t xml:space="preserve">het subsidiedeel van </w:t>
      </w:r>
      <w:r w:rsidRPr="00A04134">
        <w:rPr>
          <w:rFonts w:ascii="Verdana" w:hAnsi="Verdana" w:eastAsia="Calibri" w:cs="Times New Roman"/>
          <w:i/>
          <w:sz w:val="18"/>
          <w:szCs w:val="18"/>
        </w:rPr>
        <w:t>Next Generation EU</w:t>
      </w:r>
      <w:r w:rsidRPr="00BB0631">
        <w:rPr>
          <w:rFonts w:ascii="Verdana" w:hAnsi="Verdana" w:eastAsia="Calibri" w:cs="Times New Roman"/>
          <w:sz w:val="18"/>
          <w:szCs w:val="18"/>
        </w:rPr>
        <w:t xml:space="preserve"> slaan pas neer in de raming van de Nederlandse afdrachten </w:t>
      </w:r>
      <w:r w:rsidRPr="00F01242">
        <w:rPr>
          <w:rFonts w:ascii="Verdana" w:hAnsi="Verdana" w:eastAsia="Calibri" w:cs="Times New Roman"/>
          <w:sz w:val="18"/>
          <w:szCs w:val="18"/>
        </w:rPr>
        <w:t xml:space="preserve">na afloop van de periode van het volgende MFK, dus vanaf 2028 – </w:t>
      </w:r>
      <w:r w:rsidRPr="00F01242" w:rsidR="00F01242">
        <w:rPr>
          <w:rFonts w:ascii="Verdana" w:hAnsi="Verdana" w:eastAsia="Calibri" w:cs="Times New Roman"/>
          <w:sz w:val="18"/>
          <w:szCs w:val="18"/>
        </w:rPr>
        <w:t xml:space="preserve">zoals hierboven is toegelicht in </w:t>
      </w:r>
      <w:r w:rsidRPr="00F01242">
        <w:rPr>
          <w:rFonts w:ascii="Verdana" w:hAnsi="Verdana" w:eastAsia="Calibri" w:cs="Times New Roman"/>
          <w:sz w:val="18"/>
          <w:szCs w:val="18"/>
        </w:rPr>
        <w:t xml:space="preserve">de paragraaf </w:t>
      </w:r>
      <w:r w:rsidRPr="00F01242" w:rsidR="00F01242">
        <w:rPr>
          <w:rFonts w:ascii="Verdana" w:hAnsi="Verdana" w:eastAsia="Calibri" w:cs="Times New Roman"/>
          <w:sz w:val="18"/>
          <w:szCs w:val="18"/>
        </w:rPr>
        <w:t xml:space="preserve">bij </w:t>
      </w:r>
      <w:r w:rsidRPr="00F01242">
        <w:rPr>
          <w:rFonts w:ascii="Verdana" w:hAnsi="Verdana" w:eastAsia="Calibri" w:cs="Times New Roman"/>
          <w:sz w:val="18"/>
          <w:szCs w:val="18"/>
        </w:rPr>
        <w:t xml:space="preserve">het herstelinstrument. Het leningendeel van </w:t>
      </w:r>
      <w:r w:rsidRPr="00F01242">
        <w:rPr>
          <w:rFonts w:ascii="Verdana" w:hAnsi="Verdana" w:eastAsia="Calibri" w:cs="Times New Roman"/>
          <w:i/>
          <w:sz w:val="18"/>
          <w:szCs w:val="18"/>
        </w:rPr>
        <w:t xml:space="preserve">Next Generation EU </w:t>
      </w:r>
      <w:r w:rsidRPr="00F01242">
        <w:rPr>
          <w:rFonts w:ascii="Verdana" w:hAnsi="Verdana" w:eastAsia="Calibri" w:cs="Times New Roman"/>
          <w:sz w:val="18"/>
          <w:szCs w:val="18"/>
        </w:rPr>
        <w:t xml:space="preserve">zal conform de huidige praktijk voor de betalingsbalansfaciliteit, het EFSM en SURE als garantieverplichting zichtbaar worden in de begroting. Voor de garantie van de hoofdsom zal het Nederlandse aandeel bij een maximale schulduitgifte van 360 miljard euro (prijzen 2018) zich vertalen in een garantieverplichting van circa 22-23 miljard euro (lopende prijzen). Het precieze bedrag is niet op voorhand precies te voorspellen, omdat het afhankelijk zal zijn van in welke jaren de schuld wordt uitgegeven. Daar komt mogelijk nog een bedrag bovenop voor de garantie van de rentebetalingen. Met het aflossen van de leningen zal de Nederlandse garantieverplichting ook dalen. </w:t>
      </w:r>
    </w:p>
    <w:p w:rsidRPr="00BB0631" w:rsidR="00053C8C" w:rsidP="00053C8C" w:rsidRDefault="00053C8C" w14:paraId="750B539B" w14:textId="6D00F63A">
      <w:pPr>
        <w:jc w:val="both"/>
        <w:rPr>
          <w:rFonts w:ascii="Verdana" w:hAnsi="Verdana" w:eastAsia="Calibri" w:cs="Times New Roman"/>
          <w:sz w:val="18"/>
          <w:szCs w:val="18"/>
        </w:rPr>
      </w:pPr>
      <w:r w:rsidRPr="00F01242">
        <w:rPr>
          <w:rFonts w:ascii="Verdana" w:hAnsi="Verdana" w:eastAsia="Calibri" w:cs="Times New Roman"/>
          <w:sz w:val="18"/>
          <w:szCs w:val="18"/>
        </w:rPr>
        <w:t>Het totale budgettaire effect van het overeengekomen MFK en nieuwe EMB, alsook de bijdrage van het Verenigd Koninkrijk, zal worden verwerkt in de raming van de Nederlandse afdrachten in de ontwerpbegroting voor 2021 (Miljoenennota 2021).</w:t>
      </w:r>
    </w:p>
    <w:p w:rsidRPr="00BB0631" w:rsidR="00BB0631" w:rsidP="00BB0631" w:rsidRDefault="00BB0631" w14:paraId="2F335705" w14:textId="77777777">
      <w:pPr>
        <w:jc w:val="both"/>
        <w:rPr>
          <w:rFonts w:ascii="Verdana" w:hAnsi="Verdana" w:eastAsia="Calibri" w:cs="Times New Roman"/>
          <w:sz w:val="18"/>
          <w:szCs w:val="18"/>
          <w:u w:val="single"/>
        </w:rPr>
      </w:pPr>
      <w:r w:rsidRPr="00BB0631">
        <w:rPr>
          <w:rFonts w:ascii="Verdana" w:hAnsi="Verdana" w:eastAsia="Calibri" w:cs="Times New Roman"/>
          <w:sz w:val="18"/>
          <w:szCs w:val="18"/>
          <w:u w:val="single"/>
        </w:rPr>
        <w:t>Vervolgtraject</w:t>
      </w:r>
    </w:p>
    <w:p w:rsidRPr="00BB0631" w:rsidR="00BB0631" w:rsidP="00BB0631" w:rsidRDefault="00BB0631" w14:paraId="5F9E309C" w14:textId="47F9B45C">
      <w:pPr>
        <w:jc w:val="both"/>
        <w:rPr>
          <w:rFonts w:ascii="Verdana" w:hAnsi="Verdana" w:eastAsia="Calibri" w:cs="Times New Roman"/>
          <w:sz w:val="18"/>
          <w:szCs w:val="18"/>
        </w:rPr>
      </w:pPr>
      <w:r w:rsidRPr="00BB0631">
        <w:rPr>
          <w:rFonts w:ascii="Verdana" w:hAnsi="Verdana" w:eastAsia="Calibri" w:cs="Times New Roman"/>
          <w:sz w:val="18"/>
          <w:szCs w:val="18"/>
        </w:rPr>
        <w:t>Sinds de presentatie van de oorspronkelijke Commissievoorstellen in mei 2018 is er ruim twee jaar onderhandeld over het MFK. In mei 2020 presenteerde de Europese Commissie bovendien aanvullende voorstellen voor een COVID-19</w:t>
      </w:r>
      <w:r w:rsidR="004C00CC">
        <w:rPr>
          <w:rFonts w:ascii="Verdana" w:hAnsi="Verdana" w:eastAsia="Calibri" w:cs="Times New Roman"/>
          <w:sz w:val="18"/>
          <w:szCs w:val="18"/>
        </w:rPr>
        <w:t>-</w:t>
      </w:r>
      <w:r w:rsidRPr="00BB0631">
        <w:rPr>
          <w:rFonts w:ascii="Verdana" w:hAnsi="Verdana" w:eastAsia="Calibri" w:cs="Times New Roman"/>
          <w:sz w:val="18"/>
          <w:szCs w:val="18"/>
        </w:rPr>
        <w:t xml:space="preserve">herstelstrategie. </w:t>
      </w:r>
      <w:r w:rsidR="00AD7F0C">
        <w:rPr>
          <w:rFonts w:ascii="Verdana" w:hAnsi="Verdana" w:eastAsia="Calibri" w:cs="Times New Roman"/>
          <w:sz w:val="18"/>
          <w:szCs w:val="18"/>
        </w:rPr>
        <w:t>In</w:t>
      </w:r>
      <w:r w:rsidRPr="00BB0631">
        <w:rPr>
          <w:rFonts w:ascii="Verdana" w:hAnsi="Verdana" w:eastAsia="Calibri" w:cs="Times New Roman"/>
          <w:sz w:val="18"/>
          <w:szCs w:val="18"/>
        </w:rPr>
        <w:t xml:space="preserve"> het nu bereikte akkoord  zijn de politieke hoofdlijnen </w:t>
      </w:r>
      <w:r w:rsidR="00A9460F">
        <w:rPr>
          <w:rFonts w:ascii="Verdana" w:hAnsi="Verdana" w:eastAsia="Calibri" w:cs="Times New Roman"/>
          <w:sz w:val="18"/>
          <w:szCs w:val="18"/>
        </w:rPr>
        <w:t>door</w:t>
      </w:r>
      <w:r w:rsidRPr="00BB0631" w:rsidR="00A9460F">
        <w:rPr>
          <w:rFonts w:ascii="Verdana" w:hAnsi="Verdana" w:eastAsia="Calibri" w:cs="Times New Roman"/>
          <w:sz w:val="18"/>
          <w:szCs w:val="18"/>
        </w:rPr>
        <w:t xml:space="preserve"> </w:t>
      </w:r>
      <w:r w:rsidRPr="00BB0631">
        <w:rPr>
          <w:rFonts w:ascii="Verdana" w:hAnsi="Verdana" w:eastAsia="Calibri" w:cs="Times New Roman"/>
          <w:sz w:val="18"/>
          <w:szCs w:val="18"/>
        </w:rPr>
        <w:t xml:space="preserve">de Europese Raad vastgelegd, maar is er nog geen sprake van een definitief </w:t>
      </w:r>
      <w:r w:rsidR="0011227E">
        <w:rPr>
          <w:rFonts w:ascii="Verdana" w:hAnsi="Verdana" w:eastAsia="Calibri" w:cs="Times New Roman"/>
          <w:sz w:val="18"/>
          <w:szCs w:val="18"/>
        </w:rPr>
        <w:t>MFK-</w:t>
      </w:r>
      <w:r w:rsidRPr="00BB0631">
        <w:rPr>
          <w:rFonts w:ascii="Verdana" w:hAnsi="Verdana" w:eastAsia="Calibri" w:cs="Times New Roman"/>
          <w:sz w:val="18"/>
          <w:szCs w:val="18"/>
        </w:rPr>
        <w:t xml:space="preserve">akkoord. De Raad kan het MFK pas vaststellen na goedkeuring door het Europees Parlement (EP). Naar verwachting zal het EP daarvoor een aantal aanpassingen voorstellen. Het Duitse EU-voorzitterschap zal hierover </w:t>
      </w:r>
      <w:r w:rsidR="0011227E">
        <w:rPr>
          <w:rFonts w:ascii="Verdana" w:hAnsi="Verdana" w:eastAsia="Calibri" w:cs="Times New Roman"/>
          <w:sz w:val="18"/>
          <w:szCs w:val="18"/>
        </w:rPr>
        <w:t xml:space="preserve">vervolgens </w:t>
      </w:r>
      <w:r w:rsidRPr="00BB0631">
        <w:rPr>
          <w:rFonts w:ascii="Verdana" w:hAnsi="Verdana" w:eastAsia="Calibri" w:cs="Times New Roman"/>
          <w:sz w:val="18"/>
          <w:szCs w:val="18"/>
        </w:rPr>
        <w:t xml:space="preserve">namens de Raad met het EP onderhandelen. </w:t>
      </w:r>
    </w:p>
    <w:p w:rsidRPr="00BB0631" w:rsidR="00BB0631" w:rsidP="00BB0631" w:rsidRDefault="00BB0631" w14:paraId="52BBB812" w14:textId="18856C16">
      <w:pPr>
        <w:jc w:val="both"/>
        <w:rPr>
          <w:rFonts w:ascii="Verdana" w:hAnsi="Verdana" w:eastAsia="Calibri" w:cs="Times New Roman"/>
          <w:sz w:val="18"/>
          <w:szCs w:val="18"/>
        </w:rPr>
      </w:pPr>
      <w:r w:rsidRPr="00BB0631">
        <w:rPr>
          <w:rFonts w:ascii="Verdana" w:hAnsi="Verdana" w:eastAsia="Calibri" w:cs="Times New Roman"/>
          <w:sz w:val="18"/>
          <w:szCs w:val="18"/>
        </w:rPr>
        <w:t>Daarnaast zal het nu bereikte akkoord worden verwerkt in wetgevingsvoorstellen voor de sectorale programma’s en instrumenten onder het MFK en de herstelstrategie. Deze zullen vervolgens door de Raad en het EP moeten worden vastgesteld als juridische basis voor de uitgavenprogramma’s per 2021.</w:t>
      </w:r>
      <w:r w:rsidRPr="00BB0631">
        <w:rPr>
          <w:rFonts w:ascii="Calibri" w:hAnsi="Calibri" w:eastAsia="Calibri" w:cs="Times New Roman"/>
        </w:rPr>
        <w:t xml:space="preserve"> </w:t>
      </w:r>
      <w:r w:rsidRPr="00BB0631">
        <w:rPr>
          <w:rFonts w:ascii="Verdana" w:hAnsi="Verdana" w:eastAsia="Calibri" w:cs="Times New Roman"/>
          <w:sz w:val="18"/>
          <w:szCs w:val="18"/>
        </w:rPr>
        <w:t xml:space="preserve">Wat betreft de inkomstenkant van de EU-begroting zal het bereikte akkoord </w:t>
      </w:r>
      <w:r w:rsidR="00F01242">
        <w:rPr>
          <w:rFonts w:ascii="Verdana" w:hAnsi="Verdana" w:eastAsia="Calibri" w:cs="Times New Roman"/>
          <w:sz w:val="18"/>
          <w:szCs w:val="18"/>
        </w:rPr>
        <w:t xml:space="preserve">in de Raad </w:t>
      </w:r>
      <w:r w:rsidRPr="00BB0631">
        <w:rPr>
          <w:rFonts w:ascii="Verdana" w:hAnsi="Verdana" w:eastAsia="Calibri" w:cs="Times New Roman"/>
          <w:sz w:val="18"/>
          <w:szCs w:val="18"/>
        </w:rPr>
        <w:t xml:space="preserve">worden </w:t>
      </w:r>
      <w:r w:rsidR="00F01242">
        <w:rPr>
          <w:rFonts w:ascii="Verdana" w:hAnsi="Verdana" w:eastAsia="Calibri" w:cs="Times New Roman"/>
          <w:sz w:val="18"/>
          <w:szCs w:val="18"/>
        </w:rPr>
        <w:t>verwerkt</w:t>
      </w:r>
      <w:r w:rsidRPr="00BB0631">
        <w:rPr>
          <w:rFonts w:ascii="Verdana" w:hAnsi="Verdana" w:eastAsia="Calibri" w:cs="Times New Roman"/>
          <w:sz w:val="18"/>
          <w:szCs w:val="18"/>
        </w:rPr>
        <w:t xml:space="preserve"> in een aangepast </w:t>
      </w:r>
      <w:r w:rsidR="00F01242">
        <w:rPr>
          <w:rFonts w:ascii="Verdana" w:hAnsi="Verdana" w:eastAsia="Calibri" w:cs="Times New Roman"/>
          <w:sz w:val="18"/>
          <w:szCs w:val="18"/>
        </w:rPr>
        <w:t>Eigenm</w:t>
      </w:r>
      <w:r w:rsidRPr="00BB0631">
        <w:rPr>
          <w:rFonts w:ascii="Verdana" w:hAnsi="Verdana" w:eastAsia="Calibri" w:cs="Times New Roman"/>
          <w:sz w:val="18"/>
          <w:szCs w:val="18"/>
        </w:rPr>
        <w:t xml:space="preserve">iddelenbesluit. Na een advies van het Europees Parlement zal het gewijzigde </w:t>
      </w:r>
      <w:r w:rsidR="006078FA">
        <w:rPr>
          <w:rFonts w:ascii="Verdana" w:hAnsi="Verdana" w:eastAsia="Calibri" w:cs="Times New Roman"/>
          <w:sz w:val="18"/>
          <w:szCs w:val="18"/>
        </w:rPr>
        <w:t>Eigenm</w:t>
      </w:r>
      <w:r w:rsidRPr="00BB0631">
        <w:rPr>
          <w:rFonts w:ascii="Verdana" w:hAnsi="Verdana" w:eastAsia="Calibri" w:cs="Times New Roman"/>
          <w:sz w:val="18"/>
          <w:szCs w:val="18"/>
        </w:rPr>
        <w:t xml:space="preserve">iddelenbesluit ter goedkeuring aan de nationale parlementen worden voorgelegd. </w:t>
      </w:r>
      <w:r w:rsidR="006078FA">
        <w:rPr>
          <w:rFonts w:ascii="Verdana" w:hAnsi="Verdana" w:eastAsia="Calibri" w:cs="Times New Roman"/>
          <w:sz w:val="18"/>
          <w:szCs w:val="18"/>
        </w:rPr>
        <w:t xml:space="preserve">Hiervoor zal het kabinet een wetsvoorstel opstellen. </w:t>
      </w:r>
      <w:r w:rsidRPr="00BB0631">
        <w:rPr>
          <w:rFonts w:ascii="Verdana" w:hAnsi="Verdana" w:eastAsia="Calibri" w:cs="Times New Roman"/>
          <w:sz w:val="18"/>
          <w:szCs w:val="18"/>
        </w:rPr>
        <w:t xml:space="preserve">Het </w:t>
      </w:r>
      <w:r w:rsidR="006078FA">
        <w:rPr>
          <w:rFonts w:ascii="Verdana" w:hAnsi="Verdana" w:eastAsia="Calibri" w:cs="Times New Roman"/>
          <w:sz w:val="18"/>
          <w:szCs w:val="18"/>
        </w:rPr>
        <w:t>EMB</w:t>
      </w:r>
      <w:r w:rsidRPr="00BB0631">
        <w:rPr>
          <w:rFonts w:ascii="Verdana" w:hAnsi="Verdana" w:eastAsia="Calibri" w:cs="Times New Roman"/>
          <w:sz w:val="18"/>
          <w:szCs w:val="18"/>
        </w:rPr>
        <w:t xml:space="preserve"> treedt in werking na ratificatie in alle lidstaten. De afspraken die zijn opgenomen in het</w:t>
      </w:r>
      <w:r w:rsidRPr="00BB0631" w:rsidDel="00044770">
        <w:rPr>
          <w:rFonts w:ascii="Verdana" w:hAnsi="Verdana" w:eastAsia="Calibri" w:cs="Times New Roman"/>
          <w:sz w:val="18"/>
          <w:szCs w:val="18"/>
        </w:rPr>
        <w:t xml:space="preserve"> </w:t>
      </w:r>
      <w:r w:rsidRPr="00BB0631" w:rsidR="00044770">
        <w:rPr>
          <w:rFonts w:ascii="Verdana" w:hAnsi="Verdana" w:eastAsia="Calibri" w:cs="Times New Roman"/>
          <w:sz w:val="18"/>
          <w:szCs w:val="18"/>
        </w:rPr>
        <w:t>E</w:t>
      </w:r>
      <w:r w:rsidR="00044770">
        <w:rPr>
          <w:rFonts w:ascii="Verdana" w:hAnsi="Verdana" w:eastAsia="Calibri" w:cs="Times New Roman"/>
          <w:sz w:val="18"/>
          <w:szCs w:val="18"/>
        </w:rPr>
        <w:t>MB</w:t>
      </w:r>
      <w:r w:rsidRPr="00BB0631" w:rsidR="00044770">
        <w:rPr>
          <w:rFonts w:ascii="Verdana" w:hAnsi="Verdana" w:eastAsia="Calibri" w:cs="Times New Roman"/>
          <w:sz w:val="18"/>
          <w:szCs w:val="18"/>
        </w:rPr>
        <w:t xml:space="preserve"> </w:t>
      </w:r>
      <w:r w:rsidR="00EC6B3C">
        <w:rPr>
          <w:rFonts w:ascii="Verdana" w:hAnsi="Verdana" w:eastAsia="Calibri" w:cs="Times New Roman"/>
          <w:sz w:val="18"/>
          <w:szCs w:val="18"/>
        </w:rPr>
        <w:t>zullen</w:t>
      </w:r>
      <w:r w:rsidRPr="00BB0631">
        <w:rPr>
          <w:rFonts w:ascii="Verdana" w:hAnsi="Verdana" w:eastAsia="Calibri" w:cs="Times New Roman"/>
          <w:sz w:val="18"/>
          <w:szCs w:val="18"/>
        </w:rPr>
        <w:t xml:space="preserve"> met </w:t>
      </w:r>
      <w:r w:rsidR="00EC6B3C">
        <w:rPr>
          <w:rFonts w:ascii="Verdana" w:hAnsi="Verdana" w:eastAsia="Calibri" w:cs="Times New Roman"/>
          <w:sz w:val="18"/>
          <w:szCs w:val="18"/>
        </w:rPr>
        <w:t>terugwerkende kracht</w:t>
      </w:r>
      <w:r w:rsidRPr="00BB0631">
        <w:rPr>
          <w:rFonts w:ascii="Verdana" w:hAnsi="Verdana" w:eastAsia="Calibri" w:cs="Times New Roman"/>
          <w:sz w:val="18"/>
          <w:szCs w:val="18"/>
        </w:rPr>
        <w:t xml:space="preserve"> </w:t>
      </w:r>
      <w:r w:rsidR="00EC6B3C">
        <w:rPr>
          <w:rFonts w:ascii="Verdana" w:hAnsi="Verdana" w:eastAsia="Calibri" w:cs="Times New Roman"/>
          <w:sz w:val="18"/>
          <w:szCs w:val="18"/>
        </w:rPr>
        <w:t>van toepassing zijn met ingang van</w:t>
      </w:r>
      <w:r w:rsidRPr="00BB0631">
        <w:rPr>
          <w:rFonts w:ascii="Verdana" w:hAnsi="Verdana" w:eastAsia="Calibri" w:cs="Times New Roman"/>
          <w:sz w:val="18"/>
          <w:szCs w:val="18"/>
        </w:rPr>
        <w:t xml:space="preserve"> 1 januari 2021. </w:t>
      </w:r>
    </w:p>
    <w:p w:rsidRPr="003613F1" w:rsidR="002518C3" w:rsidP="003613F1" w:rsidRDefault="00BB0631" w14:paraId="60A01114" w14:textId="2A257E46">
      <w:pPr>
        <w:jc w:val="both"/>
        <w:rPr>
          <w:rFonts w:ascii="Verdana" w:hAnsi="Verdana" w:eastAsia="Calibri" w:cs="Times New Roman"/>
          <w:sz w:val="18"/>
          <w:szCs w:val="18"/>
        </w:rPr>
      </w:pPr>
      <w:r w:rsidRPr="00BB0631">
        <w:rPr>
          <w:rFonts w:ascii="Verdana" w:hAnsi="Verdana" w:eastAsia="Calibri" w:cs="Times New Roman"/>
          <w:sz w:val="18"/>
          <w:szCs w:val="18"/>
        </w:rPr>
        <w:t>Het kabinet zal de Kamer op de reguliere wijze blijven informeren over de vo</w:t>
      </w:r>
      <w:r w:rsidR="003613F1">
        <w:rPr>
          <w:rFonts w:ascii="Verdana" w:hAnsi="Verdana" w:eastAsia="Calibri" w:cs="Times New Roman"/>
          <w:sz w:val="18"/>
          <w:szCs w:val="18"/>
        </w:rPr>
        <w:t xml:space="preserve">ortgang in het vervolgtraject. </w:t>
      </w:r>
    </w:p>
    <w:sectPr w:rsidRPr="003613F1" w:rsidR="002518C3">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1A4" w14:textId="77777777" w:rsidR="00687D1C" w:rsidRDefault="00687D1C" w:rsidP="00581EC0">
      <w:pPr>
        <w:spacing w:after="0" w:line="240" w:lineRule="auto"/>
      </w:pPr>
      <w:r>
        <w:separator/>
      </w:r>
    </w:p>
  </w:endnote>
  <w:endnote w:type="continuationSeparator" w:id="0">
    <w:p w14:paraId="677076DA" w14:textId="77777777" w:rsidR="00687D1C" w:rsidRDefault="00687D1C" w:rsidP="00581EC0">
      <w:pPr>
        <w:spacing w:after="0" w:line="240" w:lineRule="auto"/>
      </w:pPr>
      <w:r>
        <w:continuationSeparator/>
      </w:r>
    </w:p>
  </w:endnote>
  <w:endnote w:type="continuationNotice" w:id="1">
    <w:p w14:paraId="09606CAA" w14:textId="77777777" w:rsidR="00687D1C" w:rsidRDefault="00687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466470"/>
      <w:docPartObj>
        <w:docPartGallery w:val="Page Numbers (Bottom of Page)"/>
        <w:docPartUnique/>
      </w:docPartObj>
    </w:sdtPr>
    <w:sdtEndPr/>
    <w:sdtContent>
      <w:p w14:paraId="152526CC" w14:textId="5D7668CB" w:rsidR="00687D1C" w:rsidRDefault="00687D1C">
        <w:pPr>
          <w:pStyle w:val="Footer"/>
          <w:jc w:val="right"/>
        </w:pPr>
        <w:r>
          <w:fldChar w:fldCharType="begin"/>
        </w:r>
        <w:r>
          <w:instrText>PAGE   \* MERGEFORMAT</w:instrText>
        </w:r>
        <w:r>
          <w:fldChar w:fldCharType="separate"/>
        </w:r>
        <w:r w:rsidR="00152B87">
          <w:rPr>
            <w:noProof/>
          </w:rPr>
          <w:t>1</w:t>
        </w:r>
        <w:r>
          <w:fldChar w:fldCharType="end"/>
        </w:r>
      </w:p>
    </w:sdtContent>
  </w:sdt>
  <w:p w14:paraId="34BC78B3" w14:textId="77777777" w:rsidR="00687D1C" w:rsidRDefault="00687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4915" w14:textId="77777777" w:rsidR="00687D1C" w:rsidRDefault="00687D1C" w:rsidP="00581EC0">
      <w:pPr>
        <w:spacing w:after="0" w:line="240" w:lineRule="auto"/>
      </w:pPr>
      <w:r>
        <w:separator/>
      </w:r>
    </w:p>
  </w:footnote>
  <w:footnote w:type="continuationSeparator" w:id="0">
    <w:p w14:paraId="0B02F846" w14:textId="77777777" w:rsidR="00687D1C" w:rsidRDefault="00687D1C" w:rsidP="00581EC0">
      <w:pPr>
        <w:spacing w:after="0" w:line="240" w:lineRule="auto"/>
      </w:pPr>
      <w:r>
        <w:continuationSeparator/>
      </w:r>
    </w:p>
  </w:footnote>
  <w:footnote w:type="continuationNotice" w:id="1">
    <w:p w14:paraId="41CCC217" w14:textId="77777777" w:rsidR="00687D1C" w:rsidRDefault="00687D1C">
      <w:pPr>
        <w:spacing w:after="0" w:line="240" w:lineRule="auto"/>
      </w:pPr>
    </w:p>
  </w:footnote>
  <w:footnote w:id="2">
    <w:p w14:paraId="61AAF619" w14:textId="6F43005A" w:rsidR="00687D1C" w:rsidRPr="00CC4C99" w:rsidRDefault="00687D1C">
      <w:pPr>
        <w:pStyle w:val="FootnoteText"/>
        <w:rPr>
          <w:lang w:val="en-US"/>
        </w:rPr>
      </w:pPr>
      <w:r>
        <w:rPr>
          <w:rStyle w:val="FootnoteReference"/>
        </w:rPr>
        <w:footnoteRef/>
      </w:r>
      <w:r>
        <w:t xml:space="preserve"> </w:t>
      </w:r>
      <w:r w:rsidRPr="00CC4C99">
        <w:t>https://www.consilium.europa.eu/en/press/press-releases/2020/07/21/european-council-conclusions-17-21-july-2020/</w:t>
      </w:r>
    </w:p>
  </w:footnote>
  <w:footnote w:id="3">
    <w:p w14:paraId="1CD86E53" w14:textId="2F3C3318" w:rsidR="00687D1C" w:rsidRPr="0085412A" w:rsidRDefault="00687D1C" w:rsidP="0085412A">
      <w:pPr>
        <w:spacing w:after="0"/>
      </w:pPr>
      <w:r>
        <w:rPr>
          <w:rStyle w:val="FootnoteReference"/>
        </w:rPr>
        <w:footnoteRef/>
      </w:r>
      <w:r>
        <w:t xml:space="preserve"> </w:t>
      </w:r>
      <w:r w:rsidRPr="007D336A">
        <w:rPr>
          <w:iCs/>
          <w:sz w:val="20"/>
        </w:rPr>
        <w:t xml:space="preserve">De Juridische Dienst van de Raad heeft een advies over de procedure vrijgegeven (documentnummer EUCO 12/20, </w:t>
      </w:r>
      <w:hyperlink r:id="rId1" w:history="1">
        <w:r w:rsidRPr="007D336A">
          <w:rPr>
            <w:rStyle w:val="Hyperlink"/>
            <w:iCs/>
            <w:sz w:val="20"/>
          </w:rPr>
          <w:t>https://www.consilium.europa.eu/register/en/content/out?&amp;typ=ENTRY&amp;i=ADV&amp;DOC_ID=ST-12-2020-INIT</w:t>
        </w:r>
      </w:hyperlink>
      <w:r w:rsidRPr="007D336A">
        <w:rPr>
          <w:iCs/>
          <w:sz w:val="20"/>
        </w:rPr>
        <w:t>). Nederland kan zich hierin vinden.</w:t>
      </w:r>
      <w:r w:rsidRPr="007D336A">
        <w:rPr>
          <w:i/>
          <w:iCs/>
          <w:sz w:val="20"/>
        </w:rPr>
        <w:t xml:space="preserve"> </w:t>
      </w:r>
    </w:p>
  </w:footnote>
  <w:footnote w:id="4">
    <w:p w14:paraId="197F7930" w14:textId="41FD8107" w:rsidR="00687D1C" w:rsidRPr="00511049" w:rsidRDefault="00687D1C" w:rsidP="00053C8C">
      <w:pPr>
        <w:pStyle w:val="FootnoteText"/>
      </w:pPr>
      <w:r>
        <w:rPr>
          <w:rStyle w:val="FootnoteReference"/>
        </w:rPr>
        <w:footnoteRef/>
      </w:r>
      <w:r w:rsidRPr="00511049">
        <w:t xml:space="preserve"> </w:t>
      </w:r>
      <w:hyperlink r:id="rId2" w:history="1">
        <w:r w:rsidR="004D21CD" w:rsidRPr="00A673EE">
          <w:rPr>
            <w:rStyle w:val="Hyperlink"/>
          </w:rPr>
          <w:t>https://www.rijksoverheid.nl/documenten/kamerstukken/2020/06/15/vijfde-en-zesde-aanvullende-eu-begroting-2020</w:t>
        </w:r>
      </w:hyperlink>
      <w:r w:rsidR="004D21C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E32BB"/>
    <w:multiLevelType w:val="hybridMultilevel"/>
    <w:tmpl w:val="B4D01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8F6AC6"/>
    <w:multiLevelType w:val="hybridMultilevel"/>
    <w:tmpl w:val="4D3A19B8"/>
    <w:lvl w:ilvl="0" w:tplc="8B887948">
      <w:start w:val="19"/>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A6670A5"/>
    <w:multiLevelType w:val="hybridMultilevel"/>
    <w:tmpl w:val="5CACAB8A"/>
    <w:lvl w:ilvl="0" w:tplc="8B887948">
      <w:start w:val="19"/>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C3"/>
    <w:rsid w:val="00000BBC"/>
    <w:rsid w:val="000013C8"/>
    <w:rsid w:val="000041D0"/>
    <w:rsid w:val="0000433A"/>
    <w:rsid w:val="00010E8A"/>
    <w:rsid w:val="00026455"/>
    <w:rsid w:val="00031B41"/>
    <w:rsid w:val="00034F2D"/>
    <w:rsid w:val="00035671"/>
    <w:rsid w:val="000363F3"/>
    <w:rsid w:val="00044770"/>
    <w:rsid w:val="00053C8C"/>
    <w:rsid w:val="00070C88"/>
    <w:rsid w:val="00074A4A"/>
    <w:rsid w:val="00076814"/>
    <w:rsid w:val="00091C8D"/>
    <w:rsid w:val="00097050"/>
    <w:rsid w:val="000A3CE7"/>
    <w:rsid w:val="000C2213"/>
    <w:rsid w:val="000D33E3"/>
    <w:rsid w:val="000D7FA6"/>
    <w:rsid w:val="000E62D8"/>
    <w:rsid w:val="000F02C1"/>
    <w:rsid w:val="000F3B15"/>
    <w:rsid w:val="000F4A5D"/>
    <w:rsid w:val="0011227E"/>
    <w:rsid w:val="00123F75"/>
    <w:rsid w:val="00127C2E"/>
    <w:rsid w:val="00130714"/>
    <w:rsid w:val="001423CB"/>
    <w:rsid w:val="0014484F"/>
    <w:rsid w:val="00152B87"/>
    <w:rsid w:val="00163E42"/>
    <w:rsid w:val="001716FC"/>
    <w:rsid w:val="00180E33"/>
    <w:rsid w:val="00191DF0"/>
    <w:rsid w:val="001A4DA7"/>
    <w:rsid w:val="001C3C52"/>
    <w:rsid w:val="001E2BF2"/>
    <w:rsid w:val="001F12DA"/>
    <w:rsid w:val="00207369"/>
    <w:rsid w:val="00212CC6"/>
    <w:rsid w:val="00220231"/>
    <w:rsid w:val="002240D1"/>
    <w:rsid w:val="00233DA1"/>
    <w:rsid w:val="00242F29"/>
    <w:rsid w:val="0024628F"/>
    <w:rsid w:val="002518C3"/>
    <w:rsid w:val="0026450A"/>
    <w:rsid w:val="0026548F"/>
    <w:rsid w:val="002760CD"/>
    <w:rsid w:val="00284090"/>
    <w:rsid w:val="00290E97"/>
    <w:rsid w:val="002A26D5"/>
    <w:rsid w:val="002A508A"/>
    <w:rsid w:val="002A7179"/>
    <w:rsid w:val="002B3A9A"/>
    <w:rsid w:val="002B4F73"/>
    <w:rsid w:val="002B7BA5"/>
    <w:rsid w:val="002C4265"/>
    <w:rsid w:val="002C63A5"/>
    <w:rsid w:val="002D5F11"/>
    <w:rsid w:val="00315FAF"/>
    <w:rsid w:val="00317B08"/>
    <w:rsid w:val="00327610"/>
    <w:rsid w:val="003378A7"/>
    <w:rsid w:val="00357C82"/>
    <w:rsid w:val="003613F1"/>
    <w:rsid w:val="003703F0"/>
    <w:rsid w:val="00374271"/>
    <w:rsid w:val="0039691E"/>
    <w:rsid w:val="003A0218"/>
    <w:rsid w:val="003A4029"/>
    <w:rsid w:val="003B44EA"/>
    <w:rsid w:val="003C179F"/>
    <w:rsid w:val="003C7923"/>
    <w:rsid w:val="003D51F0"/>
    <w:rsid w:val="003E0A14"/>
    <w:rsid w:val="003E4295"/>
    <w:rsid w:val="003F27F7"/>
    <w:rsid w:val="003F3669"/>
    <w:rsid w:val="00400CA7"/>
    <w:rsid w:val="004039E5"/>
    <w:rsid w:val="00406043"/>
    <w:rsid w:val="0041035C"/>
    <w:rsid w:val="00430AE4"/>
    <w:rsid w:val="00471EDF"/>
    <w:rsid w:val="004A6F69"/>
    <w:rsid w:val="004B0FE6"/>
    <w:rsid w:val="004B4A03"/>
    <w:rsid w:val="004B57B9"/>
    <w:rsid w:val="004C00CC"/>
    <w:rsid w:val="004D19F0"/>
    <w:rsid w:val="004D21CD"/>
    <w:rsid w:val="004D3D21"/>
    <w:rsid w:val="004E01DE"/>
    <w:rsid w:val="00511049"/>
    <w:rsid w:val="00520A4C"/>
    <w:rsid w:val="005545C8"/>
    <w:rsid w:val="00554B89"/>
    <w:rsid w:val="00561059"/>
    <w:rsid w:val="0056531B"/>
    <w:rsid w:val="005758BD"/>
    <w:rsid w:val="00581EC0"/>
    <w:rsid w:val="005842D0"/>
    <w:rsid w:val="00587599"/>
    <w:rsid w:val="005912CC"/>
    <w:rsid w:val="00594E8C"/>
    <w:rsid w:val="005B14F6"/>
    <w:rsid w:val="005C156B"/>
    <w:rsid w:val="005C6E7F"/>
    <w:rsid w:val="005D3529"/>
    <w:rsid w:val="005F697D"/>
    <w:rsid w:val="006016EF"/>
    <w:rsid w:val="006065FE"/>
    <w:rsid w:val="006078FA"/>
    <w:rsid w:val="006127F6"/>
    <w:rsid w:val="00613079"/>
    <w:rsid w:val="00636763"/>
    <w:rsid w:val="00660525"/>
    <w:rsid w:val="00663096"/>
    <w:rsid w:val="006636C7"/>
    <w:rsid w:val="006644ED"/>
    <w:rsid w:val="00672CB9"/>
    <w:rsid w:val="00674841"/>
    <w:rsid w:val="006769E4"/>
    <w:rsid w:val="00684F4A"/>
    <w:rsid w:val="00687D1C"/>
    <w:rsid w:val="006A5E23"/>
    <w:rsid w:val="006B023D"/>
    <w:rsid w:val="006D0E1D"/>
    <w:rsid w:val="006D7E10"/>
    <w:rsid w:val="006F3443"/>
    <w:rsid w:val="007044CD"/>
    <w:rsid w:val="0070454D"/>
    <w:rsid w:val="00706825"/>
    <w:rsid w:val="007203F3"/>
    <w:rsid w:val="007256C7"/>
    <w:rsid w:val="0074054E"/>
    <w:rsid w:val="007634CA"/>
    <w:rsid w:val="007803BA"/>
    <w:rsid w:val="007851B5"/>
    <w:rsid w:val="00793195"/>
    <w:rsid w:val="007A09ED"/>
    <w:rsid w:val="007C635A"/>
    <w:rsid w:val="007D175C"/>
    <w:rsid w:val="007D336A"/>
    <w:rsid w:val="007D5DED"/>
    <w:rsid w:val="007E22F3"/>
    <w:rsid w:val="007E233E"/>
    <w:rsid w:val="007E3D6E"/>
    <w:rsid w:val="007E4AFF"/>
    <w:rsid w:val="007E5B62"/>
    <w:rsid w:val="007F22CB"/>
    <w:rsid w:val="00815A7E"/>
    <w:rsid w:val="00817410"/>
    <w:rsid w:val="00827F2D"/>
    <w:rsid w:val="0083145B"/>
    <w:rsid w:val="00851A7D"/>
    <w:rsid w:val="0085412A"/>
    <w:rsid w:val="00861840"/>
    <w:rsid w:val="008622BA"/>
    <w:rsid w:val="00872128"/>
    <w:rsid w:val="008733D1"/>
    <w:rsid w:val="008738A4"/>
    <w:rsid w:val="00884684"/>
    <w:rsid w:val="00887AE3"/>
    <w:rsid w:val="008A03D5"/>
    <w:rsid w:val="008A106E"/>
    <w:rsid w:val="008A5440"/>
    <w:rsid w:val="008C7CAE"/>
    <w:rsid w:val="008E0C57"/>
    <w:rsid w:val="008E0D65"/>
    <w:rsid w:val="009013E6"/>
    <w:rsid w:val="009033DE"/>
    <w:rsid w:val="00911955"/>
    <w:rsid w:val="00912E76"/>
    <w:rsid w:val="00924AA7"/>
    <w:rsid w:val="0094314F"/>
    <w:rsid w:val="00953B80"/>
    <w:rsid w:val="00954E6D"/>
    <w:rsid w:val="009560A4"/>
    <w:rsid w:val="00956BE3"/>
    <w:rsid w:val="00974E8F"/>
    <w:rsid w:val="00991345"/>
    <w:rsid w:val="00993542"/>
    <w:rsid w:val="0099642D"/>
    <w:rsid w:val="009A3D66"/>
    <w:rsid w:val="009B5841"/>
    <w:rsid w:val="009C61A4"/>
    <w:rsid w:val="009D0E12"/>
    <w:rsid w:val="009D5DD7"/>
    <w:rsid w:val="009E1517"/>
    <w:rsid w:val="009E5BC0"/>
    <w:rsid w:val="009F363F"/>
    <w:rsid w:val="009F4407"/>
    <w:rsid w:val="00A26AF5"/>
    <w:rsid w:val="00A34218"/>
    <w:rsid w:val="00A435E2"/>
    <w:rsid w:val="00A46978"/>
    <w:rsid w:val="00A505D9"/>
    <w:rsid w:val="00A57D02"/>
    <w:rsid w:val="00A62F41"/>
    <w:rsid w:val="00A7517F"/>
    <w:rsid w:val="00A7710C"/>
    <w:rsid w:val="00A80452"/>
    <w:rsid w:val="00A83E8F"/>
    <w:rsid w:val="00A9460F"/>
    <w:rsid w:val="00A946C1"/>
    <w:rsid w:val="00A95528"/>
    <w:rsid w:val="00AA4124"/>
    <w:rsid w:val="00AC2193"/>
    <w:rsid w:val="00AD17E7"/>
    <w:rsid w:val="00AD7F0C"/>
    <w:rsid w:val="00AE1939"/>
    <w:rsid w:val="00AE23EA"/>
    <w:rsid w:val="00AE2509"/>
    <w:rsid w:val="00AE77F7"/>
    <w:rsid w:val="00AF1E57"/>
    <w:rsid w:val="00AF67B2"/>
    <w:rsid w:val="00B03B09"/>
    <w:rsid w:val="00B145AD"/>
    <w:rsid w:val="00B167C5"/>
    <w:rsid w:val="00B473A1"/>
    <w:rsid w:val="00B529D9"/>
    <w:rsid w:val="00B64141"/>
    <w:rsid w:val="00B714F5"/>
    <w:rsid w:val="00B73AA1"/>
    <w:rsid w:val="00B803D0"/>
    <w:rsid w:val="00B8638C"/>
    <w:rsid w:val="00B86F39"/>
    <w:rsid w:val="00B958C2"/>
    <w:rsid w:val="00BA3933"/>
    <w:rsid w:val="00BA45F2"/>
    <w:rsid w:val="00BB0631"/>
    <w:rsid w:val="00BB314F"/>
    <w:rsid w:val="00BC5331"/>
    <w:rsid w:val="00BD3FEB"/>
    <w:rsid w:val="00BD642A"/>
    <w:rsid w:val="00BE209F"/>
    <w:rsid w:val="00BF05B5"/>
    <w:rsid w:val="00BF190B"/>
    <w:rsid w:val="00BF2CAB"/>
    <w:rsid w:val="00BF4ACE"/>
    <w:rsid w:val="00C1550E"/>
    <w:rsid w:val="00C23EEB"/>
    <w:rsid w:val="00C3287B"/>
    <w:rsid w:val="00C330C1"/>
    <w:rsid w:val="00C360AA"/>
    <w:rsid w:val="00C43AEB"/>
    <w:rsid w:val="00C62186"/>
    <w:rsid w:val="00C63C95"/>
    <w:rsid w:val="00C735D1"/>
    <w:rsid w:val="00C84B5E"/>
    <w:rsid w:val="00C8780F"/>
    <w:rsid w:val="00CA706C"/>
    <w:rsid w:val="00CB0F24"/>
    <w:rsid w:val="00CB1EB8"/>
    <w:rsid w:val="00CC4C99"/>
    <w:rsid w:val="00CD4527"/>
    <w:rsid w:val="00CE3F65"/>
    <w:rsid w:val="00D00D6B"/>
    <w:rsid w:val="00D057EF"/>
    <w:rsid w:val="00D20100"/>
    <w:rsid w:val="00D307A8"/>
    <w:rsid w:val="00D455EF"/>
    <w:rsid w:val="00D53CCA"/>
    <w:rsid w:val="00D80256"/>
    <w:rsid w:val="00D83205"/>
    <w:rsid w:val="00DB0103"/>
    <w:rsid w:val="00DB4111"/>
    <w:rsid w:val="00DB59E6"/>
    <w:rsid w:val="00DB77CE"/>
    <w:rsid w:val="00DC2A58"/>
    <w:rsid w:val="00DC5B36"/>
    <w:rsid w:val="00DE4096"/>
    <w:rsid w:val="00DF58C3"/>
    <w:rsid w:val="00E0017A"/>
    <w:rsid w:val="00E00B93"/>
    <w:rsid w:val="00E27EF7"/>
    <w:rsid w:val="00E37D4B"/>
    <w:rsid w:val="00E42AC5"/>
    <w:rsid w:val="00E42F9A"/>
    <w:rsid w:val="00E46BA0"/>
    <w:rsid w:val="00E51226"/>
    <w:rsid w:val="00E5471B"/>
    <w:rsid w:val="00E6224E"/>
    <w:rsid w:val="00E714E8"/>
    <w:rsid w:val="00E92623"/>
    <w:rsid w:val="00EC2ECC"/>
    <w:rsid w:val="00EC6B3C"/>
    <w:rsid w:val="00ED1FD1"/>
    <w:rsid w:val="00ED4611"/>
    <w:rsid w:val="00EE0CF5"/>
    <w:rsid w:val="00EE56D6"/>
    <w:rsid w:val="00F01242"/>
    <w:rsid w:val="00F0224B"/>
    <w:rsid w:val="00F03F53"/>
    <w:rsid w:val="00F24657"/>
    <w:rsid w:val="00F436B7"/>
    <w:rsid w:val="00F479D3"/>
    <w:rsid w:val="00F7585F"/>
    <w:rsid w:val="00F84391"/>
    <w:rsid w:val="00F9723F"/>
    <w:rsid w:val="00FA17F6"/>
    <w:rsid w:val="00FA6767"/>
    <w:rsid w:val="00FA7BD2"/>
    <w:rsid w:val="00FB004A"/>
    <w:rsid w:val="00FB1B33"/>
    <w:rsid w:val="00FD54C5"/>
    <w:rsid w:val="00FD5CD4"/>
    <w:rsid w:val="00FD7928"/>
    <w:rsid w:val="00FE2966"/>
    <w:rsid w:val="00FE45C0"/>
    <w:rsid w:val="00FE5FCE"/>
    <w:rsid w:val="00FF133C"/>
    <w:rsid w:val="00FF3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C6BD"/>
  <w15:chartTrackingRefBased/>
  <w15:docId w15:val="{F2BDA581-8A61-49E5-9CED-9DDB9CC9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C0"/>
  </w:style>
  <w:style w:type="paragraph" w:styleId="Footer">
    <w:name w:val="footer"/>
    <w:basedOn w:val="Normal"/>
    <w:link w:val="FooterChar"/>
    <w:uiPriority w:val="99"/>
    <w:unhideWhenUsed/>
    <w:rsid w:val="00581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C0"/>
  </w:style>
  <w:style w:type="character" w:styleId="CommentReference">
    <w:name w:val="annotation reference"/>
    <w:basedOn w:val="DefaultParagraphFont"/>
    <w:uiPriority w:val="99"/>
    <w:semiHidden/>
    <w:unhideWhenUsed/>
    <w:rsid w:val="00BF4ACE"/>
    <w:rPr>
      <w:sz w:val="16"/>
      <w:szCs w:val="16"/>
    </w:rPr>
  </w:style>
  <w:style w:type="paragraph" w:styleId="CommentText">
    <w:name w:val="annotation text"/>
    <w:basedOn w:val="Normal"/>
    <w:link w:val="CommentTextChar"/>
    <w:uiPriority w:val="99"/>
    <w:semiHidden/>
    <w:unhideWhenUsed/>
    <w:rsid w:val="00BF4ACE"/>
    <w:pPr>
      <w:spacing w:line="240" w:lineRule="auto"/>
    </w:pPr>
    <w:rPr>
      <w:sz w:val="20"/>
      <w:szCs w:val="20"/>
    </w:rPr>
  </w:style>
  <w:style w:type="character" w:customStyle="1" w:styleId="CommentTextChar">
    <w:name w:val="Comment Text Char"/>
    <w:basedOn w:val="DefaultParagraphFont"/>
    <w:link w:val="CommentText"/>
    <w:uiPriority w:val="99"/>
    <w:semiHidden/>
    <w:rsid w:val="00BF4ACE"/>
    <w:rPr>
      <w:sz w:val="20"/>
      <w:szCs w:val="20"/>
    </w:rPr>
  </w:style>
  <w:style w:type="paragraph" w:styleId="CommentSubject">
    <w:name w:val="annotation subject"/>
    <w:basedOn w:val="CommentText"/>
    <w:next w:val="CommentText"/>
    <w:link w:val="CommentSubjectChar"/>
    <w:uiPriority w:val="99"/>
    <w:semiHidden/>
    <w:unhideWhenUsed/>
    <w:rsid w:val="00BF4ACE"/>
    <w:rPr>
      <w:b/>
      <w:bCs/>
    </w:rPr>
  </w:style>
  <w:style w:type="character" w:customStyle="1" w:styleId="CommentSubjectChar">
    <w:name w:val="Comment Subject Char"/>
    <w:basedOn w:val="CommentTextChar"/>
    <w:link w:val="CommentSubject"/>
    <w:uiPriority w:val="99"/>
    <w:semiHidden/>
    <w:rsid w:val="00BF4ACE"/>
    <w:rPr>
      <w:b/>
      <w:bCs/>
      <w:sz w:val="20"/>
      <w:szCs w:val="20"/>
    </w:rPr>
  </w:style>
  <w:style w:type="paragraph" w:styleId="BalloonText">
    <w:name w:val="Balloon Text"/>
    <w:basedOn w:val="Normal"/>
    <w:link w:val="BalloonTextChar"/>
    <w:uiPriority w:val="99"/>
    <w:semiHidden/>
    <w:unhideWhenUsed/>
    <w:rsid w:val="00BF4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ACE"/>
    <w:rPr>
      <w:rFonts w:ascii="Segoe UI" w:hAnsi="Segoe UI" w:cs="Segoe UI"/>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697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5F697D"/>
    <w:rPr>
      <w:rFonts w:ascii="Calibri" w:eastAsia="Calibri" w:hAnsi="Calibri" w:cs="Times New Roman"/>
    </w:rPr>
  </w:style>
  <w:style w:type="paragraph" w:styleId="FootnoteText">
    <w:name w:val="footnote text"/>
    <w:basedOn w:val="Normal"/>
    <w:link w:val="FootnoteTextChar"/>
    <w:uiPriority w:val="99"/>
    <w:semiHidden/>
    <w:unhideWhenUsed/>
    <w:rsid w:val="00AF1E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E57"/>
    <w:rPr>
      <w:sz w:val="20"/>
      <w:szCs w:val="20"/>
    </w:rPr>
  </w:style>
  <w:style w:type="character" w:styleId="FootnoteReference">
    <w:name w:val="footnote reference"/>
    <w:basedOn w:val="DefaultParagraphFont"/>
    <w:uiPriority w:val="99"/>
    <w:semiHidden/>
    <w:unhideWhenUsed/>
    <w:rsid w:val="00AF1E57"/>
    <w:rPr>
      <w:vertAlign w:val="superscript"/>
    </w:rPr>
  </w:style>
  <w:style w:type="character" w:styleId="Hyperlink">
    <w:name w:val="Hyperlink"/>
    <w:basedOn w:val="DefaultParagraphFont"/>
    <w:uiPriority w:val="99"/>
    <w:unhideWhenUsed/>
    <w:rsid w:val="007D33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1542">
      <w:bodyDiv w:val="1"/>
      <w:marLeft w:val="0"/>
      <w:marRight w:val="0"/>
      <w:marTop w:val="0"/>
      <w:marBottom w:val="0"/>
      <w:divBdr>
        <w:top w:val="none" w:sz="0" w:space="0" w:color="auto"/>
        <w:left w:val="none" w:sz="0" w:space="0" w:color="auto"/>
        <w:bottom w:val="none" w:sz="0" w:space="0" w:color="auto"/>
        <w:right w:val="none" w:sz="0" w:space="0" w:color="auto"/>
      </w:divBdr>
    </w:div>
    <w:div w:id="128910405">
      <w:bodyDiv w:val="1"/>
      <w:marLeft w:val="0"/>
      <w:marRight w:val="0"/>
      <w:marTop w:val="0"/>
      <w:marBottom w:val="0"/>
      <w:divBdr>
        <w:top w:val="none" w:sz="0" w:space="0" w:color="auto"/>
        <w:left w:val="none" w:sz="0" w:space="0" w:color="auto"/>
        <w:bottom w:val="none" w:sz="0" w:space="0" w:color="auto"/>
        <w:right w:val="none" w:sz="0" w:space="0" w:color="auto"/>
      </w:divBdr>
    </w:div>
    <w:div w:id="177160300">
      <w:bodyDiv w:val="1"/>
      <w:marLeft w:val="0"/>
      <w:marRight w:val="0"/>
      <w:marTop w:val="0"/>
      <w:marBottom w:val="0"/>
      <w:divBdr>
        <w:top w:val="none" w:sz="0" w:space="0" w:color="auto"/>
        <w:left w:val="none" w:sz="0" w:space="0" w:color="auto"/>
        <w:bottom w:val="none" w:sz="0" w:space="0" w:color="auto"/>
        <w:right w:val="none" w:sz="0" w:space="0" w:color="auto"/>
      </w:divBdr>
    </w:div>
    <w:div w:id="452140872">
      <w:bodyDiv w:val="1"/>
      <w:marLeft w:val="0"/>
      <w:marRight w:val="0"/>
      <w:marTop w:val="0"/>
      <w:marBottom w:val="0"/>
      <w:divBdr>
        <w:top w:val="none" w:sz="0" w:space="0" w:color="auto"/>
        <w:left w:val="none" w:sz="0" w:space="0" w:color="auto"/>
        <w:bottom w:val="none" w:sz="0" w:space="0" w:color="auto"/>
        <w:right w:val="none" w:sz="0" w:space="0" w:color="auto"/>
      </w:divBdr>
    </w:div>
    <w:div w:id="609092213">
      <w:bodyDiv w:val="1"/>
      <w:marLeft w:val="0"/>
      <w:marRight w:val="0"/>
      <w:marTop w:val="0"/>
      <w:marBottom w:val="0"/>
      <w:divBdr>
        <w:top w:val="none" w:sz="0" w:space="0" w:color="auto"/>
        <w:left w:val="none" w:sz="0" w:space="0" w:color="auto"/>
        <w:bottom w:val="none" w:sz="0" w:space="0" w:color="auto"/>
        <w:right w:val="none" w:sz="0" w:space="0" w:color="auto"/>
      </w:divBdr>
    </w:div>
    <w:div w:id="1107970318">
      <w:bodyDiv w:val="1"/>
      <w:marLeft w:val="0"/>
      <w:marRight w:val="0"/>
      <w:marTop w:val="0"/>
      <w:marBottom w:val="0"/>
      <w:divBdr>
        <w:top w:val="none" w:sz="0" w:space="0" w:color="auto"/>
        <w:left w:val="none" w:sz="0" w:space="0" w:color="auto"/>
        <w:bottom w:val="none" w:sz="0" w:space="0" w:color="auto"/>
        <w:right w:val="none" w:sz="0" w:space="0" w:color="auto"/>
      </w:divBdr>
    </w:div>
    <w:div w:id="1329166554">
      <w:bodyDiv w:val="1"/>
      <w:marLeft w:val="0"/>
      <w:marRight w:val="0"/>
      <w:marTop w:val="0"/>
      <w:marBottom w:val="0"/>
      <w:divBdr>
        <w:top w:val="none" w:sz="0" w:space="0" w:color="auto"/>
        <w:left w:val="none" w:sz="0" w:space="0" w:color="auto"/>
        <w:bottom w:val="none" w:sz="0" w:space="0" w:color="auto"/>
        <w:right w:val="none" w:sz="0" w:space="0" w:color="auto"/>
      </w:divBdr>
    </w:div>
    <w:div w:id="1354764269">
      <w:bodyDiv w:val="1"/>
      <w:marLeft w:val="0"/>
      <w:marRight w:val="0"/>
      <w:marTop w:val="0"/>
      <w:marBottom w:val="0"/>
      <w:divBdr>
        <w:top w:val="none" w:sz="0" w:space="0" w:color="auto"/>
        <w:left w:val="none" w:sz="0" w:space="0" w:color="auto"/>
        <w:bottom w:val="none" w:sz="0" w:space="0" w:color="auto"/>
        <w:right w:val="none" w:sz="0" w:space="0" w:color="auto"/>
      </w:divBdr>
    </w:div>
    <w:div w:id="1548688940">
      <w:bodyDiv w:val="1"/>
      <w:marLeft w:val="0"/>
      <w:marRight w:val="0"/>
      <w:marTop w:val="0"/>
      <w:marBottom w:val="0"/>
      <w:divBdr>
        <w:top w:val="none" w:sz="0" w:space="0" w:color="auto"/>
        <w:left w:val="none" w:sz="0" w:space="0" w:color="auto"/>
        <w:bottom w:val="none" w:sz="0" w:space="0" w:color="auto"/>
        <w:right w:val="none" w:sz="0" w:space="0" w:color="auto"/>
      </w:divBdr>
    </w:div>
    <w:div w:id="1639266910">
      <w:bodyDiv w:val="1"/>
      <w:marLeft w:val="0"/>
      <w:marRight w:val="0"/>
      <w:marTop w:val="0"/>
      <w:marBottom w:val="0"/>
      <w:divBdr>
        <w:top w:val="none" w:sz="0" w:space="0" w:color="auto"/>
        <w:left w:val="none" w:sz="0" w:space="0" w:color="auto"/>
        <w:bottom w:val="none" w:sz="0" w:space="0" w:color="auto"/>
        <w:right w:val="none" w:sz="0" w:space="0" w:color="auto"/>
      </w:divBdr>
    </w:div>
    <w:div w:id="1667971868">
      <w:bodyDiv w:val="1"/>
      <w:marLeft w:val="0"/>
      <w:marRight w:val="0"/>
      <w:marTop w:val="0"/>
      <w:marBottom w:val="0"/>
      <w:divBdr>
        <w:top w:val="none" w:sz="0" w:space="0" w:color="auto"/>
        <w:left w:val="none" w:sz="0" w:space="0" w:color="auto"/>
        <w:bottom w:val="none" w:sz="0" w:space="0" w:color="auto"/>
        <w:right w:val="none" w:sz="0" w:space="0" w:color="auto"/>
      </w:divBdr>
    </w:div>
    <w:div w:id="1696030684">
      <w:bodyDiv w:val="1"/>
      <w:marLeft w:val="0"/>
      <w:marRight w:val="0"/>
      <w:marTop w:val="0"/>
      <w:marBottom w:val="0"/>
      <w:divBdr>
        <w:top w:val="none" w:sz="0" w:space="0" w:color="auto"/>
        <w:left w:val="none" w:sz="0" w:space="0" w:color="auto"/>
        <w:bottom w:val="none" w:sz="0" w:space="0" w:color="auto"/>
        <w:right w:val="none" w:sz="0" w:space="0" w:color="auto"/>
      </w:divBdr>
    </w:div>
    <w:div w:id="18063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0/06/15/vijfde-en-zesde-aanvullende-eu-begroting-2020" TargetMode="External"/><Relationship Id="rId1" Type="http://schemas.openxmlformats.org/officeDocument/2006/relationships/hyperlink" Target="https://www.consilium.europa.eu/register/en/content/out?&amp;typ=ENTRY&amp;i=ADV&amp;DOC_ID=ST-12-2020-I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D54EA274-24D7-4EBE-BCBF-7896E4F1972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9</ap:Pages>
  <ap:Words>6007</ap:Words>
  <ap:Characters>33040</ap:Characters>
  <ap:DocSecurity>0</ap:DocSecurity>
  <ap:Lines>275</ap:Lines>
  <ap:Paragraphs>77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38970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2020-07-24T15:35:00.0000000Z</dcterms:created>
  <dcterms:modified xsi:type="dcterms:W3CDTF">2020-07-24T15:35:00.0000000Z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0x010100C5A393434171CF4D81D4D8822111FEE1</vt:lpwstr>
  </property>
  <property fmtid="{D5CDD505-2E9C-101B-9397-08002B2CF9AE}" pid="3" name="_dlc_DocIdItemGuid">
    <vt:lpwstr>f079cb8f-4de8-4f59-8575-b2ab77ff2cc6</vt:lpwstr>
  </property>
  <property fmtid="{D5CDD505-2E9C-101B-9397-08002B2CF9AE}" pid="4" name="_docset_NoMedatataSyncRequired">
    <vt:lpwstr>False</vt:lpwstr>
  </property>
</Properties>
</file>